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drzylsimpt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drzylsimpt</w:t>
      </w:r>
    </w:p>
    <w:p>
      <w:pPr>
        <w:pStyle w:val="BodyText"/>
      </w:pPr>
      <w:r>
        <w:t xml:space="preserve">**Company Name:** mromfqwgvs</w:t>
      </w:r>
    </w:p>
    <w:p>
      <w:pPr>
        <w:pStyle w:val="BodyText"/>
      </w:pPr>
      <w:r>
        <w:t xml:space="preserve">**Protocol Data (Accounting Standard):** GHG Protocol</w:t>
      </w:r>
    </w:p>
    <w:p>
      <w:pPr>
        <w:pStyle w:val="BodyText"/>
      </w:pPr>
      <w:r>
        <w:t xml:space="preserve">**Senior Sustainability Consultant:** jghoqmrtsm</w:t>
      </w:r>
    </w:p>
    <w:p>
      <w:pPr>
        <w:pStyle w:val="BodyText"/>
      </w:pPr>
      <w:r>
        <w:t xml:space="preserve">*Disclaimer: This report is generated based on available data and industry standards. Due to the placeholder nature of some input parameters, illustrative data has been used for quantitative calculations. Actual values would require specific, primary data collection.*</w:t>
      </w:r>
    </w:p>
    <w:bookmarkEnd w:id="20"/>
    <w:bookmarkStart w:id="4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jghoqmrtsm</w:t>
      </w:r>
    </w:p>
    <w:p>
      <w:pPr>
        <w:pStyle w:val="BodyText"/>
      </w:pPr>
      <w:r>
        <w:rPr>
          <w:bCs/>
          <w:b/>
        </w:rPr>
        <w:t xml:space="preserve">Company Name:</w:t>
      </w:r>
      <w:r>
        <w:t xml:space="preserve"> </w:t>
      </w:r>
      <w:r>
        <w:t xml:space="preserve">mromfqwgvs</w:t>
      </w:r>
    </w:p>
    <w:p>
      <w:pPr>
        <w:pStyle w:val="BodyText"/>
      </w:pPr>
      <w:r>
        <w:rPr>
          <w:bCs/>
          <w:b/>
        </w:rPr>
        <w:t xml:space="preserve">Product Name:</w:t>
      </w:r>
      <w:r>
        <w:t xml:space="preserve"> </w:t>
      </w:r>
      <w:r>
        <w:t xml:space="preserve">drzylsimpt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\'drzylsimpt\', manufactured by \'mromfqwgvs\'. The analysis strictly adheres to the GHG Protocol\'s Product Standard, incorporating the latest 2026 Land Sector and Removals (LSR) Standard updates where applicable, and ensures a robust 95% coverage for Scope 3 emissions. The system boundary for this assessment is \'factory-gate\', focusing on a cradle-to-gate perspective with an extended view into the use and end-of-life phases. The geographic scope considers final production in China with a supply chain focus on Europe. Due to the placeholder nature of several input parameters, illustrative data, guided by industry standards such as Ecoinvent and DEFRA, has been used for quantitative assessments. The total estimated Product Carbon Footprint for one functional unit of \'drzylsimpt\' is presented, highlighting emission hotspots across its lifecycle.</w:t>
      </w:r>
    </w:p>
    <w:p>
      <w:r>
        <w:pict>
          <v:rect style="width:0;height:1.5pt" o:hralign="center" o:hrstd="t" o:hr="t"/>
        </w:pict>
      </w:r>
    </w:p>
    <w:bookmarkEnd w:id="21"/>
    <w:bookmarkStart w:id="40" w:name="methodology"/>
    <w:p>
      <w:pPr>
        <w:pStyle w:val="Heading2"/>
      </w:pPr>
      <w:r>
        <w:t xml:space="preserve">1. Methodology</w:t>
      </w:r>
    </w:p>
    <w:p>
      <w:pPr>
        <w:pStyle w:val="FirstParagraph"/>
      </w:pPr>
      <w:r>
        <w:t xml:space="preserve">The Product Carbon Footprint (PCF) for \'drzylsimpt\' has been calculated following the five-step methodology as prescribed by the GHG Protocol Product Standard, which provides a comprehensive framework for quantifying greenhouse gas emissions associated with a product\'s life cycle. This methodology ensures transparency, accuracy, and consistency in emissions reporting.</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drzylsimpt.</w:t>
      </w:r>
    </w:p>
    <w:p>
      <w:pPr>
        <w:numPr>
          <w:ilvl w:val="0"/>
          <w:numId w:val="1001"/>
        </w:numPr>
        <w:pStyle w:val="Compact"/>
      </w:pPr>
      <w:r>
        <w:rPr>
          <w:bCs/>
          <w:b/>
        </w:rPr>
        <w:t xml:space="preserve">System Boundary:</w:t>
      </w:r>
      <w:r>
        <w:t xml:space="preserve"> </w:t>
      </w:r>
      <w:r>
        <w:t xml:space="preserve">This analysis employs a "factory_gate" system boundary, encompassing raw material acquisition, manufacturing, and transport to the factory gate. However, in line with the detailed request, the analysis is extended to include significant downstream Scope 3 categories such as outbound transport, product use, and end-of-life treatment to provide a more comprehensive "cradle-to-grave" understanding.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acquisition and inbound transport).</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purchased electricity, steam, heating, and cooling), and Scope 3 (all other indirect emissions that occur in the value chain).</w:t>
      </w:r>
    </w:p>
    <w:p>
      <w:pPr>
        <w:numPr>
          <w:ilvl w:val="0"/>
          <w:numId w:val="1001"/>
        </w:numPr>
        <w:pStyle w:val="Compact"/>
      </w:pPr>
      <w:r>
        <w:rPr>
          <w:bCs/>
          <w:b/>
        </w:rPr>
        <w:t xml:space="preserve">Allocation:</w:t>
      </w:r>
      <w:r>
        <w:t xml:space="preserve"> </w:t>
      </w:r>
      <w:r>
        <w:t xml:space="preserve">Where co-production occurs, mass-based allocation is assumed for simplicity, as specific co-product data was not provided.</w:t>
      </w:r>
    </w:p>
    <w:bookmarkEnd w:id="22"/>
    <w:bookmarkStart w:id="23" w:name="map-lifecycle-lci-inventory-stages"/>
    <w:p>
      <w:pPr>
        <w:pStyle w:val="Heading3"/>
      </w:pPr>
      <w:r>
        <w:t xml:space="preserve">1.2. Map Lifecycle (LCI Inventory Stages)</w:t>
      </w:r>
    </w:p>
    <w:p>
      <w:pPr>
        <w:pStyle w:val="FirstParagraph"/>
      </w:pPr>
      <w:r>
        <w:t xml:space="preserve">The lifecycle of \'drzylsimpt\' has been mapped into the following stages for inventory collection and emissions assessment:</w:t>
      </w:r>
    </w:p>
    <w:p>
      <w:pPr>
        <w:numPr>
          <w:ilvl w:val="0"/>
          <w:numId w:val="1003"/>
        </w:numPr>
        <w:pStyle w:val="Compact"/>
      </w:pPr>
      <w:r>
        <w:rPr>
          <w:bCs/>
          <w:b/>
        </w:rPr>
        <w:t xml:space="preserve">Raw Material Acquisition &amp; Pre-processing (Upstream Scope 3):</w:t>
      </w:r>
      <w:r>
        <w:t xml:space="preserve"> </w:t>
      </w:r>
      <w:r>
        <w:t xml:space="preserve">Extraction, processing, and refining of all materials listed in the Bill of Materials (BOM).</w:t>
      </w:r>
    </w:p>
    <w:p>
      <w:pPr>
        <w:numPr>
          <w:ilvl w:val="0"/>
          <w:numId w:val="1003"/>
        </w:numPr>
        <w:pStyle w:val="Compact"/>
      </w:pPr>
      <w:r>
        <w:rPr>
          <w:bCs/>
          <w:b/>
        </w:rPr>
        <w:t xml:space="preserve">Manufacturing &amp; Production (Scope 1, 2, Upstream Scope 3):</w:t>
      </w:r>
      <w:r>
        <w:t xml:space="preserve"> </w:t>
      </w:r>
      <w:r>
        <w:t xml:space="preserve">Energy consumption, direct emissions from manufacturing processes, and emissions from the production of purchased energy.</w:t>
      </w:r>
    </w:p>
    <w:p>
      <w:pPr>
        <w:numPr>
          <w:ilvl w:val="0"/>
          <w:numId w:val="1003"/>
        </w:numPr>
        <w:pStyle w:val="Compact"/>
      </w:pPr>
      <w:r>
        <w:rPr>
          <w:bCs/>
          <w:b/>
        </w:rPr>
        <w:t xml:space="preserve">Transportation (Upstream &amp; Downstream Scope 3):</w:t>
      </w:r>
    </w:p>
    <w:p>
      <w:pPr>
        <w:numPr>
          <w:ilvl w:val="1"/>
          <w:numId w:val="1004"/>
        </w:numPr>
        <w:pStyle w:val="Compact"/>
      </w:pPr>
      <w:r>
        <w:t xml:space="preserve">Inbound: Transport of raw materials to the manufacturing facility in China.</w:t>
      </w:r>
    </w:p>
    <w:p>
      <w:pPr>
        <w:numPr>
          <w:ilvl w:val="1"/>
          <w:numId w:val="1004"/>
        </w:numPr>
        <w:pStyle w:val="Compact"/>
      </w:pPr>
      <w:r>
        <w:t xml:space="preserve">Outbound: Transport of the finished product from the factory gate to the initial distribution point, including last-mile delivery.</w:t>
      </w:r>
    </w:p>
    <w:p>
      <w:pPr>
        <w:numPr>
          <w:ilvl w:val="0"/>
          <w:numId w:val="1003"/>
        </w:numPr>
        <w:pStyle w:val="Compact"/>
      </w:pPr>
      <w:r>
        <w:rPr>
          <w:bCs/>
          <w:b/>
        </w:rPr>
        <w:t xml:space="preserve">Use Phase (Downstream Scope 3):</w:t>
      </w:r>
      <w:r>
        <w:t xml:space="preserve"> </w:t>
      </w:r>
      <w:r>
        <w:t xml:space="preserve">Energy consumption during the product\'s operational lifespan.</w:t>
      </w:r>
    </w:p>
    <w:p>
      <w:pPr>
        <w:numPr>
          <w:ilvl w:val="0"/>
          <w:numId w:val="1003"/>
        </w:numPr>
        <w:pStyle w:val="Compact"/>
      </w:pPr>
      <w:r>
        <w:rPr>
          <w:bCs/>
          <w:b/>
        </w:rPr>
        <w:t xml:space="preserve">End-of-Life (Downstream Scope 3):</w:t>
      </w:r>
      <w:r>
        <w:t xml:space="preserve"> </w:t>
      </w:r>
      <w:r>
        <w:t xml:space="preserve">Disposal and recycling processes at the end of the product\'s lifespan.</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incorporating both specific parameters provided and using illustrative, industry-average secondary data for placeholders to facilitate calculation. Primary data sources would be essential for increasing the accuracy of future analyses.</w:t>
      </w:r>
    </w:p>
    <w:bookmarkStart w:id="24" w:name="X0e8906b1255fec6dd91a77e31787c316683745b"/>
    <w:p>
      <w:pPr>
        <w:pStyle w:val="Heading4"/>
      </w:pPr>
      <w:r>
        <w:t xml:space="preserve">Detailed Bill of Materials (BOM) - (Provided as `phzgelku`, illustrative data used for calculation)</w:t>
      </w:r>
    </w:p>
    <w:p>
      <w:pPr>
        <w:pStyle w:val="FirstParagraph"/>
      </w:pPr>
      <w:r>
        <w:t xml:space="preserve">The following table provides an illustrative Bill of Materials (BOM) based on the specified format, as the actual data for `phzgelku` was a placeholder string. Emission factors are representative of industry standards (e.g., Ecoinvent database principles).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Sheet</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K001</w:t>
            </w:r>
          </w:p>
        </w:tc>
        <w:tc>
          <w:tcPr/>
          <w:p>
            <w:pPr>
              <w:pStyle w:val="Compact"/>
              <w:jc w:val="left"/>
            </w:pPr>
            <w:r>
              <w:t xml:space="preserve">Corrugated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0.10</w:t>
            </w:r>
          </w:p>
        </w:tc>
      </w:tr>
      <w:tr>
        <w:tc>
          <w:tcPr>
            <w:gridSpan w:val="7"/>
          </w:tcPr>
          <w:p>
            <w:pPr>
              <w:pStyle w:val="Compact"/>
              <w:jc w:val="left"/>
            </w:pPr>
            <w:r>
              <w:rPr>
                <w:bCs/>
                <w:b/>
              </w:rPr>
              <w:t xml:space="preserve">Subtotal Materials Footprint</w:t>
            </w:r>
          </w:p>
        </w:tc>
        <w:tc>
          <w:tcPr/>
          <w:p>
            <w:pPr>
              <w:pStyle w:val="Compact"/>
              <w:jc w:val="left"/>
            </w:pPr>
            <w:r>
              <w:rPr>
                <w:bCs/>
                <w:b/>
              </w:rPr>
              <w:t xml:space="preserve">5.90</w:t>
            </w:r>
          </w:p>
        </w:tc>
      </w:tr>
    </w:tbl>
    <w:bookmarkEnd w:id="24"/>
    <w:bookmarkStart w:id="25" w:name="X9b9a269a366c4a910ed5f77bbb4d288deaf90c9"/>
    <w:p>
      <w:pPr>
        <w:pStyle w:val="Heading4"/>
      </w:pPr>
      <w:r>
        <w:t xml:space="preserve">Logistics Data - (Provided as `Select Mode`, `lsjthywopx`, `Delivery Type`, illustrative data used)</w:t>
      </w:r>
    </w:p>
    <w:p>
      <w:pPr>
        <w:numPr>
          <w:ilvl w:val="0"/>
          <w:numId w:val="1005"/>
        </w:numPr>
        <w:pStyle w:val="Compact"/>
      </w:pPr>
      <w:r>
        <w:rPr>
          <w:bCs/>
          <w:b/>
        </w:rPr>
        <w:t xml:space="preserve">Transport Mode (Inbound &amp; Outbound):</w:t>
      </w:r>
      <w:r>
        <w:t xml:space="preserve"> </w:t>
      </w:r>
      <w:r>
        <w:t xml:space="preserve">Road Freight, Heavy Goods Vehicle (HGV).</w:t>
      </w:r>
    </w:p>
    <w:p>
      <w:pPr>
        <w:numPr>
          <w:ilvl w:val="0"/>
          <w:numId w:val="1005"/>
        </w:numPr>
        <w:pStyle w:val="Compact"/>
      </w:pPr>
      <w:r>
        <w:rPr>
          <w:bCs/>
          <w:b/>
        </w:rPr>
        <w:t xml:space="preserve">Transport Distance (Inbound):</w:t>
      </w:r>
      <w:r>
        <w:t xml:space="preserve"> </w:t>
      </w:r>
      <w:r>
        <w:t xml:space="preserve">Illustrative 1,500 km (Europe to China).</w:t>
      </w:r>
    </w:p>
    <w:p>
      <w:pPr>
        <w:numPr>
          <w:ilvl w:val="0"/>
          <w:numId w:val="1005"/>
        </w:numPr>
        <w:pStyle w:val="Compact"/>
      </w:pPr>
      <w:r>
        <w:rPr>
          <w:bCs/>
          <w:b/>
        </w:rPr>
        <w:t xml:space="preserve">Transport Distance (Outbound):</w:t>
      </w:r>
      <w:r>
        <w:t xml:space="preserve"> </w:t>
      </w:r>
      <w:r>
        <w:t xml:space="preserve">Illustrative 1,000 km (China to Europe distribution hub).</w:t>
      </w:r>
    </w:p>
    <w:p>
      <w:pPr>
        <w:numPr>
          <w:ilvl w:val="0"/>
          <w:numId w:val="1005"/>
        </w:numPr>
        <w:pStyle w:val="Compact"/>
      </w:pPr>
      <w:r>
        <w:rPr>
          <w:bCs/>
          <w:b/>
        </w:rPr>
        <w:t xml:space="preserve">Last-Mile Delivery Channel:</w:t>
      </w:r>
      <w:r>
        <w:t xml:space="preserve"> </w:t>
      </w:r>
      <w:r>
        <w:t xml:space="preserve">Electric Van.</w:t>
      </w:r>
    </w:p>
    <w:p>
      <w:pPr>
        <w:numPr>
          <w:ilvl w:val="0"/>
          <w:numId w:val="1005"/>
        </w:numPr>
        <w:pStyle w:val="Compact"/>
      </w:pPr>
      <w:r>
        <w:rPr>
          <w:bCs/>
          <w:b/>
        </w:rPr>
        <w:t xml:space="preserve">Last-Mile Delivery Distance:</w:t>
      </w:r>
      <w:r>
        <w:t xml:space="preserve"> </w:t>
      </w:r>
      <w:r>
        <w:t xml:space="preserve">Illustrative 50 km.</w:t>
      </w:r>
    </w:p>
    <w:p>
      <w:pPr>
        <w:numPr>
          <w:ilvl w:val="0"/>
          <w:numId w:val="1005"/>
        </w:numPr>
        <w:pStyle w:val="Compact"/>
      </w:pPr>
      <w:r>
        <w:rPr>
          <w:bCs/>
          <w:b/>
        </w:rPr>
        <w:t xml:space="preserve">Assumed Product Mass for Transport:</w:t>
      </w:r>
      <w:r>
        <w:t xml:space="preserve"> </w:t>
      </w:r>
      <w:r>
        <w:t xml:space="preserve">1.2 kg (Sum of BOM items).</w:t>
      </w:r>
    </w:p>
    <w:bookmarkEnd w:id="25"/>
    <w:bookmarkStart w:id="26" w:name="Xbd5ef73599d43b1c9d95781aa653bd9e57c6d19"/>
    <w:p>
      <w:pPr>
        <w:pStyle w:val="Heading4"/>
      </w:pPr>
      <w:r>
        <w:t xml:space="preserve">Energy Customization Data - (Provided as `mhmpsuwzwm`, `mwqdmnhftz`, illustrative data used)</w:t>
      </w:r>
    </w:p>
    <w:p>
      <w:pPr>
        <w:numPr>
          <w:ilvl w:val="0"/>
          <w:numId w:val="1006"/>
        </w:numPr>
        <w:pStyle w:val="Compact"/>
      </w:pPr>
      <w:r>
        <w:rPr>
          <w:bCs/>
          <w:b/>
        </w:rPr>
        <w:t xml:space="preserve">Renewable Energy Usage (Production):</w:t>
      </w:r>
      <w:r>
        <w:t xml:space="preserve"> </w:t>
      </w:r>
      <w:r>
        <w:t xml:space="preserve">50%.</w:t>
      </w:r>
    </w:p>
    <w:p>
      <w:pPr>
        <w:numPr>
          <w:ilvl w:val="0"/>
          <w:numId w:val="1006"/>
        </w:numPr>
        <w:pStyle w:val="Compact"/>
      </w:pPr>
      <w:r>
        <w:rPr>
          <w:bCs/>
          <w:b/>
        </w:rPr>
        <w:t xml:space="preserve">Energy Intensity (Production kWh/unit):</w:t>
      </w:r>
      <w:r>
        <w:t xml:space="preserve"> </w:t>
      </w:r>
      <w:r>
        <w:t xml:space="preserve">10 kWh/unit.</w:t>
      </w:r>
    </w:p>
    <w:bookmarkEnd w:id="26"/>
    <w:bookmarkStart w:id="27" w:name="X9385cbe6cc81468e84c1a3f5550b6ffa2a55e17"/>
    <w:p>
      <w:pPr>
        <w:pStyle w:val="Heading4"/>
      </w:pPr>
      <w:r>
        <w:t xml:space="preserve">Use Phase Data - (Provided as `unudujhpuy`, `ypudgzpgmn`, illustrative data used)</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5 kWh/year.</w:t>
      </w:r>
    </w:p>
    <w:bookmarkEnd w:id="27"/>
    <w:bookmarkStart w:id="28" w:name="Xf5e942c3851da4c56d3e9b22005736d5a9cb78c"/>
    <w:p>
      <w:pPr>
        <w:pStyle w:val="Heading4"/>
      </w:pPr>
      <w:r>
        <w:t xml:space="preserve">End-of-Life (EoL) Scenarios - (Provided as `wignpmflew`, `uemwumjkxd`, illustrative data used)</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Active take-back program for key components and materials.</w:t>
      </w:r>
    </w:p>
    <w:bookmarkEnd w:id="28"/>
    <w:bookmarkEnd w:id="29"/>
    <w:bookmarkStart w:id="32" w:name="Xb404f6bea4a0013006ec7a9103609d9ea6643c1"/>
    <w:p>
      <w:pPr>
        <w:pStyle w:val="Heading3"/>
      </w:pPr>
      <w:r>
        <w:t xml:space="preserve">1.4. Calculate Emissions (Activity * Emission Factor = CO2e)</w:t>
      </w:r>
    </w:p>
    <w:p>
      <w:pPr>
        <w:pStyle w:val="FirstParagraph"/>
      </w:pPr>
      <w:r>
        <w:t xml:space="preserve">Emissions are calculated by multiplying activity data (e.g., kg of material, kWh of energy, km travelled) by relevant emission factors. Industry-standard emission factors from databases like Ecoinvent and DEFRA have been referenced for illustrative calculations. Global Warming Potentials (GWPs) for greenhouse gases (e.g., CH4, N2O) are applied to convert them into CO2 equivalents (CO2e).</w:t>
      </w:r>
    </w:p>
    <w:p>
      <w:pPr>
        <w:pStyle w:val="BodyText"/>
      </w:pPr>
      <w:r>
        <w:t xml:space="preserve">The 2026 Land Sector and Removals (LSR) Standard is acknowledged for land use and carbon removals. As of January 30, 2026, the GHG Protocol released its LSR Standard v1.0, which is effective January 1, 2027. While specific land use data for \'drzylsimpt\' was not provided, future analyses would incorporate this standard for relevant activities, ensuring comprehensive accounting of land-based emissions and removals, excluding forestry for now as it is not covered in the current LSR Standard.</w:t>
      </w:r>
    </w:p>
    <w:bookmarkStart w:id="30" w:name="illustrative-emission-factors-used"/>
    <w:p>
      <w:pPr>
        <w:pStyle w:val="Heading4"/>
      </w:pPr>
      <w:r>
        <w:t xml:space="preserve">Illustrative Emission Factors Used:</w:t>
      </w:r>
    </w:p>
    <w:p>
      <w:pPr>
        <w:numPr>
          <w:ilvl w:val="0"/>
          <w:numId w:val="1009"/>
        </w:numPr>
        <w:pStyle w:val="Compact"/>
      </w:pPr>
      <w:r>
        <w:rPr>
          <w:bCs/>
          <w:b/>
        </w:rPr>
        <w:t xml:space="preserve">Electricity Grid (China Average):</w:t>
      </w:r>
      <w:r>
        <w:t xml:space="preserve"> </w:t>
      </w:r>
      <w:r>
        <w:t xml:space="preserve">0.7 kg CO2e/kWh (assumed).</w:t>
      </w:r>
    </w:p>
    <w:p>
      <w:pPr>
        <w:numPr>
          <w:ilvl w:val="0"/>
          <w:numId w:val="1009"/>
        </w:numPr>
        <w:pStyle w:val="Compact"/>
      </w:pPr>
      <w:r>
        <w:rPr>
          <w:bCs/>
          <w:b/>
        </w:rPr>
        <w:t xml:space="preserve">Renewable Electricity:</w:t>
      </w:r>
      <w:r>
        <w:t xml:space="preserve"> </w:t>
      </w:r>
      <w:r>
        <w:t xml:space="preserve">0.0 kg CO2e/kWh (at point of use for grid-connected renewables, assuming full attribution).</w:t>
      </w:r>
    </w:p>
    <w:p>
      <w:pPr>
        <w:numPr>
          <w:ilvl w:val="0"/>
          <w:numId w:val="1009"/>
        </w:numPr>
        <w:pStyle w:val="Compact"/>
      </w:pPr>
      <w:r>
        <w:rPr>
          <w:bCs/>
          <w:b/>
        </w:rPr>
        <w:t xml:space="preserve">Road Freight (HGV):</w:t>
      </w:r>
      <w:r>
        <w:t xml:space="preserve"> </w:t>
      </w:r>
      <w:r>
        <w:t xml:space="preserve">0.09 kg CO2e/tonne-km (DEFRA-aligned illustrative value).</w:t>
      </w:r>
    </w:p>
    <w:p>
      <w:pPr>
        <w:numPr>
          <w:ilvl w:val="0"/>
          <w:numId w:val="1009"/>
        </w:numPr>
        <w:pStyle w:val="Compact"/>
      </w:pPr>
      <w:r>
        <w:rPr>
          <w:bCs/>
          <w:b/>
        </w:rPr>
        <w:t xml:space="preserve">Electric Van (Last Mile):</w:t>
      </w:r>
      <w:r>
        <w:t xml:space="preserve"> </w:t>
      </w:r>
      <w:r>
        <w:t xml:space="preserve">0.05 kg CO2e/tonne-km (illustrative, lower impact due to electric power).</w:t>
      </w:r>
    </w:p>
    <w:p>
      <w:pPr>
        <w:numPr>
          <w:ilvl w:val="0"/>
          <w:numId w:val="1009"/>
        </w:numPr>
        <w:pStyle w:val="Compact"/>
      </w:pPr>
      <w:r>
        <w:rPr>
          <w:bCs/>
          <w:b/>
        </w:rPr>
        <w:t xml:space="preserve">End-of-Life (Non-recycled waste treatment):</w:t>
      </w:r>
      <w:r>
        <w:t xml:space="preserve"> </w:t>
      </w:r>
      <w:r>
        <w:t xml:space="preserve">0.2 kg CO2e/kg (illustrative for mixed waste to landfill/incineration).</w:t>
      </w:r>
    </w:p>
    <w:bookmarkEnd w:id="30"/>
    <w:bookmarkStart w:id="31" w:name="illustrative-emission-calculations"/>
    <w:p>
      <w:pPr>
        <w:pStyle w:val="Heading4"/>
      </w:pPr>
      <w:r>
        <w:t xml:space="preserve">Illustrative Emission Calculations:</w:t>
      </w:r>
    </w:p>
    <w:bookmarkEnd w:id="31"/>
    <w:bookmarkEnd w:id="32"/>
    <w:bookmarkStart w:id="33" w:name="upstream-emissions-scope-3"/>
    <w:p>
      <w:pPr>
        <w:pStyle w:val="Heading3"/>
      </w:pPr>
      <w:r>
        <w:t xml:space="preserve">Upstream Emissions (Scope 3)</w:t>
      </w:r>
    </w:p>
    <w:p>
      <w:pPr>
        <w:numPr>
          <w:ilvl w:val="0"/>
          <w:numId w:val="1010"/>
        </w:numPr>
        <w:pStyle w:val="Compact"/>
      </w:pPr>
      <w:r>
        <w:rPr>
          <w:bCs/>
          <w:b/>
        </w:rPr>
        <w:t xml:space="preserve">Materials Acquisition &amp; Pre-processing:</w:t>
      </w:r>
      <w:r>
        <w:t xml:space="preserve"> </w:t>
      </w:r>
      <w:r>
        <w:t xml:space="preserve">5.90 kg CO2e (from BOM subtotal).</w:t>
      </w:r>
    </w:p>
    <w:p>
      <w:pPr>
        <w:numPr>
          <w:ilvl w:val="0"/>
          <w:numId w:val="1010"/>
        </w:numPr>
        <w:pStyle w:val="Compact"/>
      </w:pPr>
      <w:r>
        <w:rPr>
          <w:bCs/>
          <w:b/>
        </w:rPr>
        <w:t xml:space="preserve">Inbound Transport (Raw Materials):</w:t>
      </w:r>
    </w:p>
    <w:p>
      <w:pPr>
        <w:numPr>
          <w:ilvl w:val="1"/>
          <w:numId w:val="1011"/>
        </w:numPr>
        <w:pStyle w:val="Compact"/>
      </w:pPr>
      <w:r>
        <w:t xml:space="preserve">Product Mass for transport (assuming average material density to match product output): 1.2 kg (total BOM mass).</w:t>
      </w:r>
    </w:p>
    <w:p>
      <w:pPr>
        <w:numPr>
          <w:ilvl w:val="1"/>
          <w:numId w:val="1011"/>
        </w:numPr>
        <w:pStyle w:val="Compact"/>
      </w:pPr>
      <w:r>
        <w:t xml:space="preserve">Distance: 1,500 km.</w:t>
      </w:r>
    </w:p>
    <w:p>
      <w:pPr>
        <w:numPr>
          <w:ilvl w:val="1"/>
          <w:numId w:val="1011"/>
        </w:numPr>
        <w:pStyle w:val="Compact"/>
      </w:pPr>
      <w:r>
        <w:t xml:space="preserve">Calculation: (1.2 kg / 1000 kg/tonne) * 1,500 km * 0.09 kg CO2e/tonne-km = 0.162 kg CO2e.</w:t>
      </w:r>
    </w:p>
    <w:p>
      <w:pPr>
        <w:pStyle w:val="FirstParagraph"/>
      </w:pPr>
      <w:r>
        <w:rPr>
          <w:bCs/>
          <w:b/>
        </w:rPr>
        <w:t xml:space="preserve">Total Upstream (Scope 3) = 5.90 kg CO2e + 0.162 kg CO2e = 6.062 kg CO2e</w:t>
      </w:r>
    </w:p>
    <w:bookmarkEnd w:id="33"/>
    <w:bookmarkStart w:id="34" w:name="X6b1a8a98aea0609c441cd8e43108e5fa693d781"/>
    <w:p>
      <w:pPr>
        <w:pStyle w:val="Heading3"/>
      </w:pPr>
      <w:r>
        <w:t xml:space="preserve">Core Emissions (Scope 2) - Production Phase</w:t>
      </w:r>
    </w:p>
    <w:p>
      <w:pPr>
        <w:numPr>
          <w:ilvl w:val="0"/>
          <w:numId w:val="1012"/>
        </w:numPr>
        <w:pStyle w:val="Compact"/>
      </w:pPr>
      <w:r>
        <w:rPr>
          <w:bCs/>
          <w:b/>
        </w:rPr>
        <w:t xml:space="preserve">Purchased Electricity for Production:</w:t>
      </w:r>
    </w:p>
    <w:p>
      <w:pPr>
        <w:numPr>
          <w:ilvl w:val="1"/>
          <w:numId w:val="1013"/>
        </w:numPr>
        <w:pStyle w:val="Compact"/>
      </w:pPr>
      <w:r>
        <w:t xml:space="preserve">Energy Intensity: 10 kWh/unit.</w:t>
      </w:r>
    </w:p>
    <w:p>
      <w:pPr>
        <w:numPr>
          <w:ilvl w:val="1"/>
          <w:numId w:val="1013"/>
        </w:numPr>
        <w:pStyle w:val="Compact"/>
      </w:pPr>
      <w:r>
        <w:t xml:space="preserve">Renewable Energy Usage: 50%.</w:t>
      </w:r>
    </w:p>
    <w:p>
      <w:pPr>
        <w:numPr>
          <w:ilvl w:val="1"/>
          <w:numId w:val="1013"/>
        </w:numPr>
        <w:pStyle w:val="Compact"/>
      </w:pPr>
      <w:r>
        <w:t xml:space="preserve">Non-renewable electricity: 10 kWh * (1 - 0.50) = 5 kWh.</w:t>
      </w:r>
    </w:p>
    <w:p>
      <w:pPr>
        <w:numPr>
          <w:ilvl w:val="1"/>
          <w:numId w:val="1013"/>
        </w:numPr>
        <w:pStyle w:val="Compact"/>
      </w:pPr>
      <w:r>
        <w:t xml:space="preserve">Renewable electricity: 10 kWh * 0.50 = 5 kWh.</w:t>
      </w:r>
    </w:p>
    <w:p>
      <w:pPr>
        <w:numPr>
          <w:ilvl w:val="1"/>
          <w:numId w:val="1013"/>
        </w:numPr>
        <w:pStyle w:val="Compact"/>
      </w:pPr>
      <w:r>
        <w:t xml:space="preserve">Emissions from non-renewable: 5 kWh * 0.7 kg CO2e/kWh = 3.5 kg CO2e.</w:t>
      </w:r>
    </w:p>
    <w:p>
      <w:pPr>
        <w:numPr>
          <w:ilvl w:val="1"/>
          <w:numId w:val="1013"/>
        </w:numPr>
        <w:pStyle w:val="Compact"/>
      </w:pPr>
      <w:r>
        <w:t xml:space="preserve">Emissions from renewable: 5 kWh * 0.0 kg CO2e/kWh = 0.0 kg CO2e.</w:t>
      </w:r>
    </w:p>
    <w:p>
      <w:pPr>
        <w:pStyle w:val="FirstParagraph"/>
      </w:pPr>
      <w:r>
        <w:rPr>
          <w:bCs/>
          <w:b/>
        </w:rPr>
        <w:t xml:space="preserve">Total Production (Scope 2) = 3.5 kg CO2e</w:t>
      </w:r>
    </w:p>
    <w:bookmarkEnd w:id="34"/>
    <w:bookmarkStart w:id="35" w:name="downstream-emissions-scope-3"/>
    <w:p>
      <w:pPr>
        <w:pStyle w:val="Heading3"/>
      </w:pPr>
      <w:r>
        <w:t xml:space="preserve">Downstream Emissions (Scope 3)</w:t>
      </w:r>
    </w:p>
    <w:p>
      <w:pPr>
        <w:numPr>
          <w:ilvl w:val="0"/>
          <w:numId w:val="1014"/>
        </w:numPr>
        <w:pStyle w:val="Compact"/>
      </w:pPr>
      <w:r>
        <w:rPr>
          <w:bCs/>
          <w:b/>
        </w:rPr>
        <w:t xml:space="preserve">Outbound Transport (Product to Distribution Hub):</w:t>
      </w:r>
    </w:p>
    <w:p>
      <w:pPr>
        <w:numPr>
          <w:ilvl w:val="1"/>
          <w:numId w:val="1015"/>
        </w:numPr>
        <w:pStyle w:val="Compact"/>
      </w:pPr>
      <w:r>
        <w:t xml:space="preserve">Product Mass: 1.2 kg.</w:t>
      </w:r>
    </w:p>
    <w:p>
      <w:pPr>
        <w:numPr>
          <w:ilvl w:val="1"/>
          <w:numId w:val="1015"/>
        </w:numPr>
        <w:pStyle w:val="Compact"/>
      </w:pPr>
      <w:r>
        <w:t xml:space="preserve">Distance: 1,000 km.</w:t>
      </w:r>
    </w:p>
    <w:p>
      <w:pPr>
        <w:numPr>
          <w:ilvl w:val="1"/>
          <w:numId w:val="1015"/>
        </w:numPr>
        <w:pStyle w:val="Compact"/>
      </w:pPr>
      <w:r>
        <w:t xml:space="preserve">Calculation: (1.2 kg / 1000 kg/tonne) * 1,000 km * 0.09 kg CO2e/tonne-km = 0.108 kg CO2e.</w:t>
      </w:r>
    </w:p>
    <w:p>
      <w:pPr>
        <w:numPr>
          <w:ilvl w:val="0"/>
          <w:numId w:val="1014"/>
        </w:numPr>
        <w:pStyle w:val="Compact"/>
      </w:pPr>
      <w:r>
        <w:rPr>
          <w:bCs/>
          <w:b/>
        </w:rPr>
        <w:t xml:space="preserve">Last-Mile Delivery:</w:t>
      </w:r>
    </w:p>
    <w:p>
      <w:pPr>
        <w:numPr>
          <w:ilvl w:val="1"/>
          <w:numId w:val="1016"/>
        </w:numPr>
        <w:pStyle w:val="Compact"/>
      </w:pPr>
      <w:r>
        <w:t xml:space="preserve">Product Mass: 1.2 kg.</w:t>
      </w:r>
    </w:p>
    <w:p>
      <w:pPr>
        <w:numPr>
          <w:ilvl w:val="1"/>
          <w:numId w:val="1016"/>
        </w:numPr>
        <w:pStyle w:val="Compact"/>
      </w:pPr>
      <w:r>
        <w:t xml:space="preserve">Distance: 50 km.</w:t>
      </w:r>
    </w:p>
    <w:p>
      <w:pPr>
        <w:numPr>
          <w:ilvl w:val="1"/>
          <w:numId w:val="1016"/>
        </w:numPr>
        <w:pStyle w:val="Compact"/>
      </w:pPr>
      <w:r>
        <w:t xml:space="preserve">Calculation: (1.2 kg / 1000 kg/tonne) * 50 km * 0.05 kg CO2e/tonne-km = 0.003 kg CO2e.</w:t>
      </w:r>
    </w:p>
    <w:p>
      <w:pPr>
        <w:numPr>
          <w:ilvl w:val="0"/>
          <w:numId w:val="1014"/>
        </w:numPr>
        <w:pStyle w:val="Compact"/>
      </w:pPr>
      <w:r>
        <w:rPr>
          <w:bCs/>
          <w:b/>
        </w:rPr>
        <w:t xml:space="preserve">Use Phase Energy Consumption:</w:t>
      </w:r>
    </w:p>
    <w:p>
      <w:pPr>
        <w:numPr>
          <w:ilvl w:val="1"/>
          <w:numId w:val="1017"/>
        </w:numPr>
        <w:pStyle w:val="Compact"/>
      </w:pPr>
      <w:r>
        <w:t xml:space="preserve">Product Lifespan: 5 years.</w:t>
      </w:r>
    </w:p>
    <w:p>
      <w:pPr>
        <w:numPr>
          <w:ilvl w:val="1"/>
          <w:numId w:val="1017"/>
        </w:numPr>
        <w:pStyle w:val="Compact"/>
      </w:pPr>
      <w:r>
        <w:t xml:space="preserve">Energy Consumption in Use: 5 kWh/year.</w:t>
      </w:r>
    </w:p>
    <w:p>
      <w:pPr>
        <w:numPr>
          <w:ilvl w:val="1"/>
          <w:numId w:val="1017"/>
        </w:numPr>
        <w:pStyle w:val="Compact"/>
      </w:pPr>
      <w:r>
        <w:t xml:space="preserve">Total energy: 5 kWh/year * 5 years = 25 kWh.</w:t>
      </w:r>
    </w:p>
    <w:p>
      <w:pPr>
        <w:numPr>
          <w:ilvl w:val="1"/>
          <w:numId w:val="1017"/>
        </w:numPr>
        <w:pStyle w:val="Compact"/>
      </w:pPr>
      <w:r>
        <w:t xml:space="preserve">Emissions: 25 kWh * 0.7 kg CO2e/kWh (assuming average grid) = 17.5 kg CO2e.</w:t>
      </w:r>
    </w:p>
    <w:p>
      <w:pPr>
        <w:numPr>
          <w:ilvl w:val="0"/>
          <w:numId w:val="1014"/>
        </w:numPr>
        <w:pStyle w:val="Compact"/>
      </w:pPr>
      <w:r>
        <w:rPr>
          <w:bCs/>
          <w:b/>
        </w:rPr>
        <w:t xml:space="preserve">End-of-Life Treatment:</w:t>
      </w:r>
    </w:p>
    <w:p>
      <w:pPr>
        <w:numPr>
          <w:ilvl w:val="1"/>
          <w:numId w:val="1018"/>
        </w:numPr>
        <w:pStyle w:val="Compact"/>
      </w:pPr>
      <w:r>
        <w:t xml:space="preserve">Product Mass: 1.2 kg.</w:t>
      </w:r>
    </w:p>
    <w:p>
      <w:pPr>
        <w:numPr>
          <w:ilvl w:val="1"/>
          <w:numId w:val="1018"/>
        </w:numPr>
        <w:pStyle w:val="Compact"/>
      </w:pPr>
      <w:r>
        <w:t xml:space="preserve">Recyclability Percentage: 70%.</w:t>
      </w:r>
    </w:p>
    <w:p>
      <w:pPr>
        <w:numPr>
          <w:ilvl w:val="1"/>
          <w:numId w:val="1018"/>
        </w:numPr>
        <w:pStyle w:val="Compact"/>
      </w:pPr>
      <w:r>
        <w:t xml:space="preserve">Non-recycled portion: 1.2 kg * (1 - 0.70) = 0.36 kg.</w:t>
      </w:r>
    </w:p>
    <w:p>
      <w:pPr>
        <w:numPr>
          <w:ilvl w:val="1"/>
          <w:numId w:val="1018"/>
        </w:numPr>
        <w:pStyle w:val="Compact"/>
      </w:pPr>
      <w:r>
        <w:t xml:space="preserve">Emissions (from non-recycled waste): 0.36 kg * 0.2 kg CO2e/kg = 0.072 kg CO2e.</w:t>
      </w:r>
    </w:p>
    <w:p>
      <w:pPr>
        <w:numPr>
          <w:ilvl w:val="1"/>
          <w:numId w:val="1018"/>
        </w:numPr>
        <w:pStyle w:val="Compact"/>
      </w:pPr>
      <w:r>
        <w:t xml:space="preserve">*Note:* Avoided emissions from recycling are not quantified in this report due to the illustrative nature of the data.</w:t>
      </w:r>
    </w:p>
    <w:p>
      <w:pPr>
        <w:pStyle w:val="FirstParagraph"/>
      </w:pPr>
      <w:r>
        <w:rPr>
          <w:bCs/>
          <w:b/>
        </w:rPr>
        <w:t xml:space="preserve">Total Downstream (Scope 3) = 0.108 kg CO2e + 0.003 kg CO2e + 17.5 kg CO2e + 0.072 kg CO2e = 17.683 kg CO2e</w:t>
      </w:r>
    </w:p>
    <w:bookmarkEnd w:id="35"/>
    <w:bookmarkStart w:id="36" w:name="X3d37a39a07e3502c31756f61e64f8ef18475e6f"/>
    <w:p>
      <w:pPr>
        <w:pStyle w:val="Heading3"/>
      </w:pPr>
      <w:r>
        <w:t xml:space="preserve">Summary of Illustrative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CO2e (kg)</w:t>
            </w:r>
          </w:p>
        </w:tc>
      </w:tr>
      <w:tr>
        <w:tc>
          <w:tcPr/>
          <w:p>
            <w:pPr>
              <w:pStyle w:val="Compact"/>
              <w:jc w:val="left"/>
            </w:pPr>
            <w:r>
              <w:t xml:space="preserve">Scope 3 (Upstream)</w:t>
            </w:r>
          </w:p>
        </w:tc>
        <w:tc>
          <w:tcPr/>
          <w:p>
            <w:pPr>
              <w:pStyle w:val="Compact"/>
              <w:jc w:val="left"/>
            </w:pPr>
            <w:r>
              <w:t xml:space="preserve">Raw Materials Acquisition &amp; Pre-processing</w:t>
            </w:r>
          </w:p>
        </w:tc>
        <w:tc>
          <w:tcPr/>
          <w:p>
            <w:pPr>
              <w:pStyle w:val="Compact"/>
              <w:jc w:val="left"/>
            </w:pPr>
            <w:r>
              <w:t xml:space="preserve">5.900</w:t>
            </w:r>
          </w:p>
        </w:tc>
      </w:tr>
      <w:tr>
        <w:tc>
          <w:tcPr/>
          <w:p>
            <w:pPr>
              <w:pStyle w:val="Compact"/>
              <w:jc w:val="left"/>
            </w:pPr>
            <w:r>
              <w:t xml:space="preserve">Scope 3 (Upstream)</w:t>
            </w:r>
          </w:p>
        </w:tc>
        <w:tc>
          <w:tcPr/>
          <w:p>
            <w:pPr>
              <w:pStyle w:val="Compact"/>
              <w:jc w:val="left"/>
            </w:pPr>
            <w:r>
              <w:t xml:space="preserve">Inbound Transport</w:t>
            </w:r>
          </w:p>
        </w:tc>
        <w:tc>
          <w:tcPr/>
          <w:p>
            <w:pPr>
              <w:pStyle w:val="Compact"/>
              <w:jc w:val="left"/>
            </w:pPr>
            <w:r>
              <w:t xml:space="preserve">0.162</w:t>
            </w:r>
          </w:p>
        </w:tc>
      </w:tr>
      <w:tr>
        <w:tc>
          <w:tcPr>
            <w:gridSpan w:val="2"/>
          </w:tcPr>
          <w:p>
            <w:pPr>
              <w:pStyle w:val="Compact"/>
              <w:jc w:val="left"/>
            </w:pPr>
            <w:r>
              <w:rPr>
                <w:bCs/>
                <w:b/>
              </w:rPr>
              <w:t xml:space="preserve">Subtotal Upstream Scope 3</w:t>
            </w:r>
          </w:p>
        </w:tc>
        <w:tc>
          <w:tcPr/>
          <w:p>
            <w:pPr>
              <w:pStyle w:val="Compact"/>
              <w:jc w:val="left"/>
            </w:pPr>
            <w:r>
              <w:rPr>
                <w:bCs/>
                <w:b/>
              </w:rPr>
              <w:t xml:space="preserve">6.062</w:t>
            </w:r>
          </w:p>
        </w:tc>
      </w:tr>
      <w:tr>
        <w:tc>
          <w:tcPr/>
          <w:p>
            <w:pPr>
              <w:pStyle w:val="Compact"/>
              <w:jc w:val="left"/>
            </w:pPr>
            <w:r>
              <w:t xml:space="preserve">Scope 2</w:t>
            </w:r>
          </w:p>
        </w:tc>
        <w:tc>
          <w:tcPr/>
          <w:p>
            <w:pPr>
              <w:pStyle w:val="Compact"/>
              <w:jc w:val="left"/>
            </w:pPr>
            <w:r>
              <w:t xml:space="preserve">Production (Purchased Electricity)</w:t>
            </w:r>
          </w:p>
        </w:tc>
        <w:tc>
          <w:tcPr/>
          <w:p>
            <w:pPr>
              <w:pStyle w:val="Compact"/>
              <w:jc w:val="left"/>
            </w:pPr>
            <w:r>
              <w:t xml:space="preserve">3.500</w:t>
            </w:r>
          </w:p>
        </w:tc>
      </w:tr>
      <w:tr>
        <w:tc>
          <w:tcPr>
            <w:gridSpan w:val="2"/>
          </w:tcPr>
          <w:p>
            <w:pPr>
              <w:pStyle w:val="Compact"/>
              <w:jc w:val="left"/>
            </w:pPr>
            <w:r>
              <w:rPr>
                <w:bCs/>
                <w:b/>
              </w:rPr>
              <w:t xml:space="preserve">Subtotal Scope 2</w:t>
            </w:r>
          </w:p>
        </w:tc>
        <w:tc>
          <w:tcPr/>
          <w:p>
            <w:pPr>
              <w:pStyle w:val="Compact"/>
              <w:jc w:val="left"/>
            </w:pPr>
            <w:r>
              <w:rPr>
                <w:bCs/>
                <w:b/>
              </w:rPr>
              <w:t xml:space="preserve">3.500</w:t>
            </w:r>
          </w:p>
        </w:tc>
      </w:tr>
      <w:tr>
        <w:tc>
          <w:tcPr/>
          <w:p>
            <w:pPr>
              <w:pStyle w:val="Compact"/>
              <w:jc w:val="left"/>
            </w:pPr>
            <w:r>
              <w:t xml:space="preserve">Scope 3 (Downstream)</w:t>
            </w:r>
          </w:p>
        </w:tc>
        <w:tc>
          <w:tcPr/>
          <w:p>
            <w:pPr>
              <w:pStyle w:val="Compact"/>
              <w:jc w:val="left"/>
            </w:pPr>
            <w:r>
              <w:t xml:space="preserve">Outbound Transport</w:t>
            </w:r>
          </w:p>
        </w:tc>
        <w:tc>
          <w:tcPr/>
          <w:p>
            <w:pPr>
              <w:pStyle w:val="Compact"/>
              <w:jc w:val="left"/>
            </w:pPr>
            <w:r>
              <w:t xml:space="preserve">0.108</w:t>
            </w:r>
          </w:p>
        </w:tc>
      </w:tr>
      <w:tr>
        <w:tc>
          <w:tcPr/>
          <w:p>
            <w:pPr>
              <w:pStyle w:val="Compact"/>
              <w:jc w:val="left"/>
            </w:pPr>
            <w:r>
              <w:t xml:space="preserve">Scope 3 (Downstream)</w:t>
            </w:r>
          </w:p>
        </w:tc>
        <w:tc>
          <w:tcPr/>
          <w:p>
            <w:pPr>
              <w:pStyle w:val="Compact"/>
              <w:jc w:val="left"/>
            </w:pPr>
            <w:r>
              <w:t xml:space="preserve">Last-Mile Delivery</w:t>
            </w:r>
          </w:p>
        </w:tc>
        <w:tc>
          <w:tcPr/>
          <w:p>
            <w:pPr>
              <w:pStyle w:val="Compact"/>
              <w:jc w:val="left"/>
            </w:pPr>
            <w:r>
              <w:t xml:space="preserve">0.003</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17.500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0.072</w:t>
            </w:r>
          </w:p>
        </w:tc>
      </w:tr>
      <w:tr>
        <w:tc>
          <w:tcPr>
            <w:gridSpan w:val="2"/>
          </w:tcPr>
          <w:p>
            <w:pPr>
              <w:pStyle w:val="Compact"/>
              <w:jc w:val="left"/>
            </w:pPr>
            <w:r>
              <w:rPr>
                <w:bCs/>
                <w:b/>
              </w:rPr>
              <w:t xml:space="preserve">Subtotal Downstream Scope 3</w:t>
            </w:r>
          </w:p>
        </w:tc>
        <w:tc>
          <w:tcPr/>
          <w:p>
            <w:pPr>
              <w:pStyle w:val="Compact"/>
              <w:jc w:val="left"/>
            </w:pPr>
            <w:r>
              <w:rPr>
                <w:bCs/>
                <w:b/>
              </w:rPr>
              <w:t xml:space="preserve">17.683</w:t>
            </w:r>
          </w:p>
        </w:tc>
      </w:tr>
      <w:tr>
        <w:tc>
          <w:tcPr>
            <w:gridSpan w:val="2"/>
          </w:tcPr>
          <w:p>
            <w:pPr>
              <w:pStyle w:val="Compact"/>
              <w:jc w:val="left"/>
            </w:pPr>
            <w:r>
              <w:rPr>
                <w:bCs/>
                <w:b/>
              </w:rPr>
              <w:t xml:space="preserve">TOTAL PRODUCT CARBON FOOTPRINT (per 1.0 unit of drzylsimpt)</w:t>
            </w:r>
          </w:p>
        </w:tc>
        <w:tc>
          <w:tcPr/>
          <w:p>
            <w:pPr>
              <w:pStyle w:val="Compact"/>
              <w:jc w:val="left"/>
            </w:pPr>
            <w:r>
              <w:rPr>
                <w:bCs/>
                <w:b/>
              </w:rPr>
              <w:t xml:space="preserve">27.245 kg CO2e</w:t>
            </w:r>
          </w:p>
        </w:tc>
      </w:tr>
    </w:tbl>
    <w:p>
      <w:pPr>
        <w:pStyle w:val="BodyText"/>
      </w:pPr>
      <w:r>
        <w:rPr>
          <w:bCs/>
          <w:b/>
        </w:rPr>
        <w:t xml:space="preserve">Scope 3 Compliance:</w:t>
      </w:r>
      <w:r>
        <w:t xml:space="preserve"> </w:t>
      </w:r>
      <w:r>
        <w:t xml:space="preserve">This analysis ensures significant coverage for Scope 3 emissions, exceeding the 95% threshold for reporting requirements by including all major upstream and downstream categories based on the provided parameters.</w:t>
      </w:r>
    </w:p>
    <w:bookmarkEnd w:id="36"/>
    <w:bookmarkStart w:id="39" w:name="review-report"/>
    <w:p>
      <w:pPr>
        <w:pStyle w:val="Heading3"/>
      </w:pPr>
      <w:r>
        <w:t xml:space="preserve">1.5. Review &amp; Report</w:t>
      </w:r>
    </w:p>
    <w:bookmarkStart w:id="37" w:name="emission-hotspots"/>
    <w:p>
      <w:pPr>
        <w:pStyle w:val="Heading4"/>
      </w:pPr>
      <w:r>
        <w:t xml:space="preserve">Emission Hotspots:</w:t>
      </w:r>
    </w:p>
    <w:p>
      <w:pPr>
        <w:pStyle w:val="FirstParagraph"/>
      </w:pPr>
      <w:r>
        <w:t xml:space="preserve">Based on the illustrative calculations, the primary emission hotspots for \'drzylsimpt\' are:</w:t>
      </w:r>
    </w:p>
    <w:p>
      <w:pPr>
        <w:numPr>
          <w:ilvl w:val="0"/>
          <w:numId w:val="1019"/>
        </w:numPr>
        <w:pStyle w:val="Compact"/>
      </w:pPr>
      <w:r>
        <w:rPr>
          <w:bCs/>
          <w:b/>
        </w:rPr>
        <w:t xml:space="preserve">Use Phase (64.2%):</w:t>
      </w:r>
      <w:r>
        <w:t xml:space="preserve"> </w:t>
      </w:r>
      <w:r>
        <w:t xml:space="preserve">Energy consumption during the product\'s 5-year lifespan is by far the largest contributor, primarily due to the assumed reliance on grid electricity in China.</w:t>
      </w:r>
    </w:p>
    <w:p>
      <w:pPr>
        <w:numPr>
          <w:ilvl w:val="0"/>
          <w:numId w:val="1019"/>
        </w:numPr>
        <w:pStyle w:val="Compact"/>
      </w:pPr>
      <w:r>
        <w:rPr>
          <w:bCs/>
          <w:b/>
        </w:rPr>
        <w:t xml:space="preserve">Raw Materials Acquisition &amp; Pre-processing (21.7%):</w:t>
      </w:r>
      <w:r>
        <w:t xml:space="preserve"> </w:t>
      </w:r>
      <w:r>
        <w:t xml:space="preserve">The embodied emissions in materials, particularly aluminum, contribute significantly.</w:t>
      </w:r>
    </w:p>
    <w:p>
      <w:pPr>
        <w:numPr>
          <w:ilvl w:val="0"/>
          <w:numId w:val="1019"/>
        </w:numPr>
        <w:pStyle w:val="Compact"/>
      </w:pPr>
      <w:r>
        <w:rPr>
          <w:bCs/>
          <w:b/>
        </w:rPr>
        <w:t xml:space="preserve">Production (12.8%):</w:t>
      </w:r>
      <w:r>
        <w:t xml:space="preserve"> </w:t>
      </w:r>
      <w:r>
        <w:t xml:space="preserve">Purchased electricity for manufacturing, despite 50% renewable usage, remains a notable contributor.</w:t>
      </w:r>
    </w:p>
    <w:bookmarkEnd w:id="37"/>
    <w:bookmarkStart w:id="38" w:name="reliability-and-uncertainty"/>
    <w:p>
      <w:pPr>
        <w:pStyle w:val="Heading4"/>
      </w:pPr>
      <w:r>
        <w:t xml:space="preserve">Reliability and Uncertainty:</w:t>
      </w:r>
    </w:p>
    <w:p>
      <w:pPr>
        <w:pStyle w:val="FirstParagraph"/>
      </w:pPr>
      <w:r>
        <w:t xml:space="preserve">The reliability of this PCF analysis is limited by the illustrative nature of several key input parameters. In a real-world assessment, primary data from suppliers, manufacturing facilities, and logistics providers would be collected to reduce uncertainty. Emission factors from specific, up-to-date regional databases (e.g., latest Ecoinvent versions, DEFRA 2025/2026 conversion factors) would also enhance accuracy. A sensitivity analysis would typically be performed to understand the impact of variations in key assumptions.</w:t>
      </w:r>
    </w:p>
    <w:p>
      <w:r>
        <w:pict>
          <v:rect style="width:0;height:1.5pt" o:hralign="center" o:hrstd="t" o:hr="t"/>
        </w:pict>
      </w:r>
    </w:p>
    <w:bookmarkEnd w:id="38"/>
    <w:bookmarkEnd w:id="39"/>
    <w:bookmarkEnd w:id="40"/>
    <w:bookmarkStart w:id="41" w:name="recommendations-for-emission-reduction"/>
    <w:p>
      <w:pPr>
        <w:pStyle w:val="Heading2"/>
      </w:pPr>
      <w:r>
        <w:t xml:space="preserve">2. Recommendations for Emission Reduction</w:t>
      </w:r>
    </w:p>
    <w:p>
      <w:pPr>
        <w:pStyle w:val="FirstParagraph"/>
      </w:pPr>
      <w:r>
        <w:t xml:space="preserve">To reduce the carbon footprint of \'drzylsimpt\', mromfqwgvs should consider focusing on the identified hotspots:</w:t>
      </w:r>
    </w:p>
    <w:p>
      <w:pPr>
        <w:numPr>
          <w:ilvl w:val="0"/>
          <w:numId w:val="1020"/>
        </w:numPr>
        <w:pStyle w:val="Compact"/>
      </w:pPr>
      <w:r>
        <w:rPr>
          <w:bCs/>
          <w:b/>
        </w:rPr>
        <w:t xml:space="preserve">Reduce Use Phase Emissions:</w:t>
      </w:r>
    </w:p>
    <w:p>
      <w:pPr>
        <w:numPr>
          <w:ilvl w:val="1"/>
          <w:numId w:val="1021"/>
        </w:numPr>
        <w:pStyle w:val="Compact"/>
      </w:pPr>
      <w:r>
        <w:t xml:space="preserve">Explore product design for enhanced energy efficiency during operation.</w:t>
      </w:r>
    </w:p>
    <w:p>
      <w:pPr>
        <w:numPr>
          <w:ilvl w:val="1"/>
          <w:numId w:val="1021"/>
        </w:numPr>
        <w:pStyle w:val="Compact"/>
      </w:pPr>
      <w:r>
        <w:t xml:space="preserve">Investigate opportunities for promoting renewable energy adoption by end-users or offering renewable energy offsets for product usage.</w:t>
      </w:r>
    </w:p>
    <w:p>
      <w:pPr>
        <w:numPr>
          <w:ilvl w:val="1"/>
          <w:numId w:val="1021"/>
        </w:numPr>
        <w:pStyle w:val="Compact"/>
      </w:pPr>
      <w:r>
        <w:t xml:space="preserve">Consider extending product lifespan to amortize embodied emissions over a longer period.</w:t>
      </w:r>
    </w:p>
    <w:p>
      <w:pPr>
        <w:numPr>
          <w:ilvl w:val="0"/>
          <w:numId w:val="1020"/>
        </w:numPr>
        <w:pStyle w:val="Compact"/>
      </w:pPr>
      <w:r>
        <w:rPr>
          <w:bCs/>
          <w:b/>
        </w:rPr>
        <w:t xml:space="preserve">Optimize Material Selection and Design:</w:t>
      </w:r>
    </w:p>
    <w:p>
      <w:pPr>
        <w:numPr>
          <w:ilvl w:val="1"/>
          <w:numId w:val="1022"/>
        </w:numPr>
        <w:pStyle w:val="Compact"/>
      </w:pPr>
      <w:r>
        <w:t xml:space="preserve">Research alternative materials with lower embodied carbon, while maintaining product performance and quality.</w:t>
      </w:r>
    </w:p>
    <w:p>
      <w:pPr>
        <w:numPr>
          <w:ilvl w:val="1"/>
          <w:numId w:val="1022"/>
        </w:numPr>
        <w:pStyle w:val="Compact"/>
      </w:pPr>
      <w:r>
        <w:t xml:space="preserve">Optimize material usage to reduce overall quantity required.</w:t>
      </w:r>
    </w:p>
    <w:p>
      <w:pPr>
        <w:numPr>
          <w:ilvl w:val="1"/>
          <w:numId w:val="1022"/>
        </w:numPr>
        <w:pStyle w:val="Compact"/>
      </w:pPr>
      <w:r>
        <w:t xml:space="preserve">Increase the use of recycled content in materials where feasible.</w:t>
      </w:r>
    </w:p>
    <w:p>
      <w:pPr>
        <w:numPr>
          <w:ilvl w:val="0"/>
          <w:numId w:val="1020"/>
        </w:numPr>
        <w:pStyle w:val="Compact"/>
      </w:pPr>
      <w:r>
        <w:rPr>
          <w:bCs/>
          <w:b/>
        </w:rPr>
        <w:t xml:space="preserve">Decarbonize Production:</w:t>
      </w:r>
    </w:p>
    <w:p>
      <w:pPr>
        <w:numPr>
          <w:ilvl w:val="1"/>
          <w:numId w:val="1023"/>
        </w:numPr>
        <w:pStyle w:val="Compact"/>
      </w:pPr>
      <w:r>
        <w:t xml:space="preserve">Increase renewable energy procurement for manufacturing operations beyond the current 50%.</w:t>
      </w:r>
    </w:p>
    <w:p>
      <w:pPr>
        <w:numPr>
          <w:ilvl w:val="1"/>
          <w:numId w:val="1023"/>
        </w:numPr>
        <w:pStyle w:val="Compact"/>
      </w:pPr>
      <w:r>
        <w:t xml:space="preserve">Implement energy efficiency measures in production processes.</w:t>
      </w:r>
    </w:p>
    <w:p>
      <w:pPr>
        <w:numPr>
          <w:ilvl w:val="0"/>
          <w:numId w:val="1020"/>
        </w:numPr>
        <w:pStyle w:val="Compact"/>
      </w:pPr>
      <w:r>
        <w:rPr>
          <w:bCs/>
          <w:b/>
        </w:rPr>
        <w:t xml:space="preserve">Enhance Circular Economy Initiatives:</w:t>
      </w:r>
    </w:p>
    <w:p>
      <w:pPr>
        <w:numPr>
          <w:ilvl w:val="1"/>
          <w:numId w:val="1024"/>
        </w:numPr>
        <w:pStyle w:val="Compact"/>
      </w:pPr>
      <w:r>
        <w:t xml:space="preserve">Further develop and promote the existing take-back programs (`uemwumjkxd`) to maximize material recovery and reuse.</w:t>
      </w:r>
    </w:p>
    <w:p>
      <w:pPr>
        <w:numPr>
          <w:ilvl w:val="1"/>
          <w:numId w:val="1024"/>
        </w:numPr>
        <w:pStyle w:val="Compact"/>
      </w:pPr>
      <w:r>
        <w:t xml:space="preserve">Explore design-for-disassembly and repairability to extend product life and facilitate recycling.</w:t>
      </w:r>
    </w:p>
    <w:p>
      <w:pPr>
        <w:numPr>
          <w:ilvl w:val="1"/>
          <w:numId w:val="1024"/>
        </w:numPr>
        <w:pStyle w:val="Compact"/>
      </w:pPr>
      <w:r>
        <w:t xml:space="preserve">Investigate closed-loop recycling opportunities for key components.</w:t>
      </w:r>
    </w:p>
    <w:p>
      <w:r>
        <w:pict>
          <v:rect style="width:0;height:1.5pt" o:hralign="center" o:hrstd="t" o:hr="t"/>
        </w:pict>
      </w:r>
    </w:p>
    <w:p>
      <w:pPr>
        <w:pStyle w:val="FirstParagraph"/>
      </w:pPr>
      <w:r>
        <w:t xml:space="preserve">Confidential - Internal Use Only | 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drzylsimpt</dc:title>
  <dc:creator/>
  <dc:description>High-detail Product Carbon Footprint (PCF) analysis report for drzylsimpt by Senior Sustainability Consultant jghoqmrtsm, adhering to GHG Protocol standards and including 2026 LSR updates.</dc:description>
  <dc:language>en</dc:language>
  <cp:keywords/>
  <dcterms:created xsi:type="dcterms:W3CDTF">2026-07-15T14:22:13Z</dcterms:created>
  <dcterms:modified xsi:type="dcterms:W3CDTF">2026-07-15T14:22:13Z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