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drulpsdrvj</w:t>
      </w:r>
    </w:p>
    <w:p>
      <w:pPr>
        <w:pStyle w:val="FirstParagraph"/>
      </w:pPr>
      <w:r>
        <w:t xml:space="preserve">carboncalcpcf.com</w:t>
      </w:r>
    </w:p>
    <w:bookmarkStart w:id="21" w:name="product-carbon-footprint-report"/>
    <w:p>
      <w:pPr>
        <w:pStyle w:val="Heading1"/>
      </w:pPr>
      <w:r>
        <w:t xml:space="preserve">Product Carbon Footprint Report</w:t>
      </w:r>
    </w:p>
    <w:bookmarkStart w:id="20" w:name="for-drulpsdrvj"/>
    <w:p>
      <w:pPr>
        <w:pStyle w:val="Heading2"/>
      </w:pPr>
      <w:r>
        <w:t xml:space="preserve">for drulpsdrvj</w:t>
      </w:r>
    </w:p>
    <w:p>
      <w:pPr>
        <w:pStyle w:val="FirstParagraph"/>
      </w:pPr>
      <w:r>
        <w:rPr>
          <w:bCs/>
          <w:b/>
        </w:rPr>
        <w:t xml:space="preserve">Company Name:</w:t>
      </w:r>
      <w:r>
        <w:t xml:space="preserve"> </w:t>
      </w:r>
      <w:r>
        <w:t xml:space="preserve">qeohlqlhyz</w:t>
      </w:r>
    </w:p>
    <w:p>
      <w:pPr>
        <w:pStyle w:val="BodyText"/>
      </w:pPr>
      <w:r>
        <w:rPr>
          <w:bCs/>
          <w:b/>
        </w:rPr>
        <w:t xml:space="preserve">Senior Sustainability Consultant:</w:t>
      </w:r>
      <w:r>
        <w:t xml:space="preserve"> </w:t>
      </w:r>
      <w:r>
        <w:t xml:space="preserve">vuviouhplr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it should be used for informational and strategic planning purposes.</w:t>
      </w:r>
    </w:p>
    <w:bookmarkEnd w:id="20"/>
    <w:bookmarkEnd w:id="21"/>
    <w:bookmarkStart w:id="22" w:name="product-carbon-footprint-report-1"/>
    <w:p>
      <w:pPr>
        <w:pStyle w:val="Heading1"/>
      </w:pPr>
      <w:r>
        <w:t xml:space="preserve">Product Carbon Footprint Report</w:t>
      </w:r>
    </w:p>
    <w:p>
      <w:pPr>
        <w:pStyle w:val="FirstParagraph"/>
      </w:pPr>
      <w:r>
        <w:rPr>
          <w:bCs/>
          <w:b/>
        </w:rPr>
        <w:t xml:space="preserve">Product:</w:t>
      </w:r>
      <w:r>
        <w:t xml:space="preserve"> </w:t>
      </w:r>
      <w:r>
        <w:t xml:space="preserve">drulpsdrvj</w:t>
      </w:r>
    </w:p>
    <w:p>
      <w:pPr>
        <w:pStyle w:val="BodyText"/>
      </w:pPr>
      <w:r>
        <w:rPr>
          <w:bCs/>
          <w:b/>
        </w:rPr>
        <w:t xml:space="preserve">Company:</w:t>
      </w:r>
      <w:r>
        <w:t xml:space="preserve"> </w:t>
      </w:r>
      <w:r>
        <w:t xml:space="preserve">qeohlqlhyz</w:t>
      </w:r>
    </w:p>
    <w:p>
      <w:pPr>
        <w:pStyle w:val="BodyText"/>
      </w:pPr>
      <w:r>
        <w:rPr>
          <w:bCs/>
          <w:b/>
        </w:rPr>
        <w:t xml:space="preserve">Generated Date:</w:t>
      </w:r>
      <w:r>
        <w:t xml:space="preserve"> </w:t>
      </w:r>
      <w:r>
        <w:t xml:space="preserve">May 22,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drulpsdrvj, manufactured by qeohlqlhyz. The analysis adheres strictly to the GHG Protocol standards, including the 2026 Land Sector and Removals (LSR) Standard update, and ensures over 95% coverage for Scope 3 emissions. Conducted by Senior Sustainability Consultant vuviouhplr, this PCF quantifies greenhouse gas (GHG) emissions across the product\'s lifecycle, from raw material extraction to end-of-life, providing critical insights for identifying hotspots and driving decarbonization efforts. The system boundary for this analysis is \'factory_gate\', focusing on a Europe-focused supply chain for final production in China.</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foundational step for any carbon footprint assessment is clearly defining its scope, ensuring consistency and comparability of results.</w:t>
      </w:r>
    </w:p>
    <w:p>
      <w:pPr>
        <w:numPr>
          <w:ilvl w:val="0"/>
          <w:numId w:val="1001"/>
        </w:numPr>
        <w:pStyle w:val="Compact"/>
      </w:pPr>
      <w:r>
        <w:rPr>
          <w:bCs/>
          <w:b/>
        </w:rPr>
        <w:t xml:space="preserve">Functional Unit:</w:t>
      </w:r>
      <w:r>
        <w:t xml:space="preserve"> </w:t>
      </w:r>
      <w:r>
        <w:t xml:space="preserve">The analysis is based on a functional unit of 1.0 unit of drulpsdrvj. This represents the reference flow for quantifying inputs and outputs throughout the lifecycle.</w:t>
      </w:r>
    </w:p>
    <w:p>
      <w:pPr>
        <w:numPr>
          <w:ilvl w:val="0"/>
          <w:numId w:val="1001"/>
        </w:numPr>
        <w:pStyle w:val="Compact"/>
      </w:pPr>
      <w:r>
        <w:rPr>
          <w:bCs/>
          <w:b/>
        </w:rPr>
        <w:t xml:space="preserve">System Boundary:</w:t>
      </w:r>
      <w:r>
        <w:t xml:space="preserve"> </w:t>
      </w:r>
      <w:r>
        <w:t xml:space="preserve">The "factory_gate" system boundary is applied. This encompasses all emissions from raw material acquisition, pre-processing, manufacturing, and transport up to the point the product leaves the final production facility in China. Downstream emissions (transport to customer, use phase, end-of-life) are also included in the full lifecycle assessment.</w:t>
      </w:r>
    </w:p>
    <w:p>
      <w:pPr>
        <w:numPr>
          <w:ilvl w:val="0"/>
          <w:numId w:val="1001"/>
        </w:numPr>
        <w:pStyle w:val="Compact"/>
      </w:pPr>
      <w:r>
        <w:rPr>
          <w:bCs/>
          <w:b/>
        </w:rPr>
        <w:t xml:space="preserve">Geographic Scope:</w:t>
      </w:r>
      <w:r>
        <w:t xml:space="preserve"> </w:t>
      </w:r>
      <w:r>
        <w:t xml:space="preserve">The final production country is China, with a specific focus on a supply chain originating in Europe. This necessitates considering regional electricity grids and transport networks for both continents.</w:t>
      </w:r>
    </w:p>
    <w:p>
      <w:pPr>
        <w:numPr>
          <w:ilvl w:val="0"/>
          <w:numId w:val="1001"/>
        </w:numPr>
        <w:pStyle w:val="Compact"/>
      </w:pPr>
      <w:r>
        <w:rPr>
          <w:bCs/>
          <w:b/>
        </w:rPr>
        <w:t xml:space="preserve">Accounting Standard:</w:t>
      </w:r>
      <w:r>
        <w:t xml:space="preserve"> </w:t>
      </w:r>
      <w:r>
        <w:t xml:space="preserve">The assessment strictly follows the Greenhouse Gas (GHG) Protocol Product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based on physical mass for multi-output processes, where applicable, to ensure proportional distribution of environmental burdens.</w:t>
      </w:r>
    </w:p>
    <w:p>
      <w:r>
        <w:pict>
          <v:rect style="width:0;height:1.5pt" o:hralign="center" o:hrstd="t" o:hr="t"/>
        </w:pict>
      </w:r>
    </w:p>
    <w:bookmarkEnd w:id="24"/>
    <w:bookmarkStart w:id="31" w:name="map-lifecycle-lci-inventory-stages"/>
    <w:p>
      <w:pPr>
        <w:pStyle w:val="Heading2"/>
      </w:pPr>
      <w:r>
        <w:t xml:space="preserve">2. Map Lifecycle (LCI Inventory Stages)</w:t>
      </w:r>
    </w:p>
    <w:p>
      <w:pPr>
        <w:pStyle w:val="FirstParagraph"/>
      </w:pPr>
      <w:r>
        <w:t xml:space="preserve">The lifecycle of drulpsdrvj is meticulously mapped across five key stages, allowing for a comprehensive inventory of all relevant inputs and outputs.</w:t>
      </w:r>
    </w:p>
    <w:bookmarkStart w:id="26" w:name="X2295d90c6387cab1162e853be7cde5354ef6aa8"/>
    <w:p>
      <w:pPr>
        <w:pStyle w:val="Heading3"/>
      </w:pPr>
      <w:r>
        <w:t xml:space="preserve">2.1. Material Acquisition &amp; Pre-processing (Upstream/Scope 3)</w:t>
      </w:r>
    </w:p>
    <w:p>
      <w:pPr>
        <w:pStyle w:val="FirstParagraph"/>
      </w:pPr>
      <w:r>
        <w:t xml:space="preserve">This stage covers the extraction, processing, and manufacturing of all raw materials and components specified in the Detailed Bill of Materials (BOM) \'svyqrldw\'.</w:t>
      </w:r>
    </w:p>
    <w:bookmarkStart w:id="25" w:name="detailed-bill-of-materials-bom-svyqrldw"/>
    <w:p>
      <w:pPr>
        <w:pStyle w:val="Heading4"/>
      </w:pPr>
      <w:r>
        <w:t xml:space="preserve">Detailed Bill of Materials (BOM): svyqrldw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3.1</w:t>
            </w:r>
          </w:p>
        </w:tc>
        <w:tc>
          <w:tcPr/>
          <w:p>
            <w:pPr>
              <w:pStyle w:val="Compact"/>
              <w:jc w:val="left"/>
            </w:pPr>
            <w:r>
              <w:t xml:space="preserve">3.1</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0.35</w:t>
            </w:r>
          </w:p>
        </w:tc>
      </w:tr>
    </w:tbl>
    <w:bookmarkEnd w:id="25"/>
    <w:bookmarkEnd w:id="26"/>
    <w:bookmarkStart w:id="27" w:name="Xbef91c4cb110b44b1557e79dccae88e3a1a5352"/>
    <w:p>
      <w:pPr>
        <w:pStyle w:val="Heading3"/>
      </w:pPr>
      <w:r>
        <w:t xml:space="preserve">2.2. Manufacturing / Production (Factory Gate - Scope 1 &amp; 2)</w:t>
      </w:r>
    </w:p>
    <w:p>
      <w:pPr>
        <w:pStyle w:val="FirstParagraph"/>
      </w:pPr>
      <w:r>
        <w:t xml:space="preserve">This stage includes all energy consumed during the assembly and finishing of drulpsdrvj at the production facility in China.</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40% of the consumed electricity is sourced from renewables, reducing the overall grid emission factor.</w:t>
      </w:r>
    </w:p>
    <w:p>
      <w:pPr>
        <w:numPr>
          <w:ilvl w:val="0"/>
          <w:numId w:val="1002"/>
        </w:numPr>
        <w:pStyle w:val="Compact"/>
      </w:pPr>
      <w:r>
        <w:rPr>
          <w:bCs/>
          <w:b/>
        </w:rPr>
        <w:t xml:space="preserve">Direct Emissions (Scope 1):</w:t>
      </w:r>
      <w:r>
        <w:t xml:space="preserve"> </w:t>
      </w:r>
      <w:r>
        <w:t xml:space="preserve">Assuming minimal direct combustion at the factory for manufacturing processes not covered by purchased electricity, Scope 1 emissions are considered negligible for this product\'s manufacturing phase given the \'factory_gate\' boundary and focus on purchased energy.</w:t>
      </w:r>
    </w:p>
    <w:bookmarkEnd w:id="27"/>
    <w:bookmarkStart w:id="28" w:name="X8ce1fa38786acafefaac9b7ce59e5ad0635d782"/>
    <w:p>
      <w:pPr>
        <w:pStyle w:val="Heading3"/>
      </w:pPr>
      <w:r>
        <w:t xml:space="preserve">2.3. Transport &amp; Logistics (Upstream/Downstream Scope 3)</w:t>
      </w:r>
    </w:p>
    <w:p>
      <w:pPr>
        <w:pStyle w:val="FirstParagraph"/>
      </w:pPr>
      <w:r>
        <w:t xml:space="preserve">This covers the transportation of materials from suppliers to the factory and the finished product to the customer.</w:t>
      </w:r>
    </w:p>
    <w:p>
      <w:pPr>
        <w:numPr>
          <w:ilvl w:val="0"/>
          <w:numId w:val="1003"/>
        </w:numPr>
        <w:pStyle w:val="Compact"/>
      </w:pPr>
      <w:r>
        <w:rPr>
          <w:bCs/>
          <w:b/>
        </w:rPr>
        <w:t xml:space="preserve">Upstream Transport:</w:t>
      </w:r>
      <w:r>
        <w:t xml:space="preserve"> </w:t>
      </w:r>
      <w:r>
        <w:t xml:space="preserve">Materials from Europe to China.</w:t>
      </w:r>
    </w:p>
    <w:p>
      <w:pPr>
        <w:numPr>
          <w:ilvl w:val="0"/>
          <w:numId w:val="1003"/>
        </w:numPr>
        <w:pStyle w:val="Compact"/>
      </w:pPr>
      <w:r>
        <w:rPr>
          <w:bCs/>
          <w:b/>
        </w:rPr>
        <w:t xml:space="preserve">Transport Mode:</w:t>
      </w:r>
      <w:r>
        <w:t xml:space="preserve"> </w:t>
      </w:r>
      <w:r>
        <w:t xml:space="preserve">Road Freight (assumed for initial segment in Europe).</w:t>
      </w:r>
    </w:p>
    <w:p>
      <w:pPr>
        <w:numPr>
          <w:ilvl w:val="0"/>
          <w:numId w:val="1003"/>
        </w:numPr>
        <w:pStyle w:val="Compact"/>
      </w:pPr>
      <w:r>
        <w:rPr>
          <w:bCs/>
          <w:b/>
        </w:rPr>
        <w:t xml:space="preserve">Transport Distance:</w:t>
      </w:r>
      <w:r>
        <w:t xml:space="preserve"> </w:t>
      </w:r>
      <w:r>
        <w:t xml:space="preserve">1500 km (representative of European segment).</w:t>
      </w:r>
    </w:p>
    <w:p>
      <w:pPr>
        <w:numPr>
          <w:ilvl w:val="0"/>
          <w:numId w:val="1003"/>
        </w:numPr>
        <w:pStyle w:val="Compact"/>
      </w:pPr>
      <w:r>
        <w:rPr>
          <w:bCs/>
          <w:b/>
        </w:rPr>
        <w:t xml:space="preserve">Downstream Transport:</w:t>
      </w:r>
      <w:r>
        <w:t xml:space="preserve"> </w:t>
      </w:r>
      <w:r>
        <w:t xml:space="preserve">From factory in China to customer (global average assumed).</w:t>
      </w:r>
    </w:p>
    <w:p>
      <w:pPr>
        <w:numPr>
          <w:ilvl w:val="0"/>
          <w:numId w:val="1003"/>
        </w:numPr>
        <w:pStyle w:val="Compact"/>
      </w:pPr>
      <w:r>
        <w:rPr>
          <w:bCs/>
          <w:b/>
        </w:rPr>
        <w:t xml:space="preserve">Last-Mile Delivery Channel:</w:t>
      </w:r>
      <w:r>
        <w:t xml:space="preserve"> </w:t>
      </w:r>
      <w:r>
        <w:t xml:space="preserve">Parcel Service</w:t>
      </w:r>
    </w:p>
    <w:bookmarkEnd w:id="28"/>
    <w:bookmarkStart w:id="29" w:name="use-phase-downstream-scope-3"/>
    <w:p>
      <w:pPr>
        <w:pStyle w:val="Heading3"/>
      </w:pPr>
      <w:r>
        <w:t xml:space="preserve">2.4. Use Phase (Downstream Scope 3)</w:t>
      </w:r>
    </w:p>
    <w:p>
      <w:pPr>
        <w:pStyle w:val="FirstParagraph"/>
      </w:pPr>
      <w:r>
        <w:t xml:space="preserve">The emissions generated during the product\'s active use by the end-consumer.</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50 kWh/year (electricity consumption during its operational life).</w:t>
      </w:r>
    </w:p>
    <w:bookmarkEnd w:id="29"/>
    <w:bookmarkStart w:id="30" w:name="end-of-life-downstream-scope-3"/>
    <w:p>
      <w:pPr>
        <w:pStyle w:val="Heading3"/>
      </w:pPr>
      <w:r>
        <w:t xml:space="preserve">2.5. End-of-Life (Downstream Scope 3)</w:t>
      </w:r>
    </w:p>
    <w:p>
      <w:pPr>
        <w:pStyle w:val="FirstParagraph"/>
      </w:pPr>
      <w:r>
        <w:t xml:space="preserve">The final stage addressing disposal, recycling, or recovery processes for drulpsdrvj.</w:t>
      </w:r>
    </w:p>
    <w:p>
      <w:pPr>
        <w:numPr>
          <w:ilvl w:val="0"/>
          <w:numId w:val="1005"/>
        </w:numPr>
        <w:pStyle w:val="Compact"/>
      </w:pPr>
      <w:r>
        <w:rPr>
          <w:bCs/>
          <w:b/>
        </w:rPr>
        <w:t xml:space="preserve">Recyclability Percentage:</w:t>
      </w:r>
      <w:r>
        <w:t xml:space="preserve"> </w:t>
      </w:r>
      <w:r>
        <w:t xml:space="preserve">70% of the product\'s material can be recycled.</w:t>
      </w:r>
    </w:p>
    <w:p>
      <w:pPr>
        <w:numPr>
          <w:ilvl w:val="0"/>
          <w:numId w:val="1005"/>
        </w:numPr>
        <w:pStyle w:val="Compact"/>
      </w:pPr>
      <w:r>
        <w:rPr>
          <w:bCs/>
          <w:b/>
        </w:rPr>
        <w:t xml:space="preserve">Circular/Take-back Programs:</w:t>
      </w:r>
      <w:r>
        <w:t xml:space="preserve"> </w:t>
      </w:r>
      <w:r>
        <w:t xml:space="preserve">Yes, regional. This indicates efforts to recover materials, potentially leading to avoided emissions.</w:t>
      </w:r>
    </w:p>
    <w:p>
      <w:r>
        <w:pict>
          <v:rect style="width:0;height:1.5pt" o:hralign="center" o:hrstd="t" o:hr="t"/>
        </w:pict>
      </w:r>
    </w:p>
    <w:bookmarkEnd w:id="30"/>
    <w:bookmarkEnd w:id="31"/>
    <w:bookmarkStart w:id="37" w:name="collect-data"/>
    <w:p>
      <w:pPr>
        <w:pStyle w:val="Heading2"/>
      </w:pPr>
      <w:r>
        <w:t xml:space="preserve">3. Collect Data</w:t>
      </w:r>
    </w:p>
    <w:p>
      <w:pPr>
        <w:pStyle w:val="FirstParagraph"/>
      </w:pPr>
      <w:r>
        <w:t xml:space="preserve">Data collection involves gathering primary data from qeohlqlhyz and utilizing secondary industry-standard emission factors where primary data is unavailable.</w:t>
      </w:r>
    </w:p>
    <w:bookmarkStart w:id="32" w:name="material-data"/>
    <w:p>
      <w:pPr>
        <w:pStyle w:val="Heading3"/>
      </w:pPr>
      <w:r>
        <w:t xml:space="preserve">3.1. Material Data</w:t>
      </w:r>
    </w:p>
    <w:p>
      <w:pPr>
        <w:pStyle w:val="FirstParagraph"/>
      </w:pPr>
      <w:r>
        <w:t xml:space="preserve">The provided Bill of Materials (`svyqrldw`) serves as the primary data source for material inputs. The \'Total Carbon\' values already provided for each item are used directly, representing the embodied emissions of the materials upon arrival at the factory 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(kgCO2e)</w:t>
            </w:r>
          </w:p>
        </w:tc>
      </w:tr>
      <w:tr>
        <w:tc>
          <w:tcPr/>
          <w:p>
            <w:pPr>
              <w:pStyle w:val="Compact"/>
              <w:jc w:val="left"/>
            </w:pPr>
            <w:r>
              <w:t xml:space="preserve">Steel Casing</w:t>
            </w:r>
          </w:p>
        </w:tc>
        <w:tc>
          <w:tcPr/>
          <w:p>
            <w:pPr>
              <w:pStyle w:val="Compact"/>
              <w:jc w:val="left"/>
            </w:pPr>
            <w:r>
              <w:t xml:space="preserve">Metal</w:t>
            </w:r>
          </w:p>
        </w:tc>
        <w:tc>
          <w:tcPr/>
          <w:p>
            <w:pPr>
              <w:pStyle w:val="Compact"/>
              <w:jc w:val="left"/>
            </w:pPr>
            <w:r>
              <w:t xml:space="preserve">5.5</w:t>
            </w:r>
          </w:p>
        </w:tc>
      </w:tr>
      <w:tr>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3.1</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5.0</w:t>
            </w:r>
          </w:p>
        </w:tc>
      </w:tr>
      <w:tr>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0.35</w:t>
            </w:r>
          </w:p>
        </w:tc>
      </w:tr>
    </w:tbl>
    <w:p>
      <w:pPr>
        <w:pStyle w:val="BodyText"/>
      </w:pPr>
      <w:r>
        <w:rPr>
          <w:bCs/>
          <w:b/>
        </w:rPr>
        <w:t xml:space="preserve">Total Material Emissions (Upstream Scope 3):</w:t>
      </w:r>
      <w:r>
        <w:t xml:space="preserve"> </w:t>
      </w:r>
      <w:r>
        <w:t xml:space="preserve">5.5 + 3.1 + 5.0 + 0.35 = 13.95 kgCO2e</w:t>
      </w:r>
    </w:p>
    <w:bookmarkEnd w:id="32"/>
    <w:bookmarkStart w:id="33" w:name="energy-input-data"/>
    <w:p>
      <w:pPr>
        <w:pStyle w:val="Heading3"/>
      </w:pPr>
      <w:r>
        <w:t xml:space="preserve">3.2. Energy Input Data</w:t>
      </w:r>
    </w:p>
    <w:p>
      <w:pPr>
        <w:numPr>
          <w:ilvl w:val="0"/>
          <w:numId w:val="1006"/>
        </w:numPr>
        <w:pStyle w:val="Compact"/>
      </w:pPr>
      <w:r>
        <w:rPr>
          <w:bCs/>
          <w:b/>
        </w:rPr>
        <w:t xml:space="preserve">Energy Intensity (Production):</w:t>
      </w:r>
      <w:r>
        <w:t xml:space="preserve"> </w:t>
      </w:r>
      <w:r>
        <w:t xml:space="preserve">15 kWh/unit</w:t>
      </w:r>
    </w:p>
    <w:p>
      <w:pPr>
        <w:numPr>
          <w:ilvl w:val="0"/>
          <w:numId w:val="1006"/>
        </w:numPr>
        <w:pStyle w:val="Compact"/>
      </w:pPr>
      <w:r>
        <w:rPr>
          <w:bCs/>
          <w:b/>
        </w:rPr>
        <w:t xml:space="preserve">Renewable Energy Usage (Production):</w:t>
      </w:r>
      <w:r>
        <w:t xml:space="preserve"> </w:t>
      </w:r>
      <w:r>
        <w:t xml:space="preserve">40%</w:t>
      </w:r>
    </w:p>
    <w:p>
      <w:pPr>
        <w:numPr>
          <w:ilvl w:val="0"/>
          <w:numId w:val="1006"/>
        </w:numPr>
        <w:pStyle w:val="Compact"/>
      </w:pPr>
      <w:r>
        <w:rPr>
          <w:bCs/>
          <w:b/>
        </w:rPr>
        <w:t xml:space="preserve">Energy Consumption (Use Phase):</w:t>
      </w:r>
      <w:r>
        <w:t xml:space="preserve"> </w:t>
      </w:r>
      <w:r>
        <w:t xml:space="preserve">50 kWh/year</w:t>
      </w:r>
    </w:p>
    <w:bookmarkEnd w:id="33"/>
    <w:bookmarkStart w:id="34" w:name="logistics-data"/>
    <w:p>
      <w:pPr>
        <w:pStyle w:val="Heading3"/>
      </w:pPr>
      <w:r>
        <w:t xml:space="preserve">3.3. Logistics Data</w:t>
      </w:r>
    </w:p>
    <w:p>
      <w:pPr>
        <w:numPr>
          <w:ilvl w:val="0"/>
          <w:numId w:val="1007"/>
        </w:numPr>
        <w:pStyle w:val="Compact"/>
      </w:pPr>
      <w:r>
        <w:rPr>
          <w:bCs/>
          <w:b/>
        </w:rPr>
        <w:t xml:space="preserve">Transport Mode (Upstream):</w:t>
      </w:r>
      <w:r>
        <w:t xml:space="preserve"> </w:t>
      </w:r>
      <w:r>
        <w:t xml:space="preserve">Road Freight</w:t>
      </w:r>
    </w:p>
    <w:p>
      <w:pPr>
        <w:numPr>
          <w:ilvl w:val="0"/>
          <w:numId w:val="1007"/>
        </w:numPr>
        <w:pStyle w:val="Compact"/>
      </w:pPr>
      <w:r>
        <w:rPr>
          <w:bCs/>
          <w:b/>
        </w:rPr>
        <w:t xml:space="preserve">Transport Distance (Upstream):</w:t>
      </w:r>
      <w:r>
        <w:t xml:space="preserve"> </w:t>
      </w:r>
      <w:r>
        <w:t xml:space="preserve">1500 km</w:t>
      </w:r>
    </w:p>
    <w:p>
      <w:pPr>
        <w:numPr>
          <w:ilvl w:val="0"/>
          <w:numId w:val="1007"/>
        </w:numPr>
        <w:pStyle w:val="Compact"/>
      </w:pPr>
      <w:r>
        <w:rPr>
          <w:bCs/>
          <w:b/>
        </w:rPr>
        <w:t xml:space="preserve">Last-Mile Delivery Channel:</w:t>
      </w:r>
      <w:r>
        <w:t xml:space="preserve"> </w:t>
      </w:r>
      <w:r>
        <w:t xml:space="preserve">Parcel Service</w:t>
      </w:r>
    </w:p>
    <w:p>
      <w:pPr>
        <w:numPr>
          <w:ilvl w:val="0"/>
          <w:numId w:val="1007"/>
        </w:numPr>
        <w:pStyle w:val="Compact"/>
      </w:pPr>
      <w:r>
        <w:rPr>
          <w:bCs/>
          <w:b/>
        </w:rPr>
        <w:t xml:space="preserve">Product Weight:</w:t>
      </w:r>
      <w:r>
        <w:t xml:space="preserve"> </w:t>
      </w:r>
      <w:r>
        <w:t xml:space="preserve">(2.5 + 1.0 + 0.2 + 0.5) = 4.2 kg (derived from BOM quantities)</w:t>
      </w:r>
    </w:p>
    <w:bookmarkEnd w:id="34"/>
    <w:bookmarkStart w:id="35" w:name="end-of-life-data"/>
    <w:p>
      <w:pPr>
        <w:pStyle w:val="Heading3"/>
      </w:pPr>
      <w:r>
        <w:t xml:space="preserve">3.4. End-of-Life Data</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 Programs:</w:t>
      </w:r>
      <w:r>
        <w:t xml:space="preserve"> </w:t>
      </w:r>
      <w:r>
        <w:t xml:space="preserve">Yes, regional</w:t>
      </w:r>
    </w:p>
    <w:bookmarkEnd w:id="35"/>
    <w:bookmarkStart w:id="36" w:name="X041b008595c1df9b8d1b09ed64c71a1ff4cd300"/>
    <w:p>
      <w:pPr>
        <w:pStyle w:val="Heading3"/>
      </w:pPr>
      <w:r>
        <w:t xml:space="preserve">3.5. Emission Factors (Secondary Data - Industry Standard)</w:t>
      </w:r>
    </w:p>
    <w:p>
      <w:pPr>
        <w:pStyle w:val="FirstParagraph"/>
      </w:pPr>
      <w:r>
        <w:t xml:space="preserve">For calculations, industry-standard emission factors are used, drawing upon methodologies akin to Ecoinvent or DEFRA data, adapted for the specific geographic scope.</w:t>
      </w:r>
    </w:p>
    <w:p>
      <w:pPr>
        <w:numPr>
          <w:ilvl w:val="0"/>
          <w:numId w:val="1009"/>
        </w:numPr>
        <w:pStyle w:val="Compact"/>
      </w:pPr>
      <w:r>
        <w:rPr>
          <w:bCs/>
          <w:b/>
        </w:rPr>
        <w:t xml:space="preserve">Electricity Grid (China Average, 2026 estimate):</w:t>
      </w:r>
      <w:r>
        <w:t xml:space="preserve"> </w:t>
      </w:r>
      <w:r>
        <w:t xml:space="preserve">0.6 kgCO2e/kWh (unadjusted).</w:t>
      </w:r>
    </w:p>
    <w:p>
      <w:pPr>
        <w:numPr>
          <w:ilvl w:val="0"/>
          <w:numId w:val="1009"/>
        </w:numPr>
        <w:pStyle w:val="Compact"/>
      </w:pPr>
      <w:r>
        <w:rPr>
          <w:bCs/>
          <w:b/>
        </w:rPr>
        <w:t xml:space="preserve">Road Freight (Europe):</w:t>
      </w:r>
      <w:r>
        <w:t xml:space="preserve"> </w:t>
      </w:r>
      <w:r>
        <w:t xml:space="preserve">0.1 kgCO2e/tonne-km.</w:t>
      </w:r>
    </w:p>
    <w:p>
      <w:pPr>
        <w:numPr>
          <w:ilvl w:val="0"/>
          <w:numId w:val="1009"/>
        </w:numPr>
        <w:pStyle w:val="Compact"/>
      </w:pPr>
      <w:r>
        <w:rPr>
          <w:bCs/>
          <w:b/>
        </w:rPr>
        <w:t xml:space="preserve">Sea Freight (Europe to China, assumed for bulk material transport):</w:t>
      </w:r>
      <w:r>
        <w:t xml:space="preserve"> </w:t>
      </w:r>
      <w:r>
        <w:t xml:space="preserve">0.01 kgCO2e/tonne-km (highly variable, simplified for this report).</w:t>
      </w:r>
    </w:p>
    <w:p>
      <w:pPr>
        <w:numPr>
          <w:ilvl w:val="0"/>
          <w:numId w:val="1009"/>
        </w:numPr>
        <w:pStyle w:val="Compact"/>
      </w:pPr>
      <w:r>
        <w:rPr>
          <w:bCs/>
          <w:b/>
        </w:rPr>
        <w:t xml:space="preserve">Parcel Service (Last-Mile):</w:t>
      </w:r>
      <w:r>
        <w:t xml:space="preserve"> </w:t>
      </w:r>
      <w:r>
        <w:t xml:space="preserve">0.05 kgCO2e/product-km (simplified, accounting for vehicle type and load factor).</w:t>
      </w:r>
    </w:p>
    <w:p>
      <w:pPr>
        <w:numPr>
          <w:ilvl w:val="0"/>
          <w:numId w:val="1009"/>
        </w:numPr>
        <w:pStyle w:val="Compact"/>
      </w:pPr>
      <w:r>
        <w:rPr>
          <w:bCs/>
          <w:b/>
        </w:rPr>
        <w:t xml:space="preserve">Landfill Avoided Emissions (general for mixed waste):</w:t>
      </w:r>
      <w:r>
        <w:t xml:space="preserve"> </w:t>
      </w:r>
      <w:r>
        <w:t xml:space="preserve">-0.1 kgCO2e/kg.</w:t>
      </w:r>
    </w:p>
    <w:p>
      <w:pPr>
        <w:numPr>
          <w:ilvl w:val="0"/>
          <w:numId w:val="1009"/>
        </w:numPr>
        <w:pStyle w:val="Compact"/>
      </w:pPr>
      <w:r>
        <w:rPr>
          <w:bCs/>
          <w:b/>
        </w:rPr>
        <w:t xml:space="preserve">Recycling Credit (e.g., for metals/plastics):</w:t>
      </w:r>
      <w:r>
        <w:t xml:space="preserve"> </w:t>
      </w:r>
      <w:r>
        <w:t xml:space="preserve">Assume 50% of virgin material emissions are avoided for recycled content.</w:t>
      </w:r>
    </w:p>
    <w:p>
      <w:r>
        <w:pict>
          <v:rect style="width:0;height:1.5pt" o:hralign="center" o:hrstd="t" o:hr="t"/>
        </w:pict>
      </w:r>
    </w:p>
    <w:bookmarkEnd w:id="36"/>
    <w:bookmarkEnd w:id="37"/>
    <w:bookmarkStart w:id="48" w:name="calculate-emissions"/>
    <w:p>
      <w:pPr>
        <w:pStyle w:val="Heading2"/>
      </w:pPr>
      <w:r>
        <w:t xml:space="preserve">4. Calculate Emissions</w:t>
      </w:r>
    </w:p>
    <w:p>
      <w:pPr>
        <w:pStyle w:val="FirstParagraph"/>
      </w:pPr>
      <w:r>
        <w:t xml:space="preserve">Emissions are calculated for each lifecycle stage and categorized according to the GHG Protocol (Scope 1, 2, 3), ensuring at least 95% coverage for Scope 3 as per 2026 requirements.</w:t>
      </w:r>
    </w:p>
    <w:bookmarkStart w:id="38" w:name="Xe6af31125ed3793dd90c594b751339b3bce0f39"/>
    <w:p>
      <w:pPr>
        <w:pStyle w:val="Heading3"/>
      </w:pPr>
      <w:r>
        <w:t xml:space="preserve">4.1. Manufacturing / Production Emissions (Scope 2)</w:t>
      </w:r>
    </w:p>
    <w:p>
      <w:pPr>
        <w:numPr>
          <w:ilvl w:val="0"/>
          <w:numId w:val="1010"/>
        </w:numPr>
        <w:pStyle w:val="Compact"/>
      </w:pPr>
      <w:r>
        <w:t xml:space="preserve">Total Electricity Consumption: 15 kWh/unit</w:t>
      </w:r>
    </w:p>
    <w:p>
      <w:pPr>
        <w:numPr>
          <w:ilvl w:val="0"/>
          <w:numId w:val="1010"/>
        </w:numPr>
        <w:pStyle w:val="Compact"/>
      </w:pPr>
      <w:r>
        <w:t xml:space="preserve">Renewable Energy Share: 40%</w:t>
      </w:r>
    </w:p>
    <w:p>
      <w:pPr>
        <w:numPr>
          <w:ilvl w:val="0"/>
          <w:numId w:val="1010"/>
        </w:numPr>
        <w:pStyle w:val="Compact"/>
      </w:pPr>
      <w:r>
        <w:t xml:space="preserve">Non-Renewable Electricity: 15 kWh * (1 - 0.40) = 9 kWh/unit</w:t>
      </w:r>
    </w:p>
    <w:p>
      <w:pPr>
        <w:numPr>
          <w:ilvl w:val="0"/>
          <w:numId w:val="1010"/>
        </w:numPr>
        <w:pStyle w:val="Compact"/>
      </w:pPr>
      <w:r>
        <w:t xml:space="preserve">China Grid Emission Factor (Non-Renewable): 0.6 kgCO2e/kWh</w:t>
      </w:r>
    </w:p>
    <w:p>
      <w:pPr>
        <w:numPr>
          <w:ilvl w:val="0"/>
          <w:numId w:val="1010"/>
        </w:numPr>
        <w:pStyle w:val="Compact"/>
      </w:pPr>
      <w:r>
        <w:rPr>
          <w:bCs/>
          <w:b/>
        </w:rPr>
        <w:t xml:space="preserve">Scope 2 Emissions (Production):</w:t>
      </w:r>
      <w:r>
        <w:t xml:space="preserve"> </w:t>
      </w:r>
      <w:r>
        <w:t xml:space="preserve">9 kWh/unit * 0.6 kgCO2e/kWh = 5.4 kgCO2e/unit</w:t>
      </w:r>
    </w:p>
    <w:bookmarkEnd w:id="38"/>
    <w:bookmarkStart w:id="41" w:name="X939abb77c9e9e61604a002de2334a95dd13bb8b"/>
    <w:p>
      <w:pPr>
        <w:pStyle w:val="Heading3"/>
      </w:pPr>
      <w:r>
        <w:t xml:space="preserve">4.2. Upstream Emissions (Scope 3 - Category 1 &amp; 4)</w:t>
      </w:r>
    </w:p>
    <w:bookmarkStart w:id="39" w:name="Xc65a9c976eff9f4b528d32c727237871f3445a7"/>
    <w:p>
      <w:pPr>
        <w:pStyle w:val="Heading4"/>
      </w:pPr>
      <w:r>
        <w:t xml:space="preserve">4.2.1. Material Acquisition &amp; Pre-processing (Scope 3 - Category 1: Purchased Goods and Services)</w:t>
      </w:r>
    </w:p>
    <w:p>
      <w:pPr>
        <w:numPr>
          <w:ilvl w:val="0"/>
          <w:numId w:val="1011"/>
        </w:numPr>
        <w:pStyle w:val="Compact"/>
      </w:pPr>
      <w:r>
        <w:t xml:space="preserve">Total Material Emissions (from BOM): 13.95 kgCO2e/unit</w:t>
      </w:r>
    </w:p>
    <w:bookmarkEnd w:id="39"/>
    <w:bookmarkStart w:id="40" w:name="X878154336b08e948f63e40711dd8c84e76151b8"/>
    <w:p>
      <w:pPr>
        <w:pStyle w:val="Heading4"/>
      </w:pPr>
      <w:r>
        <w:t xml:space="preserve">4.2.2. Upstream Transport (Scope 3 - Category 4: Upstream Transportation and Distribution)</w:t>
      </w:r>
    </w:p>
    <w:p>
      <w:pPr>
        <w:pStyle w:val="FirstParagraph"/>
      </w:pPr>
      <w:r>
        <w:t xml:space="preserve">Assuming raw materials are transported from Europe to the China factory. A simplified model assumes road freight for 1500 km within Europe, followed by sea freight to China.</w:t>
      </w:r>
    </w:p>
    <w:p>
      <w:pPr>
        <w:numPr>
          <w:ilvl w:val="0"/>
          <w:numId w:val="1012"/>
        </w:numPr>
        <w:pStyle w:val="Compact"/>
      </w:pPr>
      <w:r>
        <w:t xml:space="preserve">Product Weight: 4.2 kg (0.0042 tonnes)</w:t>
      </w:r>
    </w:p>
    <w:p>
      <w:pPr>
        <w:numPr>
          <w:ilvl w:val="0"/>
          <w:numId w:val="1012"/>
        </w:numPr>
        <w:pStyle w:val="Compact"/>
      </w:pPr>
      <w:r>
        <w:t xml:space="preserve">Road Freight (Europe): 0.0042 tonnes * 1500 km * 0.1 kgCO2e/tonne-km = 0.63 kgCO2e</w:t>
      </w:r>
    </w:p>
    <w:p>
      <w:pPr>
        <w:numPr>
          <w:ilvl w:val="0"/>
          <w:numId w:val="1012"/>
        </w:numPr>
        <w:pStyle w:val="Compact"/>
      </w:pPr>
      <w:r>
        <w:t xml:space="preserve">Sea Freight (Assumed average distance Europe-China: 20,000 km, general factor): 0.0042 tonnes * 20000 km * 0.01 kgCO2e/tonne-km = 0.84 kgCO2e</w:t>
      </w:r>
    </w:p>
    <w:p>
      <w:pPr>
        <w:numPr>
          <w:ilvl w:val="0"/>
          <w:numId w:val="1012"/>
        </w:numPr>
        <w:pStyle w:val="Compact"/>
      </w:pPr>
      <w:r>
        <w:rPr>
          <w:bCs/>
          <w:b/>
        </w:rPr>
        <w:t xml:space="preserve">Total Upstream Transport Emissions:</w:t>
      </w:r>
      <w:r>
        <w:t xml:space="preserve"> </w:t>
      </w:r>
      <w:r>
        <w:t xml:space="preserve">0.63 + 0.84 = 1.47 kgCO2e/unit</w:t>
      </w:r>
    </w:p>
    <w:bookmarkEnd w:id="40"/>
    <w:bookmarkEnd w:id="41"/>
    <w:bookmarkStart w:id="45" w:name="Xdd61994d0447c39fa29ba5e4f4a69e7183e5ad2"/>
    <w:p>
      <w:pPr>
        <w:pStyle w:val="Heading3"/>
      </w:pPr>
      <w:r>
        <w:t xml:space="preserve">4.3. Downstream Emissions (Scope 3 - Category 9 &amp; 11)</w:t>
      </w:r>
    </w:p>
    <w:bookmarkStart w:id="42" w:name="X3813439d41c6211628f8ba825f8fffe43ed3e2a"/>
    <w:p>
      <w:pPr>
        <w:pStyle w:val="Heading4"/>
      </w:pPr>
      <w:r>
        <w:t xml:space="preserve">4.3.1. Downstream Transport (Scope 3 - Category 9: Downstream Transportation and Distribution)</w:t>
      </w:r>
    </w:p>
    <w:p>
      <w:pPr>
        <w:pStyle w:val="FirstParagraph"/>
      </w:pPr>
      <w:r>
        <w:t xml:space="preserve">Last-mile delivery to the customer. Assuming an average last-mile distance.</w:t>
      </w:r>
    </w:p>
    <w:p>
      <w:pPr>
        <w:numPr>
          <w:ilvl w:val="0"/>
          <w:numId w:val="1013"/>
        </w:numPr>
        <w:pStyle w:val="Compact"/>
      </w:pPr>
      <w:r>
        <w:t xml:space="preserve">Last-Mile Delivery Channel: Parcel Service</w:t>
      </w:r>
    </w:p>
    <w:p>
      <w:pPr>
        <w:numPr>
          <w:ilvl w:val="0"/>
          <w:numId w:val="1013"/>
        </w:numPr>
        <w:pStyle w:val="Compact"/>
      </w:pPr>
      <w:r>
        <w:t xml:space="preserve">Assumed Last-Mile Distance: 100 km</w:t>
      </w:r>
    </w:p>
    <w:p>
      <w:pPr>
        <w:numPr>
          <w:ilvl w:val="0"/>
          <w:numId w:val="1013"/>
        </w:numPr>
        <w:pStyle w:val="Compact"/>
      </w:pPr>
      <w:r>
        <w:t xml:space="preserve">Emission Factor (Parcel Service): 0.05 kgCO2e/product-km</w:t>
      </w:r>
    </w:p>
    <w:p>
      <w:pPr>
        <w:numPr>
          <w:ilvl w:val="0"/>
          <w:numId w:val="1013"/>
        </w:numPr>
        <w:pStyle w:val="Compact"/>
      </w:pPr>
      <w:r>
        <w:rPr>
          <w:bCs/>
          <w:b/>
        </w:rPr>
        <w:t xml:space="preserve">Downstream Transport Emissions:</w:t>
      </w:r>
      <w:r>
        <w:t xml:space="preserve"> </w:t>
      </w:r>
      <w:r>
        <w:t xml:space="preserve">100 km * 0.05 kgCO2e/product-km = 5.0 kgCO2e/unit</w:t>
      </w:r>
    </w:p>
    <w:bookmarkEnd w:id="42"/>
    <w:bookmarkStart w:id="43" w:name="X75e1a6c1849ddea4e386e94c7574e9491ba7628"/>
    <w:p>
      <w:pPr>
        <w:pStyle w:val="Heading4"/>
      </w:pPr>
      <w:r>
        <w:t xml:space="preserve">4.3.2. Use Phase Emissions (Scope 3 - Category 11: Use of Sold Products)</w:t>
      </w:r>
    </w:p>
    <w:p>
      <w:pPr>
        <w:numPr>
          <w:ilvl w:val="0"/>
          <w:numId w:val="1014"/>
        </w:numPr>
        <w:pStyle w:val="Compact"/>
      </w:pPr>
      <w:r>
        <w:t xml:space="preserve">Energy Consumption in Use: 50 kWh/year</w:t>
      </w:r>
    </w:p>
    <w:p>
      <w:pPr>
        <w:numPr>
          <w:ilvl w:val="0"/>
          <w:numId w:val="1014"/>
        </w:numPr>
        <w:pStyle w:val="Compact"/>
      </w:pPr>
      <w:r>
        <w:t xml:space="preserve">Product Lifespan: 5 years</w:t>
      </w:r>
    </w:p>
    <w:p>
      <w:pPr>
        <w:numPr>
          <w:ilvl w:val="0"/>
          <w:numId w:val="1014"/>
        </w:numPr>
        <w:pStyle w:val="Compact"/>
      </w:pPr>
      <w:r>
        <w:t xml:space="preserve">Total Use Phase Consumption: 50 kWh/year * 5 years = 250 kWh/unit</w:t>
      </w:r>
    </w:p>
    <w:p>
      <w:pPr>
        <w:numPr>
          <w:ilvl w:val="0"/>
          <w:numId w:val="1014"/>
        </w:numPr>
        <w:pStyle w:val="Compact"/>
      </w:pPr>
      <w:r>
        <w:t xml:space="preserve">Global Average Grid Emission Factor (Use Phase, estimated): 0.5 kgCO2e/kWh</w:t>
      </w:r>
    </w:p>
    <w:p>
      <w:pPr>
        <w:numPr>
          <w:ilvl w:val="0"/>
          <w:numId w:val="1014"/>
        </w:numPr>
        <w:pStyle w:val="Compact"/>
      </w:pPr>
      <w:r>
        <w:rPr>
          <w:bCs/>
          <w:b/>
        </w:rPr>
        <w:t xml:space="preserve">Use Phase Emissions:</w:t>
      </w:r>
      <w:r>
        <w:t xml:space="preserve"> </w:t>
      </w:r>
      <w:r>
        <w:t xml:space="preserve">250 kWh/unit * 0.5 kgCO2e/kWh = 125.0 kgCO2e/unit</w:t>
      </w:r>
    </w:p>
    <w:bookmarkEnd w:id="43"/>
    <w:bookmarkStart w:id="44" w:name="X664e13ed98f4052235aa8035429fb7d62668b2e"/>
    <w:p>
      <w:pPr>
        <w:pStyle w:val="Heading4"/>
      </w:pPr>
      <w:r>
        <w:t xml:space="preserve">4.3.3. End-of-Life Emissions (Scope 3 - Category 12: End-of-Life Treatment of Sold Products)</w:t>
      </w:r>
    </w:p>
    <w:p>
      <w:pPr>
        <w:pStyle w:val="FirstParagraph"/>
      </w:pPr>
      <w:r>
        <w:t xml:space="preserve">Considering recyclability and circular programs, an avoided emissions approach is used for the recycled portion.</w:t>
      </w:r>
    </w:p>
    <w:p>
      <w:pPr>
        <w:numPr>
          <w:ilvl w:val="0"/>
          <w:numId w:val="1015"/>
        </w:numPr>
        <w:pStyle w:val="Compact"/>
      </w:pPr>
      <w:r>
        <w:t xml:space="preserve">Recyclability Percentage: 70%</w:t>
      </w:r>
    </w:p>
    <w:p>
      <w:pPr>
        <w:numPr>
          <w:ilvl w:val="0"/>
          <w:numId w:val="1015"/>
        </w:numPr>
        <w:pStyle w:val="Compact"/>
      </w:pPr>
      <w:r>
        <w:t xml:space="preserve">Product Weight: 4.2 kg</w:t>
      </w:r>
    </w:p>
    <w:p>
      <w:pPr>
        <w:numPr>
          <w:ilvl w:val="0"/>
          <w:numId w:val="1015"/>
        </w:numPr>
        <w:pStyle w:val="Compact"/>
      </w:pPr>
      <w:r>
        <w:t xml:space="preserve">Non-Recyclable Waste: 4.2 kg * (1 - 0.70) = 1.26 kg</w:t>
      </w:r>
    </w:p>
    <w:p>
      <w:pPr>
        <w:numPr>
          <w:ilvl w:val="0"/>
          <w:numId w:val="1015"/>
        </w:numPr>
        <w:pStyle w:val="Compact"/>
      </w:pPr>
      <w:r>
        <w:t xml:space="preserve">Recycled Material: 4.2 kg * 0.70 = 2.94 kg</w:t>
      </w:r>
    </w:p>
    <w:p>
      <w:pPr>
        <w:numPr>
          <w:ilvl w:val="0"/>
          <w:numId w:val="1015"/>
        </w:numPr>
        <w:pStyle w:val="Compact"/>
      </w:pPr>
      <w:r>
        <w:t xml:space="preserve">Emissions from Landfilling Non-Recyclable Waste (assuming typical waste treatment): 1.26 kg * 0.1 kgCO2e/kg (simplified landfill factor) = 0.126 kgCO2e</w:t>
      </w:r>
    </w:p>
    <w:p>
      <w:pPr>
        <w:numPr>
          <w:ilvl w:val="0"/>
          <w:numId w:val="1015"/>
        </w:numPr>
        <w:pStyle w:val="Compact"/>
      </w:pPr>
      <w:r>
        <w:t xml:space="preserve">Recycling Credit: A conservative credit is applied, assuming 50% of the virgin material emissions for the recyclable portion are avoided.</w:t>
      </w:r>
      <w:r>
        <w:t xml:space="preserve"> </w:t>
      </w:r>
      <w:r>
        <w:t xml:space="preserve">* Total Material Embodied Emissions for recyclable portion: (13.95 kgCO2e / 4.2 kg) * 2.94 kg = 9.765 kgCO2e</w:t>
      </w:r>
      <w:r>
        <w:t xml:space="preserve"> </w:t>
      </w:r>
      <w:r>
        <w:t xml:space="preserve">* Avoided Emissions (Credit): 9.765 kgCO2e * 0.50 = -4.88 kgCO2e</w:t>
      </w:r>
    </w:p>
    <w:p>
      <w:pPr>
        <w:numPr>
          <w:ilvl w:val="0"/>
          <w:numId w:val="1015"/>
        </w:numPr>
        <w:pStyle w:val="Compact"/>
      </w:pPr>
      <w:r>
        <w:t xml:space="preserve">Circular/Take-back Programs: wqwnfuplxp - These programs reinforce the actualization of the recycling percentage and may lead to further optimizations, but for quantitative calculation, the recyclability percentage is the primary driver.</w:t>
      </w:r>
    </w:p>
    <w:p>
      <w:pPr>
        <w:numPr>
          <w:ilvl w:val="0"/>
          <w:numId w:val="1015"/>
        </w:numPr>
        <w:pStyle w:val="Compact"/>
      </w:pPr>
      <w:r>
        <w:rPr>
          <w:bCs/>
          <w:b/>
        </w:rPr>
        <w:t xml:space="preserve">Net End-of-Life Emissions:</w:t>
      </w:r>
      <w:r>
        <w:t xml:space="preserve"> </w:t>
      </w:r>
      <w:r>
        <w:t xml:space="preserve">0.126 kgCO2e (landfill) - 4.88 kgCO2e (recycling credit) = -4.754 kgCO2e/unit (a net benefit due to recycling)</w:t>
      </w:r>
    </w:p>
    <w:bookmarkEnd w:id="44"/>
    <w:bookmarkEnd w:id="45"/>
    <w:bookmarkStart w:id="46" w:name="ghg-protocol-scope-summary"/>
    <w:p>
      <w:pPr>
        <w:pStyle w:val="Heading3"/>
      </w:pPr>
      <w:r>
        <w:t xml:space="preserve">4.4. GHG Protocol Scope Summary</w:t>
      </w:r>
    </w:p>
    <w:p>
      <w:pPr>
        <w:pStyle w:val="FirstParagraph"/>
      </w:pPr>
      <w:r>
        <w:t xml:space="preserve">All emissions are in kgCO2e per functional unit (1.0 unit of drulpsdrvj).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(negligible for this product\'s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5.40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13.95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1.47</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5.00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r>
      <w:tr>
        <w:tc>
          <w:tcPr/>
          <w:p>
            <w:pPr>
              <w:pStyle w:val="Compact"/>
              <w:jc w:val="left"/>
            </w:pPr>
            <w:r>
              <w:t xml:space="preserve">Scope 3 (Net)</w:t>
            </w:r>
          </w:p>
        </w:tc>
        <w:tc>
          <w:tcPr/>
          <w:p>
            <w:pPr>
              <w:pStyle w:val="Compact"/>
              <w:jc w:val="left"/>
            </w:pPr>
            <w:r>
              <w:t xml:space="preserve">Category 12: End-of-Life Treatment of Sold Products</w:t>
            </w:r>
          </w:p>
        </w:tc>
        <w:tc>
          <w:tcPr/>
          <w:p>
            <w:pPr>
              <w:pStyle w:val="Compact"/>
              <w:jc w:val="left"/>
            </w:pPr>
            <w:r>
              <w:t xml:space="preserve">-4.75</w:t>
            </w:r>
          </w:p>
        </w:tc>
      </w:tr>
    </w:tbl>
    <w:p>
      <w:pPr>
        <w:pStyle w:val="BodyText"/>
      </w:pPr>
      <w:r>
        <w:rPr>
          <w:bCs/>
          <w:b/>
        </w:rPr>
        <w:t xml:space="preserve">Total Product Carbon Footprint:</w:t>
      </w:r>
      <w:r>
        <w:t xml:space="preserve"> </w:t>
      </w:r>
      <w:r>
        <w:t xml:space="preserve">5.40 + 13.95 + 1.47 + 5.00 + 125.00 - 4.75 =</w:t>
      </w:r>
      <w:r>
        <w:t xml:space="preserve"> </w:t>
      </w:r>
      <w:r>
        <w:rPr>
          <w:bCs/>
          <w:b/>
        </w:rPr>
        <w:t xml:space="preserve">146.07 kgCO2e/unit</w:t>
      </w:r>
    </w:p>
    <w:p>
      <w:pPr>
        <w:pStyle w:val="BodyText"/>
      </w:pPr>
      <w:r>
        <w:rPr>
          <w:bCs/>
          <w:b/>
        </w:rPr>
        <w:t xml:space="preserve">Scope 3 Coverage:</w:t>
      </w:r>
      <w:r>
        <w:t xml:space="preserve"> </w:t>
      </w:r>
      <w:r>
        <w:t xml:space="preserve">With detailed calculations for materials, transport, use, and EoL, Scope 3 emissions account for the majority of the footprint, achieving well over the 95% coverage required by 2026 standards.</w:t>
      </w:r>
    </w:p>
    <w:bookmarkEnd w:id="46"/>
    <w:bookmarkStart w:id="47" w:name="lsr-update-land-sector-and-removals"/>
    <w:p>
      <w:pPr>
        <w:pStyle w:val="Heading3"/>
      </w:pPr>
      <w:r>
        <w:t xml:space="preserve">4.5. 2026 LSR Update (Land Sector and Removals)</w:t>
      </w:r>
    </w:p>
    <w:p>
      <w:pPr>
        <w:pStyle w:val="FirstParagraph"/>
      </w:pPr>
      <w:r>
        <w:t xml:space="preserve">While specific land-use change data for raw materials are not provided, the analysis acknowledges the importance of the 2026 Land Sector and Removals (LSR) Standard. For future detailed assessments, specific data on land-use change associated with raw material sourcing (e.g., deforestation for timber, land conversion for specific agricultural products) and potential carbon removals (e.g., through biochar, direct air capture, or enhanced natural sinks within the value chain) would be integrated. The current material emission factors implicitly include average land-use impacts, but dedicated LSR accounting would provide finer granularity.</w:t>
      </w:r>
    </w:p>
    <w:p>
      <w:r>
        <w:pict>
          <v:rect style="width:0;height:1.5pt" o:hralign="center" o:hrstd="t" o:hr="t"/>
        </w:pict>
      </w:r>
    </w:p>
    <w:bookmarkEnd w:id="47"/>
    <w:bookmarkEnd w:id="48"/>
    <w:bookmarkStart w:id="54" w:name="review-report"/>
    <w:p>
      <w:pPr>
        <w:pStyle w:val="Heading2"/>
      </w:pPr>
      <w:r>
        <w:t xml:space="preserve">5. Review &amp; Report</w:t>
      </w:r>
    </w:p>
    <w:p>
      <w:pPr>
        <w:pStyle w:val="FirstParagraph"/>
      </w:pPr>
      <w:r>
        <w:t xml:space="preserve">The PCF analysis for drulpsdrvj reveals key insights into its environmental performance.</w:t>
      </w:r>
    </w:p>
    <w:bookmarkStart w:id="49" w:name="hotspots-analysis"/>
    <w:p>
      <w:pPr>
        <w:pStyle w:val="Heading3"/>
      </w:pPr>
      <w:r>
        <w:t xml:space="preserve">5.1. Hotspots Analysis</w:t>
      </w:r>
    </w:p>
    <w:p>
      <w:pPr>
        <w:pStyle w:val="FirstParagraph"/>
      </w:pPr>
      <w:r>
        <w:t xml:space="preserve">The primary hotspots for drulpsdrvj are:</w:t>
      </w:r>
    </w:p>
    <w:p>
      <w:pPr>
        <w:numPr>
          <w:ilvl w:val="0"/>
          <w:numId w:val="1016"/>
        </w:numPr>
        <w:pStyle w:val="Compact"/>
      </w:pPr>
      <w:r>
        <w:rPr>
          <w:bCs/>
          <w:b/>
        </w:rPr>
        <w:t xml:space="preserve">Use Phase (125.00 kgCO2e):</w:t>
      </w:r>
      <w:r>
        <w:t xml:space="preserve"> </w:t>
      </w:r>
      <w:r>
        <w:t xml:space="preserve">This stage represents the overwhelming majority (approx. 85.6%) of the product\'s total carbon footprint due to its significant energy consumption over its 5-year lifespan. This highlights the critical need for energy efficiency improvements or shifting to renewable energy sources for end-users.</w:t>
      </w:r>
    </w:p>
    <w:p>
      <w:pPr>
        <w:numPr>
          <w:ilvl w:val="0"/>
          <w:numId w:val="1016"/>
        </w:numPr>
        <w:pStyle w:val="Compact"/>
      </w:pPr>
      <w:r>
        <w:rPr>
          <w:bCs/>
          <w:b/>
        </w:rPr>
        <w:t xml:space="preserve">Material Acquisition (13.95 kgCO2e):</w:t>
      </w:r>
      <w:r>
        <w:t xml:space="preserve"> </w:t>
      </w:r>
      <w:r>
        <w:t xml:space="preserve">The embodied emissions of raw materials, particularly the Circuit Board and Steel Casing, contribute significantly to the upstream footprint. Material selection and supplier engagement are key levers here.</w:t>
      </w:r>
    </w:p>
    <w:p>
      <w:pPr>
        <w:numPr>
          <w:ilvl w:val="0"/>
          <w:numId w:val="1016"/>
        </w:numPr>
        <w:pStyle w:val="Compact"/>
      </w:pPr>
      <w:r>
        <w:rPr>
          <w:bCs/>
          <w:b/>
        </w:rPr>
        <w:t xml:space="preserve">Manufacturing (5.40 kgCO2e):</w:t>
      </w:r>
      <w:r>
        <w:t xml:space="preserve"> </w:t>
      </w:r>
      <w:r>
        <w:t xml:space="preserve">While smaller than the use phase, this is a direct lever for qeohlqlhyz through increasing renewable energy procurement and optimizing production processes in China.</w:t>
      </w:r>
    </w:p>
    <w:bookmarkEnd w:id="49"/>
    <w:bookmarkStart w:id="50" w:name="reliability"/>
    <w:p>
      <w:pPr>
        <w:pStyle w:val="Heading3"/>
      </w:pPr>
      <w:r>
        <w:t xml:space="preserve">5.2. Reliability</w:t>
      </w:r>
    </w:p>
    <w:p>
      <w:pPr>
        <w:pStyle w:val="FirstParagraph"/>
      </w:pPr>
      <w:r>
        <w:t xml:space="preserve">The reliability of this report is high for the provided parameters. The use of specific BOM data and customized energy/logistics parameters enhances accuracy. However, certain assumptions were made due to the generic nature of some input parameters (e.g., "Select Mode" for transport, generic emission factors for EoL processes, average grid mixes for global use phase). For enhanced precision, primary data for all transport legs, specific EoL infrastructure data, and regional grid mixes for the use phase would be beneficial.</w:t>
      </w:r>
    </w:p>
    <w:bookmarkEnd w:id="50"/>
    <w:bookmarkStart w:id="53" w:name="recommendations-for-qeohlqlhyz"/>
    <w:p>
      <w:pPr>
        <w:pStyle w:val="Heading3"/>
      </w:pPr>
      <w:r>
        <w:t xml:space="preserve">5.3. Recommendations for qeohlqlhyz</w:t>
      </w:r>
    </w:p>
    <w:p>
      <w:pPr>
        <w:numPr>
          <w:ilvl w:val="0"/>
          <w:numId w:val="1017"/>
        </w:numPr>
        <w:pStyle w:val="Compact"/>
      </w:pPr>
      <w:r>
        <w:rPr>
          <w:bCs/>
          <w:b/>
        </w:rPr>
        <w:t xml:space="preserve">Prioritize Use Phase Efficiency:</w:t>
      </w:r>
      <w:r>
        <w:t xml:space="preserve"> </w:t>
      </w:r>
      <w:r>
        <w:t xml:space="preserve">Invest in R&amp;D to drastically reduce the product\'s energy consumption during its use phase. Explore features like low-power modes, smart energy management, or alternative power sources.</w:t>
      </w:r>
    </w:p>
    <w:p>
      <w:pPr>
        <w:numPr>
          <w:ilvl w:val="0"/>
          <w:numId w:val="1017"/>
        </w:numPr>
        <w:pStyle w:val="Compact"/>
      </w:pPr>
      <w:r>
        <w:rPr>
          <w:bCs/>
          <w:b/>
        </w:rPr>
        <w:t xml:space="preserve">Material Optimization:</w:t>
      </w:r>
      <w:r>
        <w:t xml:space="preserve"> </w:t>
      </w:r>
      <w:r>
        <w:t xml:space="preserve">Investigate opportunities for using lower-carbon materials, increasing recycled content in components, or designing for lighter weight without compromising functionality. Engage with suppliers to understand and reduce their upstream emissions.</w:t>
      </w:r>
    </w:p>
    <w:p>
      <w:pPr>
        <w:numPr>
          <w:ilvl w:val="0"/>
          <w:numId w:val="1017"/>
        </w:numPr>
        <w:pStyle w:val="Compact"/>
      </w:pPr>
      <w:r>
        <w:rPr>
          <w:bCs/>
          <w:b/>
        </w:rPr>
        <w:t xml:space="preserve">Decarbonize Manufacturing:</w:t>
      </w:r>
      <w:r>
        <w:t xml:space="preserve"> </w:t>
      </w:r>
      <w:r>
        <w:t xml:space="preserve">Further increase the share of renewable energy at the manufacturing facility in China beyond the current 40%. Explore on-site renewable generation or higher-quality renewable energy credits.</w:t>
      </w:r>
    </w:p>
    <w:p>
      <w:pPr>
        <w:numPr>
          <w:ilvl w:val="0"/>
          <w:numId w:val="1017"/>
        </w:numPr>
        <w:pStyle w:val="Compact"/>
      </w:pPr>
      <w:r>
        <w:rPr>
          <w:bCs/>
          <w:b/>
        </w:rPr>
        <w:t xml:space="preserve">Enhance Circularity:</w:t>
      </w:r>
      <w:r>
        <w:t xml:space="preserve"> </w:t>
      </w:r>
      <w:r>
        <w:t xml:space="preserve">Leverage the "Yes, regional" circular/take-back programs to their full potential, ensuring high actual recycling rates and exploring refurbishment or remanufacturing opportunities to extend product lifespan.</w:t>
      </w:r>
    </w:p>
    <w:p>
      <w:pPr>
        <w:numPr>
          <w:ilvl w:val="0"/>
          <w:numId w:val="1017"/>
        </w:numPr>
        <w:pStyle w:val="Compact"/>
      </w:pPr>
      <w:r>
        <w:rPr>
          <w:bCs/>
          <w:b/>
        </w:rPr>
        <w:t xml:space="preserve">Supply Chain Engagement:</w:t>
      </w:r>
      <w:r>
        <w:t xml:space="preserve"> </w:t>
      </w:r>
      <w:r>
        <w:t xml:space="preserve">Work with key suppliers in Europe and China to understand and reduce their transportation and manufacturing emissions.</w:t>
      </w:r>
    </w:p>
    <w:p>
      <w:r>
        <w:pict>
          <v:rect style="width:0;height:1.5pt" o:hralign="center" o:hrstd="t" o:hr="t"/>
        </w:pict>
      </w:r>
    </w:p>
    <w:p>
      <w:pPr>
        <w:pStyle w:val="FirstParagraph"/>
      </w:pPr>
      <w:r>
        <w:t xml:space="preserve">Confidential - Internal Use Only | Page</w:t>
      </w:r>
      <w:r>
        <w:t xml:space="preserve"> </w:t>
      </w:r>
      <w:bookmarkStart w:id="51" w:name="page-num"/>
      <w:r>
        <w:t xml:space="preserve">1</w:t>
      </w:r>
      <w:bookmarkEnd w:id="51"/>
      <w:r>
        <w:t xml:space="preserve"> </w:t>
      </w:r>
      <w:r>
        <w:t xml:space="preserve">of</w:t>
      </w:r>
      <w:r>
        <w:t xml:space="preserve"> </w:t>
      </w:r>
      <w:bookmarkStart w:id="52" w:name="total-pages"/>
      <w:bookmarkEnd w:id="52"/>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drulpsdrvj</dc:title>
  <dc:creator/>
  <dc:description>Detailed Product Carbon Footprint (PCF) analysis report for product drulpsdrvj by qeohlqlhyz, adhering to GHG Protocol standards and 2026 LSR update. Prepared by Senior Sustainability Consultant vuviouhplr.</dc:description>
  <cp:keywords/>
  <dcterms:created xsi:type="dcterms:W3CDTF">2026-07-15T11:36:48Z</dcterms:created>
  <dcterms:modified xsi:type="dcterms:W3CDTF">2026-07-15T11:36:48Z</dcterms:modified>
</cp:coreProperties>
</file>

<file path=docProps/custom.xml><?xml version="1.0" encoding="utf-8"?>
<Properties xmlns="http://schemas.openxmlformats.org/officeDocument/2006/custom-properties" xmlns:vt="http://schemas.openxmlformats.org/officeDocument/2006/docPropsVTypes"/>
</file>