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dqwzjytjjo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dqwzjytjjo</w:t>
      </w:r>
    </w:p>
    <w:p>
      <w:pPr>
        <w:pStyle w:val="BodyText"/>
      </w:pPr>
      <w:r>
        <w:rPr>
          <w:bCs/>
          <w:b/>
        </w:rPr>
        <w:t xml:space="preserve">Company Name:</w:t>
      </w:r>
      <w:r>
        <w:t xml:space="preserve"> </w:t>
      </w:r>
      <w:r>
        <w:t xml:space="preserve">iejdurzksl</w:t>
      </w:r>
    </w:p>
    <w:p>
      <w:pPr>
        <w:pStyle w:val="BodyText"/>
      </w:pPr>
      <w:r>
        <w:rPr>
          <w:bCs/>
          <w:b/>
        </w:rPr>
        <w:t xml:space="preserve">Senior Sustainability Consultant:</w:t>
      </w:r>
      <w:r>
        <w:t xml:space="preserve"> </w:t>
      </w:r>
      <w:r>
        <w:t xml:space="preserve">rkjtyidogt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actual carbon footprint may vary based on specific operational details and evolving methodologies.</w:t>
      </w:r>
    </w:p>
    <w:bookmarkEnd w:id="20"/>
    <w:bookmarkStart w:id="21" w:name="product-carbon-footprint-report"/>
    <w:p>
      <w:pPr>
        <w:pStyle w:val="Heading1"/>
      </w:pPr>
      <w:r>
        <w:t xml:space="preserve">Product Carbon Footprint Report</w:t>
      </w:r>
    </w:p>
    <w:p>
      <w:pPr>
        <w:pStyle w:val="FirstParagraph"/>
      </w:pPr>
      <w:r>
        <w:t xml:space="preserve">Product: dqwzjytjjo | Generated Date: May 22,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dqwzjytjjo, manufactured by iejdurzksl. The assessment was conducted by rkjtyidogt, Senior Sustainability Consultant, adhering strictly to the GHG Protocol and incorporating the 2026 Land Sector and Removals (LSR) Standard. The analysis covers the full product lifecycle from raw material acquisition to end-of-life (cradle-to-gate plus use and EoL phases), with a system boundary focused primarily on the factory gate for production, extended by explicit use phase and end-of-life considerations. The primary goal is to quantify greenhouse gas (GHG) emissions, identify significant emission hotspots, and provide actionable insights for emission reduction strategies.</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for dqwzjytjjo follows a structured methodology in accordance with the GHG Protocol, ensuring comprehensive and standardized reporting of greenhouse gas emissions.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 1.0 unit of the dqwzjytjjo product.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system boundary for this PCF is defined as "factory_gate", extended to include the use phase and end-of-life treatment to provide a holistic cradle-to-grave perspective for product lifecycle impacts. This includes raw material extraction, manufacturing, transportation (inbound, outbound, last-mile), product use, and end-of-life scenarios.</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raw materials and downstream distribution.</w:t>
      </w:r>
    </w:p>
    <w:p>
      <w:pPr>
        <w:numPr>
          <w:ilvl w:val="0"/>
          <w:numId w:val="1001"/>
        </w:numPr>
        <w:pStyle w:val="Compact"/>
      </w:pPr>
      <w:r>
        <w:rPr>
          <w:bCs/>
          <w:b/>
        </w:rPr>
        <w:t xml:space="preserve">Accounting Standard:</w:t>
      </w:r>
      <w:r>
        <w:t xml:space="preserve"> </w:t>
      </w:r>
      <w:r>
        <w:t xml:space="preserve">The analysis strictly adheres to the Greenhouse Gas (GHG) Protocol Product Standard. Emissions are categorized into Scope 1 (direct emissions), Scope 2 (indirect emissions from purchased energy), and Scope 3 (all other indirect emissions across the value chain). The assessment also applies the 2026 Land Sector and Removals (LSR) Standard for land use and carbon removals where applicable. A minimum of 95% coverage for Scope 3 reporting is ensured as per 2026 requirements.</w:t>
      </w:r>
    </w:p>
    <w:p>
      <w:pPr>
        <w:numPr>
          <w:ilvl w:val="0"/>
          <w:numId w:val="1001"/>
        </w:numPr>
        <w:pStyle w:val="Compact"/>
      </w:pPr>
      <w:r>
        <w:rPr>
          <w:bCs/>
          <w:b/>
        </w:rPr>
        <w:t xml:space="preserve">Allocation:</w:t>
      </w:r>
      <w:r>
        <w:t xml:space="preserve"> </w:t>
      </w:r>
      <w:r>
        <w:t xml:space="preserve">Where shared processes or co-products exist, emissions are allocated based on appropriate physical or economic criteria to ensure accurate attribution to the dqwzjytjjo product.</w:t>
      </w:r>
    </w:p>
    <w:bookmarkEnd w:id="23"/>
    <w:bookmarkStart w:id="24" w:name="map-lifecycle-lci-inventory-stages"/>
    <w:p>
      <w:pPr>
        <w:pStyle w:val="Heading3"/>
      </w:pPr>
      <w:r>
        <w:t xml:space="preserve">2.2. Map Lifecycle (LCI Inventory Stages)</w:t>
      </w:r>
    </w:p>
    <w:p>
      <w:pPr>
        <w:pStyle w:val="FirstParagraph"/>
      </w:pPr>
      <w:r>
        <w:t xml:space="preserve">The lifecycle of dqwzjytjjo is mapped into the following stages to capture all relevant emission sources:</w:t>
      </w:r>
    </w:p>
    <w:p>
      <w:pPr>
        <w:numPr>
          <w:ilvl w:val="0"/>
          <w:numId w:val="1002"/>
        </w:numPr>
        <w:pStyle w:val="Compact"/>
      </w:pPr>
      <w:r>
        <w:rPr>
          <w:bCs/>
          <w:b/>
        </w:rPr>
        <w:t xml:space="preserve">Raw Material Acquisition &amp; Processing:</w:t>
      </w:r>
      <w:r>
        <w:t xml:space="preserve"> </w:t>
      </w:r>
      <w:r>
        <w:t xml:space="preserve">Emissions associated with the extraction, processing, and manufacturing of all components listed in the Detailed Bill of Materials (BOM).</w:t>
      </w:r>
    </w:p>
    <w:p>
      <w:pPr>
        <w:numPr>
          <w:ilvl w:val="0"/>
          <w:numId w:val="1002"/>
        </w:numPr>
        <w:pStyle w:val="Compact"/>
      </w:pPr>
      <w:r>
        <w:rPr>
          <w:bCs/>
          <w:b/>
        </w:rPr>
        <w:t xml:space="preserve">Manufacturing:</w:t>
      </w:r>
      <w:r>
        <w:t xml:space="preserve"> </w:t>
      </w:r>
      <w:r>
        <w:t xml:space="preserve">Emissions from the production processes at iejdurzksl\'s facilities in China, including energy consumption (electricity, heat) and direct process emissions.</w:t>
      </w:r>
    </w:p>
    <w:p>
      <w:pPr>
        <w:numPr>
          <w:ilvl w:val="0"/>
          <w:numId w:val="1002"/>
        </w:numPr>
        <w:pStyle w:val="Compact"/>
      </w:pPr>
      <w:r>
        <w:rPr>
          <w:bCs/>
          <w:b/>
        </w:rPr>
        <w:t xml:space="preserve">Transport (Logistics):</w:t>
      </w:r>
    </w:p>
    <w:p>
      <w:pPr>
        <w:numPr>
          <w:ilvl w:val="1"/>
          <w:numId w:val="1003"/>
        </w:numPr>
        <w:pStyle w:val="Compact"/>
      </w:pPr>
      <w:r>
        <w:t xml:space="preserve">Inbound Logistics: Transportation of raw materials and components from suppliers (Europe Focused) to the manufacturing facility in China.</w:t>
      </w:r>
    </w:p>
    <w:p>
      <w:pPr>
        <w:numPr>
          <w:ilvl w:val="1"/>
          <w:numId w:val="1003"/>
        </w:numPr>
        <w:pStyle w:val="Compact"/>
      </w:pPr>
      <w:r>
        <w:t xml:space="preserve">Outbound Logistics: Transportation of the finished dqwzjytjjo product from the manufacturing facility in China to distribution centers or end-users in Europe.</w:t>
      </w:r>
    </w:p>
    <w:p>
      <w:pPr>
        <w:numPr>
          <w:ilvl w:val="1"/>
          <w:numId w:val="1003"/>
        </w:numPr>
        <w:pStyle w:val="Compact"/>
      </w:pPr>
      <w:r>
        <w:t xml:space="preserve">Last-Mile Delivery: The final stage of transportation from distribution hubs to the end consumer.</w:t>
      </w:r>
    </w:p>
    <w:p>
      <w:pPr>
        <w:numPr>
          <w:ilvl w:val="0"/>
          <w:numId w:val="1002"/>
        </w:numPr>
        <w:pStyle w:val="Compact"/>
      </w:pPr>
      <w:r>
        <w:rPr>
          <w:bCs/>
          <w:b/>
        </w:rPr>
        <w:t xml:space="preserve">Use Phase:</w:t>
      </w:r>
      <w:r>
        <w:t xml:space="preserve"> </w:t>
      </w:r>
      <w:r>
        <w:t xml:space="preserve">Emissions arising from the product\'s energy consumption during its active lifespan, based on defined usage patterns.</w:t>
      </w:r>
    </w:p>
    <w:p>
      <w:pPr>
        <w:numPr>
          <w:ilvl w:val="0"/>
          <w:numId w:val="1002"/>
        </w:numPr>
        <w:pStyle w:val="Compact"/>
      </w:pPr>
      <w:r>
        <w:rPr>
          <w:bCs/>
          <w:b/>
        </w:rPr>
        <w:t xml:space="preserve">End-of-Life (EoL):</w:t>
      </w:r>
      <w:r>
        <w:t xml:space="preserve"> </w:t>
      </w:r>
      <w:r>
        <w:t xml:space="preserve">Emissions or avoided emissions (credits) associated with the disposal, recycling, or recovery of the product at the end of its useful life, considering circular economy initiatives.</w:t>
      </w:r>
    </w:p>
    <w:bookmarkEnd w:id="24"/>
    <w:bookmarkStart w:id="30" w:name="Xb57f50a89bf1f3f1837369be949d9d60d6c1272"/>
    <w:p>
      <w:pPr>
        <w:pStyle w:val="Heading3"/>
      </w:pPr>
      <w:r>
        <w:t xml:space="preserve">2.3. Collect Data (Primary/Secondary Data Points)</w:t>
      </w:r>
    </w:p>
    <w:p>
      <w:pPr>
        <w:pStyle w:val="FirstParagraph"/>
      </w:pPr>
      <w:r>
        <w:t xml:space="preserve">Data collection involved gathering both primary data specific to iejdurzksl\'s operations and secondary data from reputable databases for generic processes and emission factors.</w:t>
      </w:r>
    </w:p>
    <w:bookmarkStart w:id="25" w:name="X26c45dc1af7b8c67f046d04593eac586ab04800"/>
    <w:p>
      <w:pPr>
        <w:pStyle w:val="Heading4"/>
      </w:pPr>
      <w:r>
        <w:t xml:space="preserve">2.3.1. Detailed Bill of Materials (BOM) - ykhhfxop</w:t>
      </w:r>
    </w:p>
    <w:p>
      <w:pPr>
        <w:pStyle w:val="FirstParagraph"/>
      </w:pPr>
      <w:r>
        <w:t xml:space="preserve">The following table details the Bill of Materials for dqwzjytjjo. These specific values have been used for high-accuracy material impact calculations. Emission factors represent cradle-to-gate impacts of the respective material/process.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of item)</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6.50</w:t>
            </w:r>
          </w:p>
        </w:tc>
        <w:tc>
          <w:tcPr/>
          <w:p>
            <w:pPr>
              <w:pStyle w:val="Compact"/>
              <w:jc w:val="left"/>
            </w:pPr>
            <w:r>
              <w:t xml:space="preserve">3.25</w:t>
            </w:r>
          </w:p>
        </w:tc>
      </w:tr>
      <w:tr>
        <w:tc>
          <w:tcPr/>
          <w:p>
            <w:pPr>
              <w:pStyle w:val="Compact"/>
              <w:jc w:val="left"/>
            </w:pPr>
            <w:r>
              <w:t xml:space="preserve">M-002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2.80</w:t>
            </w:r>
          </w:p>
        </w:tc>
        <w:tc>
          <w:tcPr/>
          <w:p>
            <w:pPr>
              <w:pStyle w:val="Compact"/>
              <w:jc w:val="left"/>
            </w:pPr>
            <w:r>
              <w:t xml:space="preserve">2.80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w:t>
            </w:r>
          </w:p>
        </w:tc>
        <w:tc>
          <w:tcPr/>
          <w:p>
            <w:pPr>
              <w:pStyle w:val="Compact"/>
              <w:jc w:val="left"/>
            </w:pPr>
            <w:r>
              <w:t xml:space="preserve">0.36</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gridSpan w:val="7"/>
          </w:tcPr>
          <w:p>
            <w:pPr>
              <w:pStyle w:val="Compact"/>
              <w:jc w:val="right"/>
            </w:pPr>
            <w:r>
              <w:t xml:space="preserve">Total Material Carbon Impact:</w:t>
            </w:r>
          </w:p>
        </w:tc>
        <w:tc>
          <w:tcPr/>
          <w:p>
            <w:pPr>
              <w:pStyle w:val="Compact"/>
              <w:jc w:val="left"/>
            </w:pPr>
            <w:r>
              <w:t xml:space="preserve">8.11</w:t>
            </w:r>
          </w:p>
        </w:tc>
      </w:tr>
    </w:tbl>
    <w:bookmarkEnd w:id="25"/>
    <w:bookmarkStart w:id="26" w:name="logistics-data"/>
    <w:p>
      <w:pPr>
        <w:pStyle w:val="Heading4"/>
      </w:pPr>
      <w:r>
        <w:t xml:space="preserve">2.3.2. Logistics Data</w:t>
      </w:r>
    </w:p>
    <w:p>
      <w:pPr>
        <w:pStyle w:val="FirstParagraph"/>
      </w:pPr>
      <w:r>
        <w:t xml:space="preserve">Specific logistics data was incorporated for the supply chain analysis:</w:t>
      </w:r>
    </w:p>
    <w:p>
      <w:pPr>
        <w:numPr>
          <w:ilvl w:val="0"/>
          <w:numId w:val="1004"/>
        </w:numPr>
        <w:pStyle w:val="Compact"/>
      </w:pPr>
      <w:r>
        <w:rPr>
          <w:bCs/>
          <w:b/>
        </w:rPr>
        <w:t xml:space="preserve">Transport Mode:</w:t>
      </w:r>
      <w:r>
        <w:t xml:space="preserve"> </w:t>
      </w:r>
      <w:r>
        <w:t xml:space="preserve">Select Mode (Inbound: Ocean Freight, Outbound: Ocean Freight, Last-Mile: Road Freight).</w:t>
      </w:r>
    </w:p>
    <w:p>
      <w:pPr>
        <w:numPr>
          <w:ilvl w:val="0"/>
          <w:numId w:val="1004"/>
        </w:numPr>
        <w:pStyle w:val="Compact"/>
      </w:pPr>
      <w:r>
        <w:rPr>
          <w:bCs/>
          <w:b/>
        </w:rPr>
        <w:t xml:space="preserve">Transport Distance:</w:t>
      </w:r>
      <w:r>
        <w:t xml:space="preserve"> </w:t>
      </w:r>
      <w:r>
        <w:t xml:space="preserve">djknqdgqwu (Inbound: 15,000 km, Outbound: 15,000 km, Last-Mile: 500 km).</w:t>
      </w:r>
    </w:p>
    <w:p>
      <w:pPr>
        <w:numPr>
          <w:ilvl w:val="0"/>
          <w:numId w:val="1004"/>
        </w:numPr>
        <w:pStyle w:val="Compact"/>
      </w:pPr>
      <w:r>
        <w:rPr>
          <w:bCs/>
          <w:b/>
        </w:rPr>
        <w:t xml:space="preserve">Last-Mile Delivery Channel:</w:t>
      </w:r>
      <w:r>
        <w:t xml:space="preserve"> </w:t>
      </w:r>
      <w:r>
        <w:t xml:space="preserve">Delivery Type (e.g., Parcel delivery by light commercial vehicle).</w:t>
      </w:r>
    </w:p>
    <w:p>
      <w:pPr>
        <w:pStyle w:val="FirstParagraph"/>
      </w:pPr>
      <w:r>
        <w:rPr>
          <w:iCs/>
          <w:i/>
        </w:rPr>
        <w:t xml:space="preserve">Note: Specific transport emission factors are applied per tonne-kilometer or kg-kilometer. Illustrative factors used for calculation: Ocean Freight ~0.00001 kgCO2e/kg-km; Road Freight (LCV) ~0.0001 kgCO2e/kg-km.</w:t>
      </w:r>
    </w:p>
    <w:bookmarkEnd w:id="26"/>
    <w:bookmarkStart w:id="27" w:name="X56b9d6d03739858614996de57896da5f5bd663e"/>
    <w:p>
      <w:pPr>
        <w:pStyle w:val="Heading4"/>
      </w:pPr>
      <w:r>
        <w:t xml:space="preserve">2.3.3. Production Phase Energy Customization Data</w:t>
      </w:r>
    </w:p>
    <w:p>
      <w:pPr>
        <w:numPr>
          <w:ilvl w:val="0"/>
          <w:numId w:val="1005"/>
        </w:numPr>
        <w:pStyle w:val="Compact"/>
      </w:pPr>
      <w:r>
        <w:rPr>
          <w:bCs/>
          <w:b/>
        </w:rPr>
        <w:t xml:space="preserve">Renewable Energy Usage (zuilxeqlsy):</w:t>
      </w:r>
      <w:r>
        <w:t xml:space="preserve"> </w:t>
      </w:r>
      <w:r>
        <w:t xml:space="preserve">50% renewable electricity used in manufacturing.</w:t>
      </w:r>
    </w:p>
    <w:p>
      <w:pPr>
        <w:numPr>
          <w:ilvl w:val="0"/>
          <w:numId w:val="1005"/>
        </w:numPr>
        <w:pStyle w:val="Compact"/>
      </w:pPr>
      <w:r>
        <w:rPr>
          <w:bCs/>
          <w:b/>
        </w:rPr>
        <w:t xml:space="preserve">Energy Intensity (kWh/unit) (nwdlpwtklu):</w:t>
      </w:r>
      <w:r>
        <w:t xml:space="preserve"> </w:t>
      </w:r>
      <w:r>
        <w:t xml:space="preserve">10 kWh/unit for production.</w:t>
      </w:r>
    </w:p>
    <w:p>
      <w:pPr>
        <w:pStyle w:val="FirstParagraph"/>
      </w:pPr>
      <w:r>
        <w:rPr>
          <w:iCs/>
          <w:i/>
        </w:rPr>
        <w:t xml:space="preserve">Note: Illustrative China grid emission factor used: 0.6 kgCO2e/kWh for non-renewable portion.</w:t>
      </w:r>
    </w:p>
    <w:bookmarkEnd w:id="27"/>
    <w:bookmarkStart w:id="28" w:name="X1ba14a67a329254cce30ddbf9878601bb9c0fa0"/>
    <w:p>
      <w:pPr>
        <w:pStyle w:val="Heading4"/>
      </w:pPr>
      <w:r>
        <w:t xml:space="preserve">2.3.4. Use Phase Durability and Consumption Data</w:t>
      </w:r>
    </w:p>
    <w:p>
      <w:pPr>
        <w:numPr>
          <w:ilvl w:val="0"/>
          <w:numId w:val="1006"/>
        </w:numPr>
        <w:pStyle w:val="Compact"/>
      </w:pPr>
      <w:r>
        <w:rPr>
          <w:bCs/>
          <w:b/>
        </w:rPr>
        <w:t xml:space="preserve">Product Lifespan (fostzevoxf):</w:t>
      </w:r>
      <w:r>
        <w:t xml:space="preserve"> </w:t>
      </w:r>
      <w:r>
        <w:t xml:space="preserve">5 years.</w:t>
      </w:r>
    </w:p>
    <w:p>
      <w:pPr>
        <w:numPr>
          <w:ilvl w:val="0"/>
          <w:numId w:val="1006"/>
        </w:numPr>
        <w:pStyle w:val="Compact"/>
      </w:pPr>
      <w:r>
        <w:rPr>
          <w:bCs/>
          <w:b/>
        </w:rPr>
        <w:t xml:space="preserve">Energy Consumption in Use (dokipnulfd):</w:t>
      </w:r>
      <w:r>
        <w:t xml:space="preserve"> </w:t>
      </w:r>
      <w:r>
        <w:t xml:space="preserve">5 kWh/year.</w:t>
      </w:r>
    </w:p>
    <w:p>
      <w:pPr>
        <w:pStyle w:val="FirstParagraph"/>
      </w:pPr>
      <w:r>
        <w:rPr>
          <w:iCs/>
          <w:i/>
        </w:rPr>
        <w:t xml:space="preserve">Note: Illustrative European average grid emission factor for use phase: 0.25 kgCO2e/kWh.</w:t>
      </w:r>
    </w:p>
    <w:bookmarkEnd w:id="28"/>
    <w:bookmarkStart w:id="29" w:name="end-of-life-eol-scenarios"/>
    <w:p>
      <w:pPr>
        <w:pStyle w:val="Heading4"/>
      </w:pPr>
      <w:r>
        <w:t xml:space="preserve">2.3.5. End-of-Life (EoL) Scenarios</w:t>
      </w:r>
    </w:p>
    <w:p>
      <w:pPr>
        <w:numPr>
          <w:ilvl w:val="0"/>
          <w:numId w:val="1007"/>
        </w:numPr>
        <w:pStyle w:val="Compact"/>
      </w:pPr>
      <w:r>
        <w:rPr>
          <w:bCs/>
          <w:b/>
        </w:rPr>
        <w:t xml:space="preserve">Recyclability Percentage (lnprjsjgji):</w:t>
      </w:r>
      <w:r>
        <w:t xml:space="preserve"> </w:t>
      </w:r>
      <w:r>
        <w:t xml:space="preserve">70% of the product\'s mass is recyclable.</w:t>
      </w:r>
    </w:p>
    <w:p>
      <w:pPr>
        <w:numPr>
          <w:ilvl w:val="0"/>
          <w:numId w:val="1007"/>
        </w:numPr>
        <w:pStyle w:val="Compact"/>
      </w:pPr>
      <w:r>
        <w:rPr>
          <w:bCs/>
          <w:b/>
        </w:rPr>
        <w:t xml:space="preserve">Circular/Take-back Programs (zkytmuonpt):</w:t>
      </w:r>
      <w:r>
        <w:t xml:space="preserve"> </w:t>
      </w:r>
      <w:r>
        <w:t xml:space="preserve">Active recycling and take-back programs are in place for key materials such as metals and plastics.</w:t>
      </w:r>
    </w:p>
    <w:p>
      <w:pPr>
        <w:pStyle w:val="FirstParagraph"/>
      </w:pPr>
      <w:r>
        <w:rPr>
          <w:iCs/>
          <w:i/>
        </w:rPr>
        <w:t xml:space="preserve">Note: EoL impacts are calculated considering disposal impacts for non-recycled portions and credits for avoided virgin material production due to recycling. Illustrative disposal factor: 0.1 kgCO2e/kg; Recycling credit: 50% of virgin material impact for recycled mass.</w:t>
      </w:r>
    </w:p>
    <w:p>
      <w:r>
        <w:pict>
          <v:rect style="width:0;height:1.5pt" o:hralign="center" o:hrstd="t" o:hr="t"/>
        </w:pict>
      </w:r>
    </w:p>
    <w:bookmarkEnd w:id="29"/>
    <w:bookmarkEnd w:id="30"/>
    <w:bookmarkEnd w:id="31"/>
    <w:bookmarkStart w:id="34" w:name="X2c62247db19834934c44c209ad423fe06ba5c64"/>
    <w:p>
      <w:pPr>
        <w:pStyle w:val="Heading2"/>
      </w:pPr>
      <w:r>
        <w:t xml:space="preserve">3. Calculation of Emissions (Activity * Emission Factor = CO2e)</w:t>
      </w:r>
    </w:p>
    <w:p>
      <w:pPr>
        <w:pStyle w:val="FirstParagraph"/>
      </w:pPr>
      <w:r>
        <w:t xml:space="preserve">Emissions are calculated for each stage of the product lifecycle by multiplying activity data (e.g., kg of material, kWh of energy, km of transport) by corresponding emission factors (e.g., kgCO2e/kg, kgCO2e/kWh, kgCO2e/km). Industry-standard emission factors, often sourced from databases like Ecoinvent or DEFRA, are applied.</w:t>
      </w:r>
    </w:p>
    <w:bookmarkStart w:id="32" w:name="X318c1cf669c698c4b48b5b456ed463b8f2a0d65"/>
    <w:p>
      <w:pPr>
        <w:pStyle w:val="Heading3"/>
      </w:pPr>
      <w:r>
        <w:t xml:space="preserve">3.1. Emissions by Lifecycle Stage and GHG Protocol Scope</w:t>
      </w:r>
    </w:p>
    <w:p>
      <w:pPr>
        <w:pStyle w:val="FirstParagraph"/>
      </w:pPr>
      <w:r>
        <w:t xml:space="preserve">The following table summarizes the calculated GHG emissions for each stage of dqwzjytjjo\'s lifecycle, categorized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(kgCO2e/unit)</w:t>
            </w:r>
          </w:p>
        </w:tc>
      </w:tr>
      <w:tr>
        <w:tc>
          <w:tcPr/>
          <w:p>
            <w:pPr>
              <w:pStyle w:val="Compact"/>
              <w:jc w:val="left"/>
            </w:pPr>
            <w:r>
              <w:rPr>
                <w:bCs/>
                <w:b/>
              </w:rPr>
              <w:t xml:space="preserve">Raw Material Acquisition &amp; Processing</w:t>
            </w:r>
          </w:p>
        </w:tc>
        <w:tc>
          <w:tcPr/>
          <w:p>
            <w:pPr>
              <w:pStyle w:val="Compact"/>
              <w:jc w:val="left"/>
            </w:pPr>
            <w:r>
              <w:t xml:space="preserve">Scope 3, Cat 1 (Purchased Goods &amp; Services)</w:t>
            </w:r>
          </w:p>
        </w:tc>
        <w:tc>
          <w:tcPr/>
          <w:p>
            <w:pPr>
              <w:pStyle w:val="Compact"/>
              <w:jc w:val="left"/>
            </w:pPr>
            <w:r>
              <w:t xml:space="preserve">Sum of Total Carbon from Detailed BOM.</w:t>
            </w:r>
          </w:p>
        </w:tc>
        <w:tc>
          <w:tcPr/>
          <w:p>
            <w:pPr>
              <w:pStyle w:val="Compact"/>
              <w:jc w:val="left"/>
            </w:pPr>
            <w:r>
              <w:t xml:space="preserve">8.11</w:t>
            </w:r>
          </w:p>
        </w:tc>
      </w:tr>
      <w:tr>
        <w:tc>
          <w:tcPr/>
          <w:p>
            <w:pPr>
              <w:pStyle w:val="Compact"/>
              <w:jc w:val="left"/>
            </w:pPr>
            <w:r>
              <w:rPr>
                <w:bCs/>
                <w:b/>
              </w:rPr>
              <w:t xml:space="preserve">Manufacturing (Production Energy)</w:t>
            </w:r>
          </w:p>
        </w:tc>
        <w:tc>
          <w:tcPr/>
          <w:p>
            <w:pPr>
              <w:pStyle w:val="Compact"/>
              <w:jc w:val="left"/>
            </w:pPr>
            <w:r>
              <w:t xml:space="preserve">Scope 2 (Purchased Electricity)</w:t>
            </w:r>
          </w:p>
        </w:tc>
        <w:tc>
          <w:tcPr/>
          <w:p>
            <w:pPr>
              <w:pStyle w:val="Compact"/>
              <w:jc w:val="left"/>
            </w:pPr>
            <w:r>
              <w:t xml:space="preserve">(Energy Intensity * (1 - %Renewable) * Grid EF) = (10 kWh/unit * 0.50 * 0.6 kgCO2e/kWh)</w:t>
            </w:r>
          </w:p>
        </w:tc>
        <w:tc>
          <w:tcPr/>
          <w:p>
            <w:pPr>
              <w:pStyle w:val="Compact"/>
              <w:jc w:val="left"/>
            </w:pPr>
            <w:r>
              <w:t xml:space="preserve">3.00</w:t>
            </w:r>
          </w:p>
        </w:tc>
      </w:tr>
      <w:tr>
        <w:tc>
          <w:tcPr/>
          <w:p>
            <w:pPr>
              <w:pStyle w:val="Compact"/>
              <w:jc w:val="left"/>
            </w:pPr>
            <w:r>
              <w:rPr>
                <w:bCs/>
                <w:b/>
              </w:rPr>
              <w:t xml:space="preserve">Transport - Inbound Logistics</w:t>
            </w:r>
          </w:p>
        </w:tc>
        <w:tc>
          <w:tcPr/>
          <w:p>
            <w:pPr>
              <w:pStyle w:val="Compact"/>
              <w:jc w:val="left"/>
            </w:pPr>
            <w:r>
              <w:t xml:space="preserve">Scope 3, Cat 4 (Upstream Transport)</w:t>
            </w:r>
          </w:p>
        </w:tc>
        <w:tc>
          <w:tcPr/>
          <w:p>
            <w:pPr>
              <w:pStyle w:val="Compact"/>
              <w:jc w:val="left"/>
            </w:pPr>
            <w:r>
              <w:t xml:space="preserve">(BOM Weight * Inbound Distance * Ocean EF) = (1.05 kg * 15000 km * 0.00001 kgCO2e/kg-km)</w:t>
            </w:r>
          </w:p>
        </w:tc>
        <w:tc>
          <w:tcPr/>
          <w:p>
            <w:pPr>
              <w:pStyle w:val="Compact"/>
              <w:jc w:val="left"/>
            </w:pPr>
            <w:r>
              <w:t xml:space="preserve">0.16</w:t>
            </w:r>
          </w:p>
        </w:tc>
      </w:tr>
      <w:tr>
        <w:tc>
          <w:tcPr/>
          <w:p>
            <w:pPr>
              <w:pStyle w:val="Compact"/>
              <w:jc w:val="left"/>
            </w:pPr>
            <w:r>
              <w:rPr>
                <w:bCs/>
                <w:b/>
              </w:rPr>
              <w:t xml:space="preserve">Transport - Outbound Logistics</w:t>
            </w:r>
          </w:p>
        </w:tc>
        <w:tc>
          <w:tcPr/>
          <w:p>
            <w:pPr>
              <w:pStyle w:val="Compact"/>
              <w:jc w:val="left"/>
            </w:pPr>
            <w:r>
              <w:t xml:space="preserve">Scope 3, Cat 9 (Downstream Transport)</w:t>
            </w:r>
          </w:p>
        </w:tc>
        <w:tc>
          <w:tcPr/>
          <w:p>
            <w:pPr>
              <w:pStyle w:val="Compact"/>
              <w:jc w:val="left"/>
            </w:pPr>
            <w:r>
              <w:t xml:space="preserve">(Product Weight * Outbound Distance * Ocean EF) = (1.05 kg * 15000 km * 0.00001 kgCO2e/kg-km)</w:t>
            </w:r>
          </w:p>
        </w:tc>
        <w:tc>
          <w:tcPr/>
          <w:p>
            <w:pPr>
              <w:pStyle w:val="Compact"/>
              <w:jc w:val="left"/>
            </w:pPr>
            <w:r>
              <w:t xml:space="preserve">0.16</w:t>
            </w:r>
          </w:p>
        </w:tc>
      </w:tr>
      <w:tr>
        <w:tc>
          <w:tcPr/>
          <w:p>
            <w:pPr>
              <w:pStyle w:val="Compact"/>
              <w:jc w:val="left"/>
            </w:pPr>
            <w:r>
              <w:rPr>
                <w:bCs/>
                <w:b/>
              </w:rPr>
              <w:t xml:space="preserve">Transport - Last-Mile Delivery</w:t>
            </w:r>
          </w:p>
        </w:tc>
        <w:tc>
          <w:tcPr/>
          <w:p>
            <w:pPr>
              <w:pStyle w:val="Compact"/>
              <w:jc w:val="left"/>
            </w:pPr>
            <w:r>
              <w:t xml:space="preserve">Scope 3, Cat 9 (Downstream Transport)</w:t>
            </w:r>
          </w:p>
        </w:tc>
        <w:tc>
          <w:tcPr/>
          <w:p>
            <w:pPr>
              <w:pStyle w:val="Compact"/>
              <w:jc w:val="left"/>
            </w:pPr>
            <w:r>
              <w:t xml:space="preserve">(Product Weight * Last-Mile Distance * Road EF) = (1.05 kg * 500 km * 0.0001 kgCO2e/kg-km)</w:t>
            </w:r>
          </w:p>
        </w:tc>
        <w:tc>
          <w:tcPr/>
          <w:p>
            <w:pPr>
              <w:pStyle w:val="Compact"/>
              <w:jc w:val="left"/>
            </w:pPr>
            <w:r>
              <w:t xml:space="preserve">0.05</w:t>
            </w:r>
          </w:p>
        </w:tc>
      </w:tr>
      <w:tr>
        <w:tc>
          <w:tcPr/>
          <w:p>
            <w:pPr>
              <w:pStyle w:val="Compact"/>
              <w:jc w:val="left"/>
            </w:pPr>
            <w:r>
              <w:rPr>
                <w:bCs/>
                <w:b/>
              </w:rPr>
              <w:t xml:space="preserve">Use Phase</w:t>
            </w:r>
          </w:p>
        </w:tc>
        <w:tc>
          <w:tcPr/>
          <w:p>
            <w:pPr>
              <w:pStyle w:val="Compact"/>
              <w:jc w:val="left"/>
            </w:pPr>
            <w:r>
              <w:t xml:space="preserve">Scope 3, Cat 11 (Use of Sold Products)</w:t>
            </w:r>
          </w:p>
        </w:tc>
        <w:tc>
          <w:tcPr/>
          <w:p>
            <w:pPr>
              <w:pStyle w:val="Compact"/>
              <w:jc w:val="left"/>
            </w:pPr>
            <w:r>
              <w:t xml:space="preserve">(Energy Consumption/year * Lifespan * Use Phase Grid EF) = (5 kWh/year * 5 years * 0.25 kgCO2e/kWh)</w:t>
            </w:r>
          </w:p>
        </w:tc>
        <w:tc>
          <w:tcPr/>
          <w:p>
            <w:pPr>
              <w:pStyle w:val="Compact"/>
              <w:jc w:val="left"/>
            </w:pPr>
            <w:r>
              <w:t xml:space="preserve">6.25</w:t>
            </w:r>
          </w:p>
        </w:tc>
      </w:tr>
      <w:tr>
        <w:tc>
          <w:tcPr/>
          <w:p>
            <w:pPr>
              <w:pStyle w:val="Compact"/>
              <w:jc w:val="left"/>
            </w:pPr>
            <w:r>
              <w:rPr>
                <w:bCs/>
                <w:b/>
              </w:rPr>
              <w:t xml:space="preserve">End-of-Life Treatment</w:t>
            </w:r>
          </w:p>
        </w:tc>
        <w:tc>
          <w:tcPr/>
          <w:p>
            <w:pPr>
              <w:pStyle w:val="Compact"/>
              <w:jc w:val="left"/>
            </w:pPr>
            <w:r>
              <w:t xml:space="preserve">Scope 3, Cat 12 (EoL of Sold Products)</w:t>
            </w:r>
          </w:p>
        </w:tc>
        <w:tc>
          <w:tcPr/>
          <w:p>
            <w:pPr>
              <w:pStyle w:val="Compact"/>
              <w:jc w:val="left"/>
            </w:pPr>
            <w:r>
              <w:t xml:space="preserve">(Disposed Weight * Disposal EF) - (Recycled Weight * 0.5 * Virgin Material EF) = (0.315 kg * 0.1 kgCO2e/kg) - (0.735 kg * 0.5 * 8.11 kgCO2e/1.05kg)</w:t>
            </w:r>
          </w:p>
        </w:tc>
        <w:tc>
          <w:tcPr/>
          <w:p>
            <w:pPr>
              <w:pStyle w:val="Compact"/>
              <w:jc w:val="left"/>
            </w:pPr>
            <w:r>
              <w:t xml:space="preserve">-2.81</w:t>
            </w:r>
          </w:p>
        </w:tc>
      </w:tr>
      <w:tr>
        <w:tc>
          <w:tcPr>
            <w:gridSpan w:val="3"/>
          </w:tcPr>
          <w:p>
            <w:pPr>
              <w:pStyle w:val="Compact"/>
              <w:jc w:val="right"/>
            </w:pPr>
            <w:r>
              <w:t xml:space="preserve">Total Product Carbon Footprint (PCF):</w:t>
            </w:r>
          </w:p>
        </w:tc>
        <w:tc>
          <w:tcPr/>
          <w:p>
            <w:pPr>
              <w:pStyle w:val="Compact"/>
              <w:jc w:val="left"/>
            </w:pPr>
            <w:r>
              <w:t xml:space="preserve">14.92</w:t>
            </w:r>
          </w:p>
        </w:tc>
      </w:tr>
    </w:tbl>
    <w:p>
      <w:pPr>
        <w:pStyle w:val="BodyText"/>
      </w:pPr>
      <w:r>
        <w:rPr>
          <w:iCs/>
          <w:i/>
        </w:rPr>
        <w:t xml:space="preserve">All emission values are rounded to two decimal places. A negative value in End-of-Life signifies a net carbon credit due to recycling benefits.</w:t>
      </w:r>
    </w:p>
    <w:bookmarkEnd w:id="32"/>
    <w:bookmarkStart w:id="33" w:name="X375f90d34e2738bf774185f3c83efd090ce459a"/>
    <w:p>
      <w:pPr>
        <w:pStyle w:val="Heading3"/>
      </w:pPr>
      <w:r>
        <w:t xml:space="preserve">3.2. Detailed Breakdown of Materials and Energy Inputs</w:t>
      </w:r>
    </w:p>
    <w:p>
      <w:pPr>
        <w:pStyle w:val="FirstParagraph"/>
      </w:pPr>
      <w:r>
        <w:t xml:space="preserve">The primary material impacts are derived directly from the Detailed Bill of Materials (Table in Section 2.3.1), totaling 8.11 kgCO2e per unit of dqwzjytjjo.</w:t>
      </w:r>
    </w:p>
    <w:p>
      <w:pPr>
        <w:numPr>
          <w:ilvl w:val="0"/>
          <w:numId w:val="1008"/>
        </w:numPr>
        <w:pStyle w:val="Compact"/>
      </w:pPr>
      <w:r>
        <w:rPr>
          <w:bCs/>
          <w:b/>
        </w:rPr>
        <w:t xml:space="preserve">Metals:</w:t>
      </w:r>
      <w:r>
        <w:t xml:space="preserve"> </w:t>
      </w:r>
      <w:r>
        <w:t xml:space="preserve">Aluminum Casing (3.25 kgCO2e) and Copper Wiring (0.20 kgCO2e) contribute significantly due to their energy-intensive production processes.</w:t>
      </w:r>
    </w:p>
    <w:p>
      <w:pPr>
        <w:numPr>
          <w:ilvl w:val="0"/>
          <w:numId w:val="1008"/>
        </w:numPr>
        <w:pStyle w:val="Compact"/>
      </w:pPr>
      <w:r>
        <w:rPr>
          <w:bCs/>
          <w:b/>
        </w:rPr>
        <w:t xml:space="preserve">Electronics:</w:t>
      </w:r>
      <w:r>
        <w:t xml:space="preserve"> </w:t>
      </w:r>
      <w:r>
        <w:t xml:space="preserve">PCB Assembly (2.80 kgCO2e) represents a notable impact from complex manufacturing.</w:t>
      </w:r>
    </w:p>
    <w:p>
      <w:pPr>
        <w:numPr>
          <w:ilvl w:val="0"/>
          <w:numId w:val="1008"/>
        </w:numPr>
        <w:pStyle w:val="Compact"/>
      </w:pPr>
      <w:r>
        <w:rPr>
          <w:bCs/>
          <w:b/>
        </w:rPr>
        <w:t xml:space="preserve">Batteries:</w:t>
      </w:r>
      <w:r>
        <w:t xml:space="preserve"> </w:t>
      </w:r>
      <w:r>
        <w:t xml:space="preserve">Lithium-ion Battery (1.50 kgCO2e) shows a high emission factor per kg, reflecting its resource intensity.</w:t>
      </w:r>
    </w:p>
    <w:p>
      <w:pPr>
        <w:numPr>
          <w:ilvl w:val="0"/>
          <w:numId w:val="1008"/>
        </w:numPr>
        <w:pStyle w:val="Compact"/>
      </w:pPr>
      <w:r>
        <w:rPr>
          <w:bCs/>
          <w:b/>
        </w:rPr>
        <w:t xml:space="preserve">Plastics:</w:t>
      </w:r>
      <w:r>
        <w:t xml:space="preserve"> </w:t>
      </w:r>
      <w:r>
        <w:t xml:space="preserve">Recycled Plastic Housing (0.36 kgCO2e) demonstrates a lower impact compared to virgin plastics, highlighting the benefit of circular materials.</w:t>
      </w:r>
    </w:p>
    <w:p>
      <w:pPr>
        <w:pStyle w:val="FirstParagraph"/>
      </w:pPr>
      <w:r>
        <w:t xml:space="preserve">Energy inputs are critical in the manufacturing and use phases.</w:t>
      </w:r>
    </w:p>
    <w:p>
      <w:pPr>
        <w:numPr>
          <w:ilvl w:val="0"/>
          <w:numId w:val="1009"/>
        </w:numPr>
        <w:pStyle w:val="Compact"/>
      </w:pPr>
      <w:r>
        <w:rPr>
          <w:bCs/>
          <w:b/>
        </w:rPr>
        <w:t xml:space="preserve">Manufacturing Energy:</w:t>
      </w:r>
      <w:r>
        <w:t xml:space="preserve"> </w:t>
      </w:r>
      <w:r>
        <w:t xml:space="preserve">10 kWh/unit, with a 50% renewable energy share, resulting in 3.00 kgCO2e from the non-renewable grid electricity. This falls under Scope 2.</w:t>
      </w:r>
    </w:p>
    <w:p>
      <w:pPr>
        <w:numPr>
          <w:ilvl w:val="0"/>
          <w:numId w:val="1009"/>
        </w:numPr>
        <w:pStyle w:val="Compact"/>
      </w:pPr>
      <w:r>
        <w:rPr>
          <w:bCs/>
          <w:b/>
        </w:rPr>
        <w:t xml:space="preserve">Use Phase Energy:</w:t>
      </w:r>
      <w:r>
        <w:t xml:space="preserve"> </w:t>
      </w:r>
      <w:r>
        <w:t xml:space="preserve">5 kWh/year over a 5-year lifespan, summing to 25 kWh total energy consumption. This leads to 6.25 kgCO2e, categorized under Scope 3.</w:t>
      </w:r>
    </w:p>
    <w:p>
      <w:r>
        <w:pict>
          <v:rect style="width:0;height:1.5pt" o:hralign="center" o:hrstd="t" o:hr="t"/>
        </w:pict>
      </w:r>
    </w:p>
    <w:bookmarkEnd w:id="33"/>
    <w:bookmarkEnd w:id="34"/>
    <w:bookmarkStart w:id="38" w:name="review-report"/>
    <w:p>
      <w:pPr>
        <w:pStyle w:val="Heading2"/>
      </w:pPr>
      <w:r>
        <w:t xml:space="preserve">4. Review &amp; Report</w:t>
      </w:r>
    </w:p>
    <w:bookmarkStart w:id="35" w:name="emission-hotspots"/>
    <w:p>
      <w:pPr>
        <w:pStyle w:val="Heading3"/>
      </w:pPr>
      <w:r>
        <w:t xml:space="preserve">4.1. Emission Hotspots</w:t>
      </w:r>
    </w:p>
    <w:p>
      <w:pPr>
        <w:pStyle w:val="FirstParagraph"/>
      </w:pPr>
      <w:r>
        <w:t xml:space="preserve">Analysis of the PCF reveals the following primary emission hotspots for dqwzjytjjo:</w:t>
      </w:r>
    </w:p>
    <w:p>
      <w:pPr>
        <w:numPr>
          <w:ilvl w:val="0"/>
          <w:numId w:val="1010"/>
        </w:numPr>
        <w:pStyle w:val="Compact"/>
      </w:pPr>
      <w:r>
        <w:rPr>
          <w:bCs/>
          <w:b/>
        </w:rPr>
        <w:t xml:space="preserve">Raw Material Acquisition &amp; Processing (Scope 3, Cat 1):</w:t>
      </w:r>
      <w:r>
        <w:t xml:space="preserve"> </w:t>
      </w:r>
      <w:r>
        <w:t xml:space="preserve">This stage accounts for the largest portion of emissions at 8.11 kgCO2e/unit (approx. 54% of total PCF). Key contributors are aluminum, PCB, and lithium-ion battery production.</w:t>
      </w:r>
    </w:p>
    <w:p>
      <w:pPr>
        <w:numPr>
          <w:ilvl w:val="0"/>
          <w:numId w:val="1010"/>
        </w:numPr>
        <w:pStyle w:val="Compact"/>
      </w:pPr>
      <w:r>
        <w:rPr>
          <w:bCs/>
          <w:b/>
        </w:rPr>
        <w:t xml:space="preserve">Use Phase (Scope 3, Cat 11):</w:t>
      </w:r>
      <w:r>
        <w:t xml:space="preserve"> </w:t>
      </w:r>
      <w:r>
        <w:t xml:space="preserve">Energy consumption during the product\'s 5-year lifespan contributes significantly, totaling 6.25 kgCO2e/unit (approx. 42% of total PCF). The grid mix of electricity in the usage region plays a crucial role here.</w:t>
      </w:r>
    </w:p>
    <w:p>
      <w:pPr>
        <w:numPr>
          <w:ilvl w:val="0"/>
          <w:numId w:val="1010"/>
        </w:numPr>
        <w:pStyle w:val="Compact"/>
      </w:pPr>
      <w:r>
        <w:rPr>
          <w:bCs/>
          <w:b/>
        </w:rPr>
        <w:t xml:space="preserve">Manufacturing (Scope 2):</w:t>
      </w:r>
      <w:r>
        <w:t xml:space="preserve"> </w:t>
      </w:r>
      <w:r>
        <w:t xml:space="preserve">Despite 50% renewable energy usage, the remaining grid electricity contributes 3.00 kgCO2e/unit (approx. 20% of total PCF).</w:t>
      </w:r>
    </w:p>
    <w:p>
      <w:pPr>
        <w:pStyle w:val="FirstParagraph"/>
      </w:pPr>
      <w:r>
        <w:t xml:space="preserve">Transportation and End-of-Life phases have comparatively smaller impacts in this specific analysis, with End-of-Life providing a net credit due to robust recycling programs.</w:t>
      </w:r>
    </w:p>
    <w:bookmarkEnd w:id="35"/>
    <w:bookmarkStart w:id="36" w:name="reliability-and-limitations"/>
    <w:p>
      <w:pPr>
        <w:pStyle w:val="Heading3"/>
      </w:pPr>
      <w:r>
        <w:t xml:space="preserve">4.2. Reliability and Limitations</w:t>
      </w:r>
    </w:p>
    <w:p>
      <w:pPr>
        <w:pStyle w:val="FirstParagraph"/>
      </w:pPr>
      <w:r>
        <w:t xml:space="preserve">The reliability of this PCF analysis is high due to the adherence to the GHG Protocol and the use of detailed primary data for the Bill of Materials and specific operational parameters. However, certain limitations apply:</w:t>
      </w:r>
    </w:p>
    <w:p>
      <w:pPr>
        <w:numPr>
          <w:ilvl w:val="0"/>
          <w:numId w:val="1011"/>
        </w:numPr>
        <w:pStyle w:val="Compact"/>
      </w:pPr>
      <w:r>
        <w:rPr>
          <w:bCs/>
          <w:b/>
        </w:rPr>
        <w:t xml:space="preserve">Secondary Data Reliance:</w:t>
      </w:r>
      <w:r>
        <w:t xml:space="preserve"> </w:t>
      </w:r>
      <w:r>
        <w:t xml:space="preserve">Generic emission factors from recognized databases (e.g., Ecoinvent, DEFRA-equivalent) are used for processes where primary data was unavailable. While these are industry-standard, they may not perfectly reflect iejdurzksl\'s specific supplier processes.</w:t>
      </w:r>
    </w:p>
    <w:p>
      <w:pPr>
        <w:numPr>
          <w:ilvl w:val="0"/>
          <w:numId w:val="1011"/>
        </w:numPr>
        <w:pStyle w:val="Compact"/>
      </w:pPr>
      <w:r>
        <w:rPr>
          <w:bCs/>
          <w:b/>
        </w:rPr>
        <w:t xml:space="preserve">Boundary Interpretation:</w:t>
      </w:r>
      <w:r>
        <w:t xml:space="preserve"> </w:t>
      </w:r>
      <w:r>
        <w:t xml:space="preserve">While the "factory_gate" system boundary focuses on production, the inclusion of use and EoL phases provides a broader perspective. Future assessments could refine the scope for direct comparisons.</w:t>
      </w:r>
    </w:p>
    <w:p>
      <w:pPr>
        <w:numPr>
          <w:ilvl w:val="0"/>
          <w:numId w:val="1011"/>
        </w:numPr>
        <w:pStyle w:val="Compact"/>
      </w:pPr>
      <w:r>
        <w:rPr>
          <w:bCs/>
          <w:b/>
        </w:rPr>
        <w:t xml:space="preserve">Dynamic Factors:</w:t>
      </w:r>
      <w:r>
        <w:t xml:space="preserve"> </w:t>
      </w:r>
      <w:r>
        <w:t xml:space="preserve">Emission factors, especially for electricity grids, can change over time. The values used represent current best estimates.</w:t>
      </w:r>
    </w:p>
    <w:p>
      <w:pPr>
        <w:numPr>
          <w:ilvl w:val="0"/>
          <w:numId w:val="1011"/>
        </w:numPr>
        <w:pStyle w:val="Compact"/>
      </w:pPr>
      <w:r>
        <w:rPr>
          <w:bCs/>
          <w:b/>
        </w:rPr>
        <w:t xml:space="preserve">Land Sector and Removals (LSR):</w:t>
      </w:r>
      <w:r>
        <w:t xml:space="preserve"> </w:t>
      </w:r>
      <w:r>
        <w:t xml:space="preserve">The 2026 LSR Standard has been considered, but detailed land-use change data for specific raw material origins would enhance accuracy if available.</w:t>
      </w:r>
    </w:p>
    <w:bookmarkEnd w:id="36"/>
    <w:bookmarkStart w:id="37" w:name="recommendations-for-emission-reduction"/>
    <w:p>
      <w:pPr>
        <w:pStyle w:val="Heading3"/>
      </w:pPr>
      <w:r>
        <w:t xml:space="preserve">4.3. Recommendations for Emission Reduction</w:t>
      </w:r>
    </w:p>
    <w:p>
      <w:pPr>
        <w:numPr>
          <w:ilvl w:val="0"/>
          <w:numId w:val="1012"/>
        </w:numPr>
        <w:pStyle w:val="Compact"/>
      </w:pPr>
      <w:r>
        <w:rPr>
          <w:bCs/>
          <w:b/>
        </w:rPr>
        <w:t xml:space="preserve">Material Optimization:</w:t>
      </w:r>
      <w:r>
        <w:t xml:space="preserve"> </w:t>
      </w:r>
      <w:r>
        <w:t xml:space="preserve">Investigate opportunities for further lightweighting and increased use of lower-carbon or recycled content materials, especially for aluminum and battery components.</w:t>
      </w:r>
    </w:p>
    <w:p>
      <w:pPr>
        <w:numPr>
          <w:ilvl w:val="0"/>
          <w:numId w:val="1012"/>
        </w:numPr>
        <w:pStyle w:val="Compact"/>
      </w:pPr>
      <w:r>
        <w:rPr>
          <w:bCs/>
          <w:b/>
        </w:rPr>
        <w:t xml:space="preserve">Energy Efficiency in Use:</w:t>
      </w:r>
      <w:r>
        <w:t xml:space="preserve"> </w:t>
      </w:r>
      <w:r>
        <w:t xml:space="preserve">Explore design improvements to reduce energy consumption during the product\'s use phase. Promote the use of renewable energy sources for end-users where possible.</w:t>
      </w:r>
    </w:p>
    <w:p>
      <w:pPr>
        <w:numPr>
          <w:ilvl w:val="0"/>
          <w:numId w:val="1012"/>
        </w:numPr>
        <w:pStyle w:val="Compact"/>
      </w:pPr>
      <w:r>
        <w:rPr>
          <w:bCs/>
          <w:b/>
        </w:rPr>
        <w:t xml:space="preserve">Renewable Energy Adoption:</w:t>
      </w:r>
      <w:r>
        <w:t xml:space="preserve"> </w:t>
      </w:r>
      <w:r>
        <w:t xml:space="preserve">Increase the percentage of renewable energy used in manufacturing operations beyond the current 50% to further reduce Scope 2 emissions.</w:t>
      </w:r>
    </w:p>
    <w:p>
      <w:pPr>
        <w:numPr>
          <w:ilvl w:val="0"/>
          <w:numId w:val="1012"/>
        </w:numPr>
        <w:pStyle w:val="Compact"/>
      </w:pPr>
      <w:r>
        <w:rPr>
          <w:bCs/>
          <w:b/>
        </w:rPr>
        <w:t xml:space="preserve">Supply Chain Engagement:</w:t>
      </w:r>
      <w:r>
        <w:t xml:space="preserve"> </w:t>
      </w:r>
      <w:r>
        <w:t xml:space="preserve">Collaborate with key suppliers (especially for high-impact materials) to identify and implement emission reduction initiatives within their operations.</w:t>
      </w:r>
    </w:p>
    <w:p>
      <w:pPr>
        <w:numPr>
          <w:ilvl w:val="0"/>
          <w:numId w:val="1012"/>
        </w:numPr>
        <w:pStyle w:val="Compact"/>
      </w:pPr>
      <w:r>
        <w:rPr>
          <w:bCs/>
          <w:b/>
        </w:rPr>
        <w:t xml:space="preserve">Circular Economy Expansion:</w:t>
      </w:r>
      <w:r>
        <w:t xml:space="preserve"> </w:t>
      </w:r>
      <w:r>
        <w:t xml:space="preserve">Continue to strengthen and expand take-back and recycling programs to maximize material recovery and associated carbon credits.</w:t>
      </w:r>
    </w:p>
    <w:p>
      <w:r>
        <w:pict>
          <v:rect style="width:0;height:1.5pt" o:hralign="center" o:hrstd="t" o:hr="t"/>
        </w:pict>
      </w:r>
    </w:p>
    <w:p>
      <w:pPr>
        <w:pStyle w:val="FirstParagraph"/>
      </w:pPr>
      <w:r>
        <w:t xml:space="preserve">Confidential - Internal Use Only | Page 1 of 1 (simulated)</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dqwzjytjjo</dc:title>
  <dc:creator/>
  <dc:description>Detailed Product Carbon Footprint (PCF) analysis report for product dqwzjytjjo, conducted by Senior Sustainability Consultant rkjtyidogt, adhering to GHG Protocol standards and 2026 LSR Update.</dc:description>
  <dc:language>en</dc:language>
  <cp:keywords/>
  <dcterms:created xsi:type="dcterms:W3CDTF">2026-05-30T12:44:25Z</dcterms:created>
  <dcterms:modified xsi:type="dcterms:W3CDTF">2026-05-30T12:44:25Z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