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dqmdpffohf</w:t>
      </w:r>
      <w:r>
        <w:t xml:space="preserve"> </w:t>
      </w:r>
      <w:r>
        <w:t xml:space="preserve">-</w:t>
      </w:r>
      <w:r>
        <w:t xml:space="preserve"> </w:t>
      </w:r>
      <w:r>
        <w:t xml:space="preserve">ulldhfrwmt</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dqmdpffohf"/>
    <w:p>
      <w:pPr>
        <w:pStyle w:val="Heading1"/>
      </w:pPr>
      <w:r>
        <w:t xml:space="preserve">dqmdpffohf</w:t>
      </w:r>
    </w:p>
    <w:p>
      <w:pPr>
        <w:pStyle w:val="FirstParagraph"/>
      </w:pPr>
      <w:r>
        <w:t xml:space="preserve">**Company Name:** ulldhfrwmt</w:t>
      </w:r>
    </w:p>
    <w:p>
      <w:pPr>
        <w:pStyle w:val="BodyText"/>
      </w:pPr>
      <w:r>
        <w:t xml:space="preserve">**Accounting Standard:** GHG Protocol</w:t>
      </w:r>
    </w:p>
    <w:p>
      <w:pPr>
        <w:pStyle w:val="BodyText"/>
      </w:pPr>
      <w:r>
        <w:t xml:space="preserve">**Senior Sustainability Consultant:** juoyoqsdgj</w:t>
      </w:r>
    </w:p>
    <w:p>
      <w:pPr>
        <w:pStyle w:val="BodyText"/>
      </w:pPr>
      <w:r>
        <w:t xml:space="preserve">This report is generated based on available data, industry standards, and specific parameters provided. Actual emissions may vary based on real-time operational data and precise supply chain specifics.</w:t>
      </w:r>
    </w:p>
    <w:bookmarkEnd w:id="21"/>
    <w:bookmarkStart w:id="22" w:name="X5f58c415d2e210aebfdd4a53add8c65815411ad"/>
    <w:p>
      <w:pPr>
        <w:pStyle w:val="Heading1"/>
      </w:pPr>
      <w:r>
        <w:t xml:space="preserve">Product Carbon Footprint Analysis: dqmdpffohf</w:t>
      </w:r>
    </w:p>
    <w:p>
      <w:pPr>
        <w:pStyle w:val="FirstParagraph"/>
      </w:pPr>
      <w:r>
        <w:t xml:space="preserve">Generated Date: May 18, 2026</w:t>
      </w:r>
    </w:p>
    <w:p>
      <w:pPr>
        <w:pStyle w:val="BodyText"/>
      </w:pPr>
      <w:r>
        <w:t xml:space="preserve">Senior Sustainability Consultant: juoyoqsdgj</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dqmdpffohf</w:t>
      </w:r>
      <w:r>
        <w:t xml:space="preserve"> </w:t>
      </w:r>
      <w:r>
        <w:t xml:space="preserve">manufactured by</w:t>
      </w:r>
      <w:r>
        <w:t xml:space="preserve"> </w:t>
      </w:r>
      <w:r>
        <w:rPr>
          <w:bCs/>
          <w:b/>
        </w:rPr>
        <w:t xml:space="preserve">ulldhfrwmt</w:t>
      </w:r>
      <w:r>
        <w:t xml:space="preserve">. The analysis adheres to the Greenhouse Gas (GHG) Protocol, incorporating the 2026 Land Sector and Removals (LSR) Standard and ensuring at least 95% coverage for Scope 3 emissions. The objective is to quantify the total greenhouse gas emissions associated with the product\'s lifecycle, from raw material extraction through to end-of-life, providing insights into emission hotspots and opportunities for reduction. The functional unit for this analysis is 1.0 unit of dqmdpffohf.</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analysis for dqmdpffohf was conducted following the five-step methodology prescribed by the GHG Protocol. This approach ensures a systematic and comprehensive assessment of greenhouse gas emissions across the product\'s lifecycle.</w:t>
      </w:r>
    </w:p>
    <w:bookmarkStart w:id="24" w:name="functional-unit"/>
    <w:p>
      <w:pPr>
        <w:pStyle w:val="Heading3"/>
      </w:pPr>
      <w:r>
        <w:t xml:space="preserve">1.1. Functional Unit</w:t>
      </w:r>
    </w:p>
    <w:p>
      <w:pPr>
        <w:numPr>
          <w:ilvl w:val="0"/>
          <w:numId w:val="1001"/>
        </w:numPr>
        <w:pStyle w:val="Compact"/>
      </w:pPr>
      <w:r>
        <w:t xml:space="preserve">The functional unit is defined as</w:t>
      </w:r>
      <w:r>
        <w:t xml:space="preserve"> </w:t>
      </w:r>
      <w:r>
        <w:rPr>
          <w:bCs/>
          <w:b/>
        </w:rPr>
        <w:t xml:space="preserve">1.0 unit of dqmdpffohf</w:t>
      </w:r>
      <w:r>
        <w:t xml:space="preserve">. This unit serves as the reference basis for all quantified inputs and outputs throughout the product\'s lifecycle.</w:t>
      </w:r>
    </w:p>
    <w:bookmarkEnd w:id="24"/>
    <w:bookmarkStart w:id="25" w:name="system-boundary"/>
    <w:p>
      <w:pPr>
        <w:pStyle w:val="Heading3"/>
      </w:pPr>
      <w:r>
        <w:t xml:space="preserve">1.2. System Boundary</w:t>
      </w:r>
    </w:p>
    <w:p>
      <w:pPr>
        <w:numPr>
          <w:ilvl w:val="0"/>
          <w:numId w:val="1002"/>
        </w:numPr>
        <w:pStyle w:val="Compact"/>
      </w:pPr>
      <w:r>
        <w:t xml:space="preserve">The system boundary for this analysis is</w:t>
      </w:r>
      <w:r>
        <w:t xml:space="preserve"> </w:t>
      </w:r>
      <w:r>
        <w:rPr>
          <w:bCs/>
          <w:b/>
        </w:rPr>
        <w:t xml:space="preserve">factory_gate</w:t>
      </w:r>
      <w:r>
        <w:t xml:space="preserve">, extended to include the full lifecycle, from raw material acquisition, manufacturing, transport, use phase, and end-of-life. Emissions are categorized according to GHG Protocol Scope 1, Scope 2, and Scope 3.</w:t>
      </w:r>
    </w:p>
    <w:bookmarkEnd w:id="25"/>
    <w:bookmarkStart w:id="26" w:name="geographic-scope"/>
    <w:p>
      <w:pPr>
        <w:pStyle w:val="Heading3"/>
      </w:pPr>
      <w:r>
        <w:t xml:space="preserve">1.3. Geographic Scope</w:t>
      </w:r>
    </w:p>
    <w:p>
      <w:pPr>
        <w:numPr>
          <w:ilvl w:val="0"/>
          <w:numId w:val="1003"/>
        </w:numPr>
        <w:pStyle w:val="Compact"/>
      </w:pPr>
      <w:r>
        <w:t xml:space="preserve">The final production country for dqmdpffohf is</w:t>
      </w:r>
      <w:r>
        <w:t xml:space="preserve"> </w:t>
      </w:r>
      <w:r>
        <w:rPr>
          <w:bCs/>
          <w:b/>
        </w:rPr>
        <w:t xml:space="preserve">China</w:t>
      </w:r>
      <w:r>
        <w:t xml:space="preserve">. The supply chain focus is specifically</w:t>
      </w:r>
      <w:r>
        <w:t xml:space="preserve"> </w:t>
      </w:r>
      <w:r>
        <w:rPr>
          <w:bCs/>
          <w:b/>
        </w:rPr>
        <w:t xml:space="preserve">Europe Focused</w:t>
      </w:r>
      <w:r>
        <w:t xml:space="preserve">, considering key material sourcing and distribution channels.</w:t>
      </w:r>
    </w:p>
    <w:bookmarkEnd w:id="26"/>
    <w:bookmarkStart w:id="27" w:name="allocation"/>
    <w:p>
      <w:pPr>
        <w:pStyle w:val="Heading3"/>
      </w:pPr>
      <w:r>
        <w:t xml:space="preserve">1.4. Allocation</w:t>
      </w:r>
    </w:p>
    <w:p>
      <w:pPr>
        <w:numPr>
          <w:ilvl w:val="0"/>
          <w:numId w:val="1004"/>
        </w:numPr>
        <w:pStyle w:val="Compact"/>
      </w:pPr>
      <w:r>
        <w:t xml:space="preserve">Where co-products or waste materials are involved, emissions are allocated based on industry-standard methodologies, primarily mass-based allocation, to ensure fair distribution of environmental burdens.</w:t>
      </w:r>
    </w:p>
    <w:p>
      <w:r>
        <w:pict>
          <v:rect style="width:0;height:1.5pt" o:hralign="center" o:hrstd="t" o:hr="t"/>
        </w:pict>
      </w:r>
    </w:p>
    <w:bookmarkEnd w:id="27"/>
    <w:bookmarkEnd w:id="28"/>
    <w:bookmarkStart w:id="34" w:name="X2bf58de29a7a901ba932b9a6a779f7f86e80a1b"/>
    <w:p>
      <w:pPr>
        <w:pStyle w:val="Heading2"/>
      </w:pPr>
      <w:r>
        <w:t xml:space="preserve">2. Lifecycle Mapping and Data Collection (LCI Inventory)</w:t>
      </w:r>
    </w:p>
    <w:p>
      <w:pPr>
        <w:pStyle w:val="FirstParagraph"/>
      </w:pPr>
      <w:r>
        <w:t xml:space="preserve">This section details the various stages of the dqmdpffohf product lifecycle and the primary and secondary data points collected for the Life Cycle Inventory (LCI).</w:t>
      </w:r>
    </w:p>
    <w:bookmarkStart w:id="29" w:name="Xb57f1223ea34f333cfd137c8d39be68a9f7447a"/>
    <w:p>
      <w:pPr>
        <w:pStyle w:val="Heading3"/>
      </w:pPr>
      <w:r>
        <w:t xml:space="preserve">2.1. Detailed Bill of Materials (BOM) - jjixxsro</w:t>
      </w:r>
    </w:p>
    <w:p>
      <w:pPr>
        <w:pStyle w:val="FirstParagraph"/>
      </w:pPr>
      <w:r>
        <w:t xml:space="preserve">The following Bill of Materials (BOM) was used for high-accuracy material impact calculations. The \'Total Carbon\' values represent the pre-calculated carbon impact (in kg CO2e) for the specified quantity of each item, based on its respective Emission Factor. These values are directly incorporated into the analysis.</w:t>
      </w:r>
      <w:r>
        <w:br/>
      </w:r>
      <w:r>
        <w:rPr>
          <w:iCs/>
          <w:i/>
        </w:rPr>
        <w:t xml:space="preserve">(Note: The BOM data below is illustrative and based on the provided format. Actual values would come from ulldhfrwmt\'s detailed product specifications.)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Metal Screws (Steel)</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t xml:space="preserve">Total Material Impact:</w:t>
            </w:r>
          </w:p>
        </w:tc>
        <w:tc>
          <w:tcPr/>
          <w:p>
            <w:pPr>
              <w:pStyle w:val="Compact"/>
              <w:jc w:val="left"/>
            </w:pPr>
            <w:r>
              <w:t xml:space="preserve">7.45</w:t>
            </w:r>
          </w:p>
        </w:tc>
      </w:tr>
    </w:tbl>
    <w:bookmarkEnd w:id="29"/>
    <w:bookmarkStart w:id="30" w:name="energy-inputs-for-production"/>
    <w:p>
      <w:pPr>
        <w:pStyle w:val="Heading3"/>
      </w:pPr>
      <w:r>
        <w:t xml:space="preserve">2.2. Energy Inputs for Production</w:t>
      </w:r>
    </w:p>
    <w:p>
      <w:pPr>
        <w:numPr>
          <w:ilvl w:val="0"/>
          <w:numId w:val="1005"/>
        </w:numPr>
        <w:pStyle w:val="Compact"/>
      </w:pPr>
      <w:r>
        <w:t xml:space="preserve">**Energy Intensity (kWh/unit):**</w:t>
      </w:r>
      <w:r>
        <w:t xml:space="preserve"> </w:t>
      </w:r>
      <w:r>
        <w:rPr>
          <w:bCs/>
          <w:b/>
        </w:rPr>
        <w:t xml:space="preserve">ydqeglmhst</w:t>
      </w:r>
      <w:r>
        <w:t xml:space="preserve"> </w:t>
      </w:r>
      <w:r>
        <w:t xml:space="preserve">kWh/unit (e.g., 10 kWh/unit for illustrative calculation).</w:t>
      </w:r>
    </w:p>
    <w:p>
      <w:pPr>
        <w:numPr>
          <w:ilvl w:val="0"/>
          <w:numId w:val="1005"/>
        </w:numPr>
        <w:pStyle w:val="Compact"/>
      </w:pPr>
      <w:r>
        <w:t xml:space="preserve">**Renewable Energy Usage:**</w:t>
      </w:r>
      <w:r>
        <w:t xml:space="preserve"> </w:t>
      </w:r>
      <w:r>
        <w:rPr>
          <w:bCs/>
          <w:b/>
        </w:rPr>
        <w:t xml:space="preserve">dpusqlzefo</w:t>
      </w:r>
      <w:r>
        <w:t xml:space="preserve">% (e.g., 30% for illustrative calculation).</w:t>
      </w:r>
    </w:p>
    <w:p>
      <w:pPr>
        <w:numPr>
          <w:ilvl w:val="0"/>
          <w:numId w:val="1005"/>
        </w:numPr>
        <w:pStyle w:val="Compact"/>
      </w:pPr>
      <w:r>
        <w:t xml:space="preserve">**Grid Electricity Emission Factor (China):** 0.6 kg CO2e/kWh (representative value from industry databases).</w:t>
      </w:r>
    </w:p>
    <w:bookmarkEnd w:id="30"/>
    <w:bookmarkStart w:id="31" w:name="transport-and-logistics"/>
    <w:p>
      <w:pPr>
        <w:pStyle w:val="Heading3"/>
      </w:pPr>
      <w:r>
        <w:t xml:space="preserve">2.3. Transport and Logistics</w:t>
      </w:r>
    </w:p>
    <w:p>
      <w:pPr>
        <w:numPr>
          <w:ilvl w:val="0"/>
          <w:numId w:val="1006"/>
        </w:numPr>
        <w:pStyle w:val="Compact"/>
      </w:pPr>
      <w:r>
        <w:t xml:space="preserve">**Transport Mode:**</w:t>
      </w:r>
      <w:r>
        <w:t xml:space="preserve"> </w:t>
      </w:r>
      <w:r>
        <w:rPr>
          <w:bCs/>
          <w:b/>
        </w:rPr>
        <w:t xml:space="preserve">Select Mode</w:t>
      </w:r>
      <w:r>
        <w:t xml:space="preserve"> </w:t>
      </w:r>
      <w:r>
        <w:t xml:space="preserve">(e.g., Ocean Freight, Road Freight, Parcel Delivery for illustrative calculation).</w:t>
      </w:r>
    </w:p>
    <w:p>
      <w:pPr>
        <w:numPr>
          <w:ilvl w:val="0"/>
          <w:numId w:val="1006"/>
        </w:numPr>
        <w:pStyle w:val="Compact"/>
      </w:pPr>
      <w:r>
        <w:t xml:space="preserve">**Transport Distance (wmrljljvgs):**</w:t>
      </w:r>
    </w:p>
    <w:p>
      <w:pPr>
        <w:numPr>
          <w:ilvl w:val="1"/>
          <w:numId w:val="1007"/>
        </w:numPr>
        <w:pStyle w:val="Compact"/>
      </w:pPr>
      <w:r>
        <w:t xml:space="preserve">Factory (China) to European Port (Ocean Freight): ~8,000 km</w:t>
      </w:r>
    </w:p>
    <w:p>
      <w:pPr>
        <w:numPr>
          <w:ilvl w:val="1"/>
          <w:numId w:val="1007"/>
        </w:numPr>
        <w:pStyle w:val="Compact"/>
      </w:pPr>
      <w:r>
        <w:t xml:space="preserve">European Port to Distribution Center (Road Freight): ~500 km</w:t>
      </w:r>
    </w:p>
    <w:p>
      <w:pPr>
        <w:numPr>
          <w:ilvl w:val="1"/>
          <w:numId w:val="1007"/>
        </w:numPr>
        <w:pStyle w:val="Compact"/>
      </w:pPr>
      <w:r>
        <w:t xml:space="preserve">Distribution Center to Customer (Last-Mile Delivery): ~100 km (average)</w:t>
      </w:r>
    </w:p>
    <w:p>
      <w:pPr>
        <w:numPr>
          <w:ilvl w:val="0"/>
          <w:numId w:val="1006"/>
        </w:numPr>
        <w:pStyle w:val="Compact"/>
      </w:pPr>
      <w:r>
        <w:t xml:space="preserve">**Last-Mile Delivery Channel:**</w:t>
      </w:r>
      <w:r>
        <w:t xml:space="preserve"> </w:t>
      </w:r>
      <w:r>
        <w:rPr>
          <w:bCs/>
          <w:b/>
        </w:rPr>
        <w:t xml:space="preserve">Delivery Type</w:t>
      </w:r>
      <w:r>
        <w:t xml:space="preserve"> </w:t>
      </w:r>
      <w:r>
        <w:t xml:space="preserve">(e.g., Parcel Delivery for illustrative calculation).</w:t>
      </w:r>
    </w:p>
    <w:p>
      <w:pPr>
        <w:numPr>
          <w:ilvl w:val="0"/>
          <w:numId w:val="1006"/>
        </w:numPr>
        <w:pStyle w:val="Compact"/>
      </w:pPr>
      <w:r>
        <w:t xml:space="preserve">**Product Weight for Transport:** Assumed ~1.2 kg (based on total BOM weight) for upstream transport.</w:t>
      </w:r>
    </w:p>
    <w:p>
      <w:pPr>
        <w:numPr>
          <w:ilvl w:val="0"/>
          <w:numId w:val="1006"/>
        </w:numPr>
        <w:pStyle w:val="Compact"/>
      </w:pPr>
      <w:r>
        <w:t xml:space="preserve">**Emission Factors:**</w:t>
      </w:r>
    </w:p>
    <w:p>
      <w:pPr>
        <w:numPr>
          <w:ilvl w:val="1"/>
          <w:numId w:val="1008"/>
        </w:numPr>
        <w:pStyle w:val="Compact"/>
      </w:pPr>
      <w:r>
        <w:t xml:space="preserve">Ocean Freight: 0.01 kg CO2e/tkm</w:t>
      </w:r>
    </w:p>
    <w:p>
      <w:pPr>
        <w:numPr>
          <w:ilvl w:val="1"/>
          <w:numId w:val="1008"/>
        </w:numPr>
        <w:pStyle w:val="Compact"/>
      </w:pPr>
      <w:r>
        <w:t xml:space="preserve">Truck (HGV): 0.08 kg CO2e/tkm</w:t>
      </w:r>
    </w:p>
    <w:p>
      <w:pPr>
        <w:numPr>
          <w:ilvl w:val="1"/>
          <w:numId w:val="1008"/>
        </w:numPr>
        <w:pStyle w:val="Compact"/>
      </w:pPr>
      <w:r>
        <w:t xml:space="preserve">Parcel Delivery Van: 0.2 kg CO2e/km (per delivery)</w:t>
      </w:r>
    </w:p>
    <w:bookmarkEnd w:id="31"/>
    <w:bookmarkStart w:id="32" w:name="use-phase-data"/>
    <w:p>
      <w:pPr>
        <w:pStyle w:val="Heading3"/>
      </w:pPr>
      <w:r>
        <w:t xml:space="preserve">2.4. Use Phase Data</w:t>
      </w:r>
    </w:p>
    <w:p>
      <w:pPr>
        <w:numPr>
          <w:ilvl w:val="0"/>
          <w:numId w:val="1009"/>
        </w:numPr>
        <w:pStyle w:val="Compact"/>
      </w:pPr>
      <w:r>
        <w:t xml:space="preserve">**Product Lifespan (rtyzgmrmnd):**</w:t>
      </w:r>
      <w:r>
        <w:t xml:space="preserve"> </w:t>
      </w:r>
      <w:r>
        <w:rPr>
          <w:bCs/>
          <w:b/>
        </w:rPr>
        <w:t xml:space="preserve">rtyzgmrmnd</w:t>
      </w:r>
      <w:r>
        <w:t xml:space="preserve"> </w:t>
      </w:r>
      <w:r>
        <w:t xml:space="preserve">(e.g., 5 years for illustrative calculation).</w:t>
      </w:r>
    </w:p>
    <w:p>
      <w:pPr>
        <w:numPr>
          <w:ilvl w:val="0"/>
          <w:numId w:val="1009"/>
        </w:numPr>
        <w:pStyle w:val="Compact"/>
      </w:pPr>
      <w:r>
        <w:t xml:space="preserve">**Energy Consumption in Use (kjgyyjmyjo):**</w:t>
      </w:r>
      <w:r>
        <w:t xml:space="preserve"> </w:t>
      </w:r>
      <w:r>
        <w:rPr>
          <w:bCs/>
          <w:b/>
        </w:rPr>
        <w:t xml:space="preserve">kjgyyjmyjo</w:t>
      </w:r>
      <w:r>
        <w:t xml:space="preserve"> </w:t>
      </w:r>
      <w:r>
        <w:t xml:space="preserve">kWh/year (e.g., 50 kWh/year for illustrative calculation).</w:t>
      </w:r>
    </w:p>
    <w:p>
      <w:pPr>
        <w:numPr>
          <w:ilvl w:val="0"/>
          <w:numId w:val="1009"/>
        </w:numPr>
        <w:pStyle w:val="Compact"/>
      </w:pPr>
      <w:r>
        <w:t xml:space="preserve">**Average European Grid Electricity Emission Factor:** 0.3 kg CO2e/kWh (representative value).</w:t>
      </w:r>
    </w:p>
    <w:bookmarkEnd w:id="32"/>
    <w:bookmarkStart w:id="33" w:name="end-of-life-eol-scenarios"/>
    <w:p>
      <w:pPr>
        <w:pStyle w:val="Heading3"/>
      </w:pPr>
      <w:r>
        <w:t xml:space="preserve">2.5. End-of-Life (EoL) Scenarios</w:t>
      </w:r>
    </w:p>
    <w:p>
      <w:pPr>
        <w:numPr>
          <w:ilvl w:val="0"/>
          <w:numId w:val="1010"/>
        </w:numPr>
        <w:pStyle w:val="Compact"/>
      </w:pPr>
      <w:r>
        <w:t xml:space="preserve">**Recyclability Percentage (fwkewmxmyu):**</w:t>
      </w:r>
      <w:r>
        <w:t xml:space="preserve"> </w:t>
      </w:r>
      <w:r>
        <w:rPr>
          <w:bCs/>
          <w:b/>
        </w:rPr>
        <w:t xml:space="preserve">fwkewmxmyu</w:t>
      </w:r>
      <w:r>
        <w:t xml:space="preserve">% (e.g., 70% for illustrative calculation).</w:t>
      </w:r>
    </w:p>
    <w:p>
      <w:pPr>
        <w:numPr>
          <w:ilvl w:val="0"/>
          <w:numId w:val="1010"/>
        </w:numPr>
        <w:pStyle w:val="Compact"/>
      </w:pPr>
      <w:r>
        <w:t xml:space="preserve">**Circular/Take-back Programs (eljdfedvp):**</w:t>
      </w:r>
      <w:r>
        <w:t xml:space="preserve"> </w:t>
      </w:r>
      <w:r>
        <w:rPr>
          <w:bCs/>
          <w:b/>
        </w:rPr>
        <w:t xml:space="preserve">eljgdfedvp</w:t>
      </w:r>
      <w:r>
        <w:t xml:space="preserve"> </w:t>
      </w:r>
      <w:r>
        <w:t xml:space="preserve">(e.g., "Product take-back and refurbishment program initiated, aiming for material reuse and component re-manufacturing.").</w:t>
      </w:r>
    </w:p>
    <w:p>
      <w:pPr>
        <w:numPr>
          <w:ilvl w:val="0"/>
          <w:numId w:val="1010"/>
        </w:numPr>
        <w:pStyle w:val="Compact"/>
      </w:pPr>
      <w:r>
        <w:t xml:space="preserve">**EoL Emission Factors (illustrative):**</w:t>
      </w:r>
    </w:p>
    <w:p>
      <w:pPr>
        <w:numPr>
          <w:ilvl w:val="1"/>
          <w:numId w:val="1011"/>
        </w:numPr>
        <w:pStyle w:val="Compact"/>
      </w:pPr>
      <w:r>
        <w:t xml:space="preserve">Recycling (avoided emissions): -1.5 kg CO2e/kg</w:t>
      </w:r>
    </w:p>
    <w:p>
      <w:pPr>
        <w:numPr>
          <w:ilvl w:val="1"/>
          <w:numId w:val="1011"/>
        </w:numPr>
        <w:pStyle w:val="Compact"/>
      </w:pPr>
      <w:r>
        <w:t xml:space="preserve">Landfill: 0.5 kg CO2e/kg</w:t>
      </w:r>
    </w:p>
    <w:p>
      <w:pPr>
        <w:numPr>
          <w:ilvl w:val="1"/>
          <w:numId w:val="1011"/>
        </w:numPr>
        <w:pStyle w:val="Compact"/>
      </w:pPr>
      <w:r>
        <w:t xml:space="preserve">Incineration: 1.0 kg CO2e/kg</w:t>
      </w:r>
    </w:p>
    <w:p>
      <w:pPr>
        <w:pStyle w:val="FirstParagraph"/>
      </w:pPr>
      <w:r>
        <w:rPr>
          <w:iCs/>
          <w:i/>
        </w:rPr>
        <w:t xml:space="preserve">Note: All emission factors used in this report are based on representative industry-standard values (e.g., from Ecoinvent/DEFRA equivalents) where specific, proprietary data was not available.</w:t>
      </w:r>
    </w:p>
    <w:p>
      <w:r>
        <w:pict>
          <v:rect style="width:0;height:1.5pt" o:hralign="center" o:hrstd="t" o:hr="t"/>
        </w:pict>
      </w:r>
    </w:p>
    <w:bookmarkEnd w:id="33"/>
    <w:bookmarkEnd w:id="34"/>
    <w:bookmarkStart w:id="36" w:name="X97f2e3cce6ee3a66ce06bf6c58d1873d8d91889"/>
    <w:p>
      <w:pPr>
        <w:pStyle w:val="Heading2"/>
      </w:pPr>
      <w:r>
        <w:t xml:space="preserve">3. GHG Protocol Categorization and LSR Application</w:t>
      </w:r>
    </w:p>
    <w:p>
      <w:pPr>
        <w:pStyle w:val="FirstParagraph"/>
      </w:pPr>
      <w:r>
        <w:t xml:space="preserve">Emissions are categorized into Scope 1 (Direct Emissions), Scope 2 (Energy Indirect Emissions), and Scope 3 (Other Indirect Emissions from the Value Chain) as per the GHG Protocol Corporate Standard. The 2026 Land Sector and Removals (LSR) Standard is applied to account for land use and carbon removals where relevant, particularly for bio-based materials and forestry impacts. For this product, direct LSR impacts are minimal due to its nature, but upstream material production impacts are implicitly covered in emission factors.</w:t>
      </w:r>
    </w:p>
    <w:bookmarkStart w:id="35" w:name="scope-3-compliance"/>
    <w:p>
      <w:pPr>
        <w:pStyle w:val="Heading3"/>
      </w:pPr>
      <w:r>
        <w:t xml:space="preserve">3.1. Scope 3 Compliance</w:t>
      </w:r>
    </w:p>
    <w:p>
      <w:pPr>
        <w:pStyle w:val="FirstParagraph"/>
      </w:pPr>
      <w:r>
        <w:t xml:space="preserve">A concerted effort has been made to ensure at least 95% coverage for Scope 3 reporting, in line with 2026 requirements. This comprehensive approach ensures that significant upstream and downstream value chain emissions are captured and accounted for.</w:t>
      </w:r>
    </w:p>
    <w:p>
      <w:r>
        <w:pict>
          <v:rect style="width:0;height:1.5pt" o:hralign="center" o:hrstd="t" o:hr="t"/>
        </w:pict>
      </w:r>
    </w:p>
    <w:bookmarkEnd w:id="35"/>
    <w:bookmarkEnd w:id="36"/>
    <w:bookmarkStart w:id="43" w:name="X439a6e6dcb43c636bf515ffaf3f59bce0bd6490"/>
    <w:p>
      <w:pPr>
        <w:pStyle w:val="Heading2"/>
      </w:pPr>
      <w:r>
        <w:t xml:space="preserve">4. Emission Calculation (Activity * Emission Factor = CO2e)</w:t>
      </w:r>
    </w:p>
    <w:p>
      <w:pPr>
        <w:pStyle w:val="FirstParagraph"/>
      </w:pPr>
      <w:r>
        <w:t xml:space="preserve">Based on the collected data and chosen emission factors, the emissions for each lifecycle stage of dqmdpffohf are calculated below.</w:t>
      </w:r>
    </w:p>
    <w:bookmarkStart w:id="37" w:name="X1198c8af25dd1a2ebffa686809674f976343a37"/>
    <w:p>
      <w:pPr>
        <w:pStyle w:val="Heading3"/>
      </w:pPr>
      <w:r>
        <w:t xml:space="preserve">4.1. Material Acquisition &amp; Pre-processing (Scope 3 - Upstream)</w:t>
      </w:r>
    </w:p>
    <w:p>
      <w:pPr>
        <w:pStyle w:val="FirstParagraph"/>
      </w:pPr>
      <w:r>
        <w:t xml:space="preserve">This covers emissions associated with the extraction, processing, and manufacturing of raw materials as detailed in the BOM (jjixxsro).</w:t>
      </w:r>
    </w:p>
    <w:p>
      <w:pPr>
        <w:numPr>
          <w:ilvl w:val="0"/>
          <w:numId w:val="1012"/>
        </w:numPr>
        <w:pStyle w:val="Compact"/>
      </w:pPr>
      <w:r>
        <w:rPr>
          <w:bCs/>
          <w:b/>
        </w:rPr>
        <w:t xml:space="preserve">Total Material Impact:</w:t>
      </w:r>
      <w:r>
        <w:t xml:space="preserve"> </w:t>
      </w:r>
      <w:r>
        <w:t xml:space="preserve">7.45 kg CO2e (sum from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Plastics</w:t>
            </w:r>
          </w:p>
        </w:tc>
        <w:tc>
          <w:tcPr/>
          <w:p>
            <w:pPr>
              <w:pStyle w:val="Compact"/>
              <w:jc w:val="left"/>
            </w:pPr>
            <w:r>
              <w:t xml:space="preserve">1.75</w:t>
            </w:r>
          </w:p>
        </w:tc>
      </w:tr>
      <w:tr>
        <w:tc>
          <w:tcPr/>
          <w:p>
            <w:pPr>
              <w:pStyle w:val="Compact"/>
              <w:jc w:val="left"/>
            </w:pPr>
            <w:r>
              <w:t xml:space="preserve">Electronics</w:t>
            </w:r>
          </w:p>
        </w:tc>
        <w:tc>
          <w:tcPr/>
          <w:p>
            <w:pPr>
              <w:pStyle w:val="Compact"/>
              <w:jc w:val="left"/>
            </w:pPr>
            <w:r>
              <w:t xml:space="preserve">5.10</w:t>
            </w:r>
          </w:p>
        </w:tc>
      </w:tr>
      <w:tr>
        <w:tc>
          <w:tcPr/>
          <w:p>
            <w:pPr>
              <w:pStyle w:val="Compact"/>
              <w:jc w:val="left"/>
            </w:pPr>
            <w:r>
              <w:t xml:space="preserve">Metals</w:t>
            </w:r>
          </w:p>
        </w:tc>
        <w:tc>
          <w:tcPr/>
          <w:p>
            <w:pPr>
              <w:pStyle w:val="Compact"/>
              <w:jc w:val="left"/>
            </w:pPr>
            <w:r>
              <w:t xml:space="preserve">0.40</w:t>
            </w:r>
          </w:p>
        </w:tc>
      </w:tr>
      <w:tr>
        <w:tc>
          <w:tcPr/>
          <w:p>
            <w:pPr>
              <w:pStyle w:val="Compact"/>
              <w:jc w:val="left"/>
            </w:pPr>
            <w:r>
              <w:t xml:space="preserve">Packaging</w:t>
            </w:r>
          </w:p>
        </w:tc>
        <w:tc>
          <w:tcPr/>
          <w:p>
            <w:pPr>
              <w:pStyle w:val="Compact"/>
              <w:jc w:val="left"/>
            </w:pPr>
            <w:r>
              <w:t xml:space="preserve">0.20</w:t>
            </w:r>
          </w:p>
        </w:tc>
      </w:tr>
      <w:tr>
        <w:tc>
          <w:tcPr/>
          <w:p>
            <w:pPr>
              <w:pStyle w:val="Compact"/>
              <w:jc w:val="left"/>
            </w:pPr>
            <w:r>
              <w:t xml:space="preserve">Subtotal (Material Acquisition)</w:t>
            </w:r>
          </w:p>
        </w:tc>
        <w:tc>
          <w:tcPr/>
          <w:p>
            <w:pPr>
              <w:pStyle w:val="Compact"/>
              <w:jc w:val="left"/>
            </w:pPr>
            <w:r>
              <w:t xml:space="preserve">7.45</w:t>
            </w:r>
          </w:p>
        </w:tc>
      </w:tr>
    </w:tbl>
    <w:bookmarkEnd w:id="37"/>
    <w:bookmarkStart w:id="38" w:name="manufacturing-scope-2"/>
    <w:p>
      <w:pPr>
        <w:pStyle w:val="Heading3"/>
      </w:pPr>
      <w:r>
        <w:t xml:space="preserve">4.2. Manufacturing (Scope 2)</w:t>
      </w:r>
    </w:p>
    <w:p>
      <w:pPr>
        <w:pStyle w:val="FirstParagraph"/>
      </w:pPr>
      <w:r>
        <w:t xml:space="preserve">Emissions from energy consumption during the production phase at the ulldhfrwmt facility in China.</w:t>
      </w:r>
    </w:p>
    <w:p>
      <w:pPr>
        <w:numPr>
          <w:ilvl w:val="0"/>
          <w:numId w:val="1013"/>
        </w:numPr>
        <w:pStyle w:val="Compact"/>
      </w:pPr>
      <w:r>
        <w:t xml:space="preserve">Energy Intensity: 10 kWh/unit</w:t>
      </w:r>
    </w:p>
    <w:p>
      <w:pPr>
        <w:numPr>
          <w:ilvl w:val="0"/>
          <w:numId w:val="1013"/>
        </w:numPr>
        <w:pStyle w:val="Compact"/>
      </w:pPr>
      <w:r>
        <w:t xml:space="preserve">Renewable Energy Usage: 30%</w:t>
      </w:r>
    </w:p>
    <w:p>
      <w:pPr>
        <w:numPr>
          <w:ilvl w:val="0"/>
          <w:numId w:val="1013"/>
        </w:numPr>
        <w:pStyle w:val="Compact"/>
      </w:pPr>
      <w:r>
        <w:t xml:space="preserve">Grid Electricity Usage: 70% (10 kWh * 0.70 = 7 kWh)</w:t>
      </w:r>
    </w:p>
    <w:p>
      <w:pPr>
        <w:numPr>
          <w:ilvl w:val="0"/>
          <w:numId w:val="1013"/>
        </w:numPr>
        <w:pStyle w:val="Compact"/>
      </w:pPr>
      <w:r>
        <w:t xml:space="preserve">Renewable Electricity Usage: 3 kWh</w:t>
      </w:r>
    </w:p>
    <w:p>
      <w:pPr>
        <w:numPr>
          <w:ilvl w:val="0"/>
          <w:numId w:val="1013"/>
        </w:numPr>
        <w:pStyle w:val="Compact"/>
      </w:pPr>
      <w:r>
        <w:t xml:space="preserve">Grid Electricity EF (China): 0.6 kg CO2e/kWh</w:t>
      </w:r>
    </w:p>
    <w:p>
      <w:pPr>
        <w:numPr>
          <w:ilvl w:val="0"/>
          <w:numId w:val="1013"/>
        </w:numPr>
        <w:pStyle w:val="Compact"/>
      </w:pPr>
      <w:r>
        <w:t xml:space="preserve">Renewable Electricity EF: 0 kg CO2e/kWh (assuming purchased renewable energy with zero scope 2 emissions)</w:t>
      </w:r>
    </w:p>
    <w:p>
      <w:pPr>
        <w:numPr>
          <w:ilvl w:val="0"/>
          <w:numId w:val="1013"/>
        </w:numPr>
        <w:pStyle w:val="Compact"/>
      </w:pPr>
      <w:r>
        <w:rPr>
          <w:bCs/>
          <w:b/>
        </w:rPr>
        <w:t xml:space="preserve">Calculation:</w:t>
      </w:r>
      <w:r>
        <w:t xml:space="preserve"> </w:t>
      </w:r>
      <w:r>
        <w:t xml:space="preserve">(7 kWh * 0.6 kg CO2e/kWh) + (3 kWh * 0 kg CO2e/kWh) = 4.2 kg CO2e</w:t>
      </w:r>
    </w:p>
    <w:p>
      <w:pPr>
        <w:numPr>
          <w:ilvl w:val="0"/>
          <w:numId w:val="1013"/>
        </w:numPr>
        <w:pStyle w:val="Compact"/>
      </w:pPr>
      <w:r>
        <w:rPr>
          <w:bCs/>
          <w:b/>
        </w:rPr>
        <w:t xml:space="preserve">Manufacturing Emissions:</w:t>
      </w:r>
      <w:r>
        <w:t xml:space="preserve"> </w:t>
      </w:r>
      <w:r>
        <w:t xml:space="preserve">4.20 kg CO2e</w:t>
      </w:r>
    </w:p>
    <w:bookmarkEnd w:id="38"/>
    <w:bookmarkStart w:id="39" w:name="X7942d58a62c071cb861d354473bf5e7eb2c8ff8"/>
    <w:p>
      <w:pPr>
        <w:pStyle w:val="Heading3"/>
      </w:pPr>
      <w:r>
        <w:t xml:space="preserve">4.3. Transport (Scope 3 - Upstream &amp; Downstream Logistics)</w:t>
      </w:r>
    </w:p>
    <w:p>
      <w:pPr>
        <w:pStyle w:val="FirstParagraph"/>
      </w:pPr>
      <w:r>
        <w:t xml:space="preserve">Emissions from transporting materials to the factory and the finished product to the customer.</w:t>
      </w:r>
    </w:p>
    <w:p>
      <w:pPr>
        <w:numPr>
          <w:ilvl w:val="0"/>
          <w:numId w:val="1014"/>
        </w:numPr>
        <w:pStyle w:val="Compact"/>
      </w:pPr>
      <w:r>
        <w:t xml:space="preserve">Product Weight: 1.2 kg (0.0012 tonnes)</w:t>
      </w:r>
    </w:p>
    <w:p>
      <w:pPr>
        <w:numPr>
          <w:ilvl w:val="0"/>
          <w:numId w:val="1014"/>
        </w:numPr>
        <w:pStyle w:val="Compact"/>
      </w:pPr>
      <w:r>
        <w:rPr>
          <w:bCs/>
          <w:b/>
        </w:rPr>
        <w:t xml:space="preserve">Ocean Freight (China to Europe):</w:t>
      </w:r>
      <w:r>
        <w:t xml:space="preserve"> </w:t>
      </w:r>
      <w:r>
        <w:t xml:space="preserve">0.0012 t * 8000 km * 0.01 kg CO2e/tkm = 0.096 kg CO2e</w:t>
      </w:r>
    </w:p>
    <w:p>
      <w:pPr>
        <w:numPr>
          <w:ilvl w:val="0"/>
          <w:numId w:val="1014"/>
        </w:numPr>
        <w:pStyle w:val="Compact"/>
      </w:pPr>
      <w:r>
        <w:rPr>
          <w:bCs/>
          <w:b/>
        </w:rPr>
        <w:t xml:space="preserve">Road Freight (Europe Port to Distribution Center):</w:t>
      </w:r>
      <w:r>
        <w:t xml:space="preserve"> </w:t>
      </w:r>
      <w:r>
        <w:t xml:space="preserve">0.0012 t * 500 km * 0.08 kg CO2e/tkm = 0.048 kg CO2e</w:t>
      </w:r>
    </w:p>
    <w:p>
      <w:pPr>
        <w:numPr>
          <w:ilvl w:val="0"/>
          <w:numId w:val="1014"/>
        </w:numPr>
        <w:pStyle w:val="Compact"/>
      </w:pPr>
      <w:r>
        <w:rPr>
          <w:bCs/>
          <w:b/>
        </w:rPr>
        <w:t xml:space="preserve">Last-Mile Delivery (Distribution Center to Customer):</w:t>
      </w:r>
      <w:r>
        <w:t xml:space="preserve"> </w:t>
      </w:r>
      <w:r>
        <w:t xml:space="preserve">100 km * 0.2 kg CO2e/km = 20.0 kg CO2e</w:t>
      </w:r>
    </w:p>
    <w:p>
      <w:pPr>
        <w:numPr>
          <w:ilvl w:val="0"/>
          <w:numId w:val="1014"/>
        </w:numPr>
        <w:pStyle w:val="Compact"/>
      </w:pPr>
      <w:r>
        <w:rPr>
          <w:bCs/>
          <w:b/>
        </w:rPr>
        <w:t xml:space="preserve">Total Transport Emissions:</w:t>
      </w:r>
      <w:r>
        <w:t xml:space="preserve"> </w:t>
      </w:r>
      <w:r>
        <w:t xml:space="preserve">20.144 kg CO2e</w:t>
      </w:r>
    </w:p>
    <w:p>
      <w:pPr>
        <w:pStyle w:val="FirstParagraph"/>
      </w:pPr>
      <w:r>
        <w:rPr>
          <w:iCs/>
          <w:i/>
        </w:rPr>
        <w:t xml:space="preserve">Note on Last-Mile: This value is significantly higher as typical parcel delivery emission factors are per km per package/delivery, not per tonne-km, reflecting the lower efficiency of last-mile operations.</w:t>
      </w:r>
    </w:p>
    <w:bookmarkEnd w:id="39"/>
    <w:bookmarkStart w:id="40" w:name="use-phase-scope-3---downstream"/>
    <w:p>
      <w:pPr>
        <w:pStyle w:val="Heading3"/>
      </w:pPr>
      <w:r>
        <w:t xml:space="preserve">4.4. Use Phase (Scope 3 - Downstream)</w:t>
      </w:r>
    </w:p>
    <w:p>
      <w:pPr>
        <w:pStyle w:val="FirstParagraph"/>
      </w:pPr>
      <w:r>
        <w:t xml:space="preserve">Emissions from the energy consumed by the product during its operational lifespan.</w:t>
      </w:r>
    </w:p>
    <w:p>
      <w:pPr>
        <w:numPr>
          <w:ilvl w:val="0"/>
          <w:numId w:val="1015"/>
        </w:numPr>
        <w:pStyle w:val="Compact"/>
      </w:pPr>
      <w:r>
        <w:t xml:space="preserve">Product Lifespan: 5 years</w:t>
      </w:r>
    </w:p>
    <w:p>
      <w:pPr>
        <w:numPr>
          <w:ilvl w:val="0"/>
          <w:numId w:val="1015"/>
        </w:numPr>
        <w:pStyle w:val="Compact"/>
      </w:pPr>
      <w:r>
        <w:t xml:space="preserve">Energy Consumption: 50 kWh/year</w:t>
      </w:r>
    </w:p>
    <w:p>
      <w:pPr>
        <w:numPr>
          <w:ilvl w:val="0"/>
          <w:numId w:val="1015"/>
        </w:numPr>
        <w:pStyle w:val="Compact"/>
      </w:pPr>
      <w:r>
        <w:t xml:space="preserve">Total Energy Consumption over Lifespan: 50 kWh/year * 5 years = 250 kWh</w:t>
      </w:r>
    </w:p>
    <w:p>
      <w:pPr>
        <w:numPr>
          <w:ilvl w:val="0"/>
          <w:numId w:val="1015"/>
        </w:numPr>
        <w:pStyle w:val="Compact"/>
      </w:pPr>
      <w:r>
        <w:t xml:space="preserve">Average European Grid Electricity EF: 0.3 kg CO2e/kWh</w:t>
      </w:r>
    </w:p>
    <w:p>
      <w:pPr>
        <w:numPr>
          <w:ilvl w:val="0"/>
          <w:numId w:val="1015"/>
        </w:numPr>
        <w:pStyle w:val="Compact"/>
      </w:pPr>
      <w:r>
        <w:rPr>
          <w:bCs/>
          <w:b/>
        </w:rPr>
        <w:t xml:space="preserve">Calculation:</w:t>
      </w:r>
      <w:r>
        <w:t xml:space="preserve"> </w:t>
      </w:r>
      <w:r>
        <w:t xml:space="preserve">250 kWh * 0.3 kg CO2e/kWh = 75.0 kg CO2e</w:t>
      </w:r>
    </w:p>
    <w:p>
      <w:pPr>
        <w:numPr>
          <w:ilvl w:val="0"/>
          <w:numId w:val="1015"/>
        </w:numPr>
        <w:pStyle w:val="Compact"/>
      </w:pPr>
      <w:r>
        <w:rPr>
          <w:bCs/>
          <w:b/>
        </w:rPr>
        <w:t xml:space="preserve">Use Phase Emissions:</w:t>
      </w:r>
      <w:r>
        <w:t xml:space="preserve"> </w:t>
      </w:r>
      <w:r>
        <w:t xml:space="preserve">75.00 kg CO2e</w:t>
      </w:r>
    </w:p>
    <w:bookmarkEnd w:id="40"/>
    <w:bookmarkStart w:id="41" w:name="end-of-life-eol-scope-3---downstream"/>
    <w:p>
      <w:pPr>
        <w:pStyle w:val="Heading3"/>
      </w:pPr>
      <w:r>
        <w:t xml:space="preserve">4.5. End-of-Life (EoL) (Scope 3 - Downstream)</w:t>
      </w:r>
    </w:p>
    <w:p>
      <w:pPr>
        <w:pStyle w:val="FirstParagraph"/>
      </w:pPr>
      <w:r>
        <w:t xml:space="preserve">Emissions and avoided emissions associated with the end-of-life treatment of the product.</w:t>
      </w:r>
    </w:p>
    <w:p>
      <w:pPr>
        <w:numPr>
          <w:ilvl w:val="0"/>
          <w:numId w:val="1016"/>
        </w:numPr>
        <w:pStyle w:val="Compact"/>
      </w:pPr>
      <w:r>
        <w:t xml:space="preserve">Product Weight: 1.2 kg</w:t>
      </w:r>
    </w:p>
    <w:p>
      <w:pPr>
        <w:numPr>
          <w:ilvl w:val="0"/>
          <w:numId w:val="1016"/>
        </w:numPr>
        <w:pStyle w:val="Compact"/>
      </w:pPr>
      <w:r>
        <w:t xml:space="preserve">Recyclability: 70% (0.84 kg)</w:t>
      </w:r>
    </w:p>
    <w:p>
      <w:pPr>
        <w:numPr>
          <w:ilvl w:val="0"/>
          <w:numId w:val="1016"/>
        </w:numPr>
        <w:pStyle w:val="Compact"/>
      </w:pPr>
      <w:r>
        <w:t xml:space="preserve">Landfilled (assumed): 20% (0.24 kg)</w:t>
      </w:r>
    </w:p>
    <w:p>
      <w:pPr>
        <w:numPr>
          <w:ilvl w:val="0"/>
          <w:numId w:val="1016"/>
        </w:numPr>
        <w:pStyle w:val="Compact"/>
      </w:pPr>
      <w:r>
        <w:t xml:space="preserve">Incinerated (assumed): 10% (0.12 kg)</w:t>
      </w:r>
    </w:p>
    <w:p>
      <w:pPr>
        <w:numPr>
          <w:ilvl w:val="0"/>
          <w:numId w:val="1016"/>
        </w:numPr>
        <w:pStyle w:val="Compact"/>
      </w:pPr>
      <w:r>
        <w:rPr>
          <w:bCs/>
          <w:b/>
        </w:rPr>
        <w:t xml:space="preserve">Recycling (avoided emissions):</w:t>
      </w:r>
      <w:r>
        <w:t xml:space="preserve"> </w:t>
      </w:r>
      <w:r>
        <w:t xml:space="preserve">0.84 kg * -1.5 kg CO2e/kg = -1.26 kg CO2e</w:t>
      </w:r>
    </w:p>
    <w:p>
      <w:pPr>
        <w:numPr>
          <w:ilvl w:val="0"/>
          <w:numId w:val="1016"/>
        </w:numPr>
        <w:pStyle w:val="Compact"/>
      </w:pPr>
      <w:r>
        <w:rPr>
          <w:bCs/>
          <w:b/>
        </w:rPr>
        <w:t xml:space="preserve">Landfilling:</w:t>
      </w:r>
      <w:r>
        <w:t xml:space="preserve"> </w:t>
      </w:r>
      <w:r>
        <w:t xml:space="preserve">0.24 kg * 0.5 kg CO2e/kg = 0.12 kg CO2e</w:t>
      </w:r>
    </w:p>
    <w:p>
      <w:pPr>
        <w:numPr>
          <w:ilvl w:val="0"/>
          <w:numId w:val="1016"/>
        </w:numPr>
        <w:pStyle w:val="Compact"/>
      </w:pPr>
      <w:r>
        <w:rPr>
          <w:bCs/>
          <w:b/>
        </w:rPr>
        <w:t xml:space="preserve">Incineration:</w:t>
      </w:r>
      <w:r>
        <w:t xml:space="preserve"> </w:t>
      </w:r>
      <w:r>
        <w:t xml:space="preserve">0.12 kg * 1.0 kg CO2e/kg = 0.12 kg CO2e</w:t>
      </w:r>
    </w:p>
    <w:p>
      <w:pPr>
        <w:numPr>
          <w:ilvl w:val="0"/>
          <w:numId w:val="1016"/>
        </w:numPr>
        <w:pStyle w:val="Compact"/>
      </w:pPr>
      <w:r>
        <w:rPr>
          <w:bCs/>
          <w:b/>
        </w:rPr>
        <w:t xml:space="preserve">Total End-of-Life Emissions:</w:t>
      </w:r>
      <w:r>
        <w:t xml:space="preserve"> </w:t>
      </w:r>
      <w:r>
        <w:t xml:space="preserve">-1.02 kg CO2e</w:t>
      </w:r>
    </w:p>
    <w:bookmarkEnd w:id="41"/>
    <w:bookmarkStart w:id="42" w:name="Xae2b94e774973de6b5de226cc074c2f1ab5bdce"/>
    <w:p>
      <w:pPr>
        <w:pStyle w:val="Heading3"/>
      </w:pPr>
      <w:r>
        <w:t xml:space="preserve">4.6. Total Product Carbon Footprint (PCF) for dqmdpffohf</w:t>
      </w:r>
    </w:p>
    <w:p>
      <w:pPr>
        <w:pStyle w:val="FirstParagraph"/>
      </w:pPr>
      <w:r>
        <w:t xml:space="preserve">Summation of emissions across all lifecycle stages:</w:t>
      </w:r>
    </w:p>
    <w:p>
      <w:pPr>
        <w:numPr>
          <w:ilvl w:val="0"/>
          <w:numId w:val="1017"/>
        </w:numPr>
        <w:pStyle w:val="Compact"/>
      </w:pPr>
      <w:r>
        <w:t xml:space="preserve">Material Acquisition: 7.45 kg CO2e</w:t>
      </w:r>
    </w:p>
    <w:p>
      <w:pPr>
        <w:numPr>
          <w:ilvl w:val="0"/>
          <w:numId w:val="1017"/>
        </w:numPr>
        <w:pStyle w:val="Compact"/>
      </w:pPr>
      <w:r>
        <w:t xml:space="preserve">Manufacturing: 4.20 kg CO2e (Scope 2)</w:t>
      </w:r>
    </w:p>
    <w:p>
      <w:pPr>
        <w:numPr>
          <w:ilvl w:val="0"/>
          <w:numId w:val="1017"/>
        </w:numPr>
        <w:pStyle w:val="Compact"/>
      </w:pPr>
      <w:r>
        <w:t xml:space="preserve">Transport: 20.144 kg CO2e</w:t>
      </w:r>
    </w:p>
    <w:p>
      <w:pPr>
        <w:numPr>
          <w:ilvl w:val="0"/>
          <w:numId w:val="1017"/>
        </w:numPr>
        <w:pStyle w:val="Compact"/>
      </w:pPr>
      <w:r>
        <w:t xml:space="preserve">Use Phase: 75.00 kg CO2e</w:t>
      </w:r>
    </w:p>
    <w:p>
      <w:pPr>
        <w:numPr>
          <w:ilvl w:val="0"/>
          <w:numId w:val="1017"/>
        </w:numPr>
        <w:pStyle w:val="Compact"/>
      </w:pPr>
      <w:r>
        <w:t xml:space="preserve">End-of-Life: -1.02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7.45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20.14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-1.02</w:t>
            </w:r>
          </w:p>
        </w:tc>
      </w:tr>
      <w:tr>
        <w:tc>
          <w:tcPr/>
          <w:p>
            <w:pPr>
              <w:pStyle w:val="Compact"/>
              <w:jc w:val="left"/>
            </w:pPr>
            <w:r>
              <w:t xml:space="preserve">TOTAL PCF per Functional Unit</w:t>
            </w:r>
          </w:p>
        </w:tc>
        <w:tc>
          <w:tcPr/>
          <w:p>
            <w:pPr>
              <w:pStyle w:val="Compact"/>
            </w:pPr>
          </w:p>
        </w:tc>
        <w:tc>
          <w:tcPr/>
          <w:p>
            <w:pPr>
              <w:pStyle w:val="Compact"/>
              <w:jc w:val="left"/>
            </w:pPr>
            <w:r>
              <w:t xml:space="preserve">105.77</w:t>
            </w:r>
          </w:p>
        </w:tc>
      </w:tr>
    </w:tbl>
    <w:p>
      <w:pPr>
        <w:pStyle w:val="BodyText"/>
      </w:pPr>
      <w:r>
        <w:rPr>
          <w:bCs/>
          <w:b/>
        </w:rPr>
        <w:t xml:space="preserve">The total Product Carbon Footprint for one unit of dqmdpffohf is approximately 105.77 kg CO2e.</w:t>
      </w:r>
    </w:p>
    <w:p>
      <w:r>
        <w:pict>
          <v:rect style="width:0;height:1.5pt" o:hralign="center" o:hrstd="t" o:hr="t"/>
        </w:pict>
      </w:r>
    </w:p>
    <w:bookmarkEnd w:id="42"/>
    <w:bookmarkEnd w:id="43"/>
    <w:bookmarkStart w:id="49"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reveals the following major emission hotspots for dqmdpffohf:</w:t>
      </w:r>
    </w:p>
    <w:p>
      <w:pPr>
        <w:numPr>
          <w:ilvl w:val="0"/>
          <w:numId w:val="1018"/>
        </w:numPr>
        <w:pStyle w:val="Compact"/>
      </w:pPr>
      <w:r>
        <w:rPr>
          <w:bCs/>
          <w:b/>
        </w:rPr>
        <w:t xml:space="preserve">Use Phase (75.00 kg CO2e):</w:t>
      </w:r>
      <w:r>
        <w:t xml:space="preserve"> </w:t>
      </w:r>
      <w:r>
        <w:t xml:space="preserve">This is the most significant contributor, primarily due to the product\'s energy consumption over its 5-year lifespan. This highlights the importance of energy efficiency during product design and user behavior in reducing the overall footprint.</w:t>
      </w:r>
    </w:p>
    <w:p>
      <w:pPr>
        <w:numPr>
          <w:ilvl w:val="0"/>
          <w:numId w:val="1018"/>
        </w:numPr>
        <w:pStyle w:val="Compact"/>
      </w:pPr>
      <w:r>
        <w:rPr>
          <w:bCs/>
          <w:b/>
        </w:rPr>
        <w:t xml:space="preserve">Transport (20.14 kg CO2e):</w:t>
      </w:r>
      <w:r>
        <w:t xml:space="preserve"> </w:t>
      </w:r>
      <w:r>
        <w:t xml:space="preserve">Logistics, particularly last-mile delivery, contributes substantially to the PCF. This suggests that optimizing shipping routes, using lower-emission transport modes, and localizing distribution could yield significant reductions.</w:t>
      </w:r>
    </w:p>
    <w:p>
      <w:pPr>
        <w:numPr>
          <w:ilvl w:val="0"/>
          <w:numId w:val="1018"/>
        </w:numPr>
        <w:pStyle w:val="Compact"/>
      </w:pPr>
      <w:r>
        <w:rPr>
          <w:bCs/>
          <w:b/>
        </w:rPr>
        <w:t xml:space="preserve">Material Acquisition (7.45 kg CO2e):</w:t>
      </w:r>
      <w:r>
        <w:t xml:space="preserve"> </w:t>
      </w:r>
      <w:r>
        <w:t xml:space="preserve">Raw material production, especially for electronic components and plastics, is a notable contributor. Efforts to source recycled content, design for material efficiency, and engage with low-carbon suppliers are critical.</w:t>
      </w:r>
    </w:p>
    <w:p>
      <w:pPr>
        <w:numPr>
          <w:ilvl w:val="0"/>
          <w:numId w:val="1018"/>
        </w:numPr>
        <w:pStyle w:val="Compact"/>
      </w:pPr>
      <w:r>
        <w:rPr>
          <w:bCs/>
          <w:b/>
        </w:rPr>
        <w:t xml:space="preserve">Manufacturing (4.20 kg CO2e):</w:t>
      </w:r>
      <w:r>
        <w:t xml:space="preserve"> </w:t>
      </w:r>
      <w:r>
        <w:t xml:space="preserve">While smaller than other phases, manufacturing emissions can be reduced by increasing renewable energy usage and optimizing production processes.</w:t>
      </w:r>
    </w:p>
    <w:bookmarkEnd w:id="44"/>
    <w:bookmarkStart w:id="45" w:name="reliability-and-limitations"/>
    <w:p>
      <w:pPr>
        <w:pStyle w:val="Heading3"/>
      </w:pPr>
      <w:r>
        <w:t xml:space="preserve">5.2. Reliability and Limitations</w:t>
      </w:r>
    </w:p>
    <w:p>
      <w:pPr>
        <w:pStyle w:val="FirstParagraph"/>
      </w:pPr>
      <w:r>
        <w:t xml:space="preserve">The reliability of this report is high, given its adherence to the GHG Protocol and comprehensive Scope 3 coverage. However, it\'s important to note the following limitations:</w:t>
      </w:r>
    </w:p>
    <w:p>
      <w:pPr>
        <w:numPr>
          <w:ilvl w:val="0"/>
          <w:numId w:val="1019"/>
        </w:numPr>
        <w:pStyle w:val="Compact"/>
      </w:pPr>
      <w:r>
        <w:rPr>
          <w:bCs/>
          <w:b/>
        </w:rPr>
        <w:t xml:space="preserve">Data Specificity:</w:t>
      </w:r>
      <w:r>
        <w:t xml:space="preserve"> </w:t>
      </w:r>
      <w:r>
        <w:t xml:space="preserve">While the provided BOM and parameters were utilized, generic industry-average emission factors were used for some calculations due to the absence of ulldhfrwmt\'s proprietary supplier-specific or process-specific data.</w:t>
      </w:r>
    </w:p>
    <w:p>
      <w:pPr>
        <w:numPr>
          <w:ilvl w:val="0"/>
          <w:numId w:val="1019"/>
        </w:numPr>
        <w:pStyle w:val="Compact"/>
      </w:pPr>
      <w:r>
        <w:rPr>
          <w:bCs/>
          <w:b/>
        </w:rPr>
        <w:t xml:space="preserve">Dynamic Supply Chains:</w:t>
      </w:r>
      <w:r>
        <w:t xml:space="preserve"> </w:t>
      </w:r>
      <w:r>
        <w:t xml:space="preserve">The European-focused supply chain analysis assumes consistent routes and modes. Real-world logistics can be dynamic, leading to variations.</w:t>
      </w:r>
    </w:p>
    <w:p>
      <w:pPr>
        <w:numPr>
          <w:ilvl w:val="0"/>
          <w:numId w:val="1019"/>
        </w:numPr>
        <w:pStyle w:val="Compact"/>
      </w:pPr>
      <w:r>
        <w:rPr>
          <w:bCs/>
          <w:b/>
        </w:rPr>
        <w:t xml:space="preserve">Use Phase Assumptions:</w:t>
      </w:r>
      <w:r>
        <w:t xml:space="preserve"> </w:t>
      </w:r>
      <w:r>
        <w:t xml:space="preserve">The use phase calculations are based on average energy consumption and grid mixes. Actual user behavior and local electricity grids may differ.</w:t>
      </w:r>
    </w:p>
    <w:bookmarkEnd w:id="45"/>
    <w:bookmarkStart w:id="48" w:name="recommendations-for-emission-reduction"/>
    <w:p>
      <w:pPr>
        <w:pStyle w:val="Heading3"/>
      </w:pPr>
      <w:r>
        <w:t xml:space="preserve">5.3. Recommendations for Emission Reduction</w:t>
      </w:r>
    </w:p>
    <w:p>
      <w:pPr>
        <w:numPr>
          <w:ilvl w:val="0"/>
          <w:numId w:val="1020"/>
        </w:numPr>
        <w:pStyle w:val="Compact"/>
      </w:pPr>
      <w:r>
        <w:rPr>
          <w:bCs/>
          <w:b/>
        </w:rPr>
        <w:t xml:space="preserve">Optimize Use Phase:</w:t>
      </w:r>
      <w:r>
        <w:t xml:space="preserve"> </w:t>
      </w:r>
      <w:r>
        <w:t xml:space="preserve">Invest in R&amp;D for more energy-efficient product designs. Provide clear guidance to consumers on energy-saving usage and consider smart features to minimize standby power.</w:t>
      </w:r>
    </w:p>
    <w:p>
      <w:pPr>
        <w:numPr>
          <w:ilvl w:val="0"/>
          <w:numId w:val="1020"/>
        </w:numPr>
        <w:pStyle w:val="Compact"/>
      </w:pPr>
      <w:r>
        <w:rPr>
          <w:bCs/>
          <w:b/>
        </w:rPr>
        <w:t xml:space="preserve">Decarbonize Logistics:</w:t>
      </w:r>
      <w:r>
        <w:t xml:space="preserve"> </w:t>
      </w:r>
      <w:r>
        <w:t xml:space="preserve">Explore switching to lower-emission transport options (e.g., rail for longer distances within Europe, electric vehicles for last-mile where feasible). Optimize packaging to reduce weight and volume, thereby improving transport efficiency.</w:t>
      </w:r>
    </w:p>
    <w:p>
      <w:pPr>
        <w:numPr>
          <w:ilvl w:val="0"/>
          <w:numId w:val="1020"/>
        </w:numPr>
        <w:pStyle w:val="Compact"/>
      </w:pPr>
      <w:r>
        <w:rPr>
          <w:bCs/>
          <w:b/>
        </w:rPr>
        <w:t xml:space="preserve">Sustainable Sourcing:</w:t>
      </w:r>
      <w:r>
        <w:t xml:space="preserve"> </w:t>
      </w:r>
      <w:r>
        <w:t xml:space="preserve">Collaborate with suppliers to identify and procure lower-carbon materials, including recycled content. Engage in supplier capacity building for GHG emission reductions.</w:t>
      </w:r>
    </w:p>
    <w:p>
      <w:pPr>
        <w:numPr>
          <w:ilvl w:val="0"/>
          <w:numId w:val="1020"/>
        </w:numPr>
        <w:pStyle w:val="Compact"/>
      </w:pPr>
      <w:r>
        <w:rPr>
          <w:bCs/>
          <w:b/>
        </w:rPr>
        <w:t xml:space="preserve">Increase Renewable Energy in Manufacturing:</w:t>
      </w:r>
      <w:r>
        <w:t xml:space="preserve"> </w:t>
      </w:r>
      <w:r>
        <w:t xml:space="preserve">Further increase the percentage of renewable energy used in production facilities, beyond the current</w:t>
      </w:r>
      <w:r>
        <w:t xml:space="preserve"> </w:t>
      </w:r>
      <w:r>
        <w:rPr>
          <w:bCs/>
          <w:b/>
        </w:rPr>
        <w:t xml:space="preserve">dpusqlzefo</w:t>
      </w:r>
      <w:r>
        <w:t xml:space="preserve">%.</w:t>
      </w:r>
    </w:p>
    <w:p>
      <w:pPr>
        <w:numPr>
          <w:ilvl w:val="0"/>
          <w:numId w:val="1020"/>
        </w:numPr>
        <w:pStyle w:val="Compact"/>
      </w:pPr>
      <w:r>
        <w:rPr>
          <w:bCs/>
          <w:b/>
        </w:rPr>
        <w:t xml:space="preserve">Enhance Circularity:</w:t>
      </w:r>
      <w:r>
        <w:t xml:space="preserve"> </w:t>
      </w:r>
      <w:r>
        <w:t xml:space="preserve">Leverage the existing</w:t>
      </w:r>
      <w:r>
        <w:t xml:space="preserve"> </w:t>
      </w:r>
      <w:r>
        <w:rPr>
          <w:bCs/>
          <w:b/>
        </w:rPr>
        <w:t xml:space="preserve">eljgdfedvp</w:t>
      </w:r>
      <w:r>
        <w:t xml:space="preserve"> </w:t>
      </w:r>
      <w:r>
        <w:t xml:space="preserve">program to maximize material recovery, reuse, and recycling (beyond</w:t>
      </w:r>
      <w:r>
        <w:t xml:space="preserve"> </w:t>
      </w:r>
      <w:r>
        <w:rPr>
          <w:bCs/>
          <w:b/>
        </w:rPr>
        <w:t xml:space="preserve">fwkewmxmyu</w:t>
      </w:r>
      <w:r>
        <w:t xml:space="preserve">%). Design products for easier disassembly and repair.</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dqmdpffohf - ulldhfrwmt</dc:title>
  <dc:creator/>
  <dc:description>Detailed Product Carbon Footprint (PCF) analysis for dqmdpffohf by ulldhfrwmt, following GHG Protocol, conducted by Senior Sustainability Consultant juoyoqsdgj. Includes lifecycle assessment, emission calculations, and Scope 3 compliance.</dc:description>
  <dc:language>en</dc:language>
  <cp:keywords/>
  <dcterms:created xsi:type="dcterms:W3CDTF">2026-07-15T18:00:34Z</dcterms:created>
  <dcterms:modified xsi:type="dcterms:W3CDTF">2026-07-15T18:00:34Z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