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dpdyqrvlhp</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 Name:</w:t>
      </w:r>
      <w:r>
        <w:t xml:space="preserve"> </w:t>
      </w:r>
      <w:r>
        <w:t xml:space="preserve">dpdyqrvlhp (Smart Device X)</w:t>
      </w:r>
    </w:p>
    <w:p>
      <w:pPr>
        <w:pStyle w:val="BodyText"/>
      </w:pPr>
      <w:r>
        <w:rPr>
          <w:bCs/>
          <w:b/>
        </w:rPr>
        <w:t xml:space="preserve">Company Name:</w:t>
      </w:r>
      <w:r>
        <w:t xml:space="preserve"> </w:t>
      </w:r>
      <w:r>
        <w:t xml:space="preserve">kkrsnmhklg</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gywrsesjoz</w:t>
      </w:r>
    </w:p>
    <w:p>
      <w:pPr>
        <w:pStyle w:val="BodyText"/>
      </w:pPr>
      <w:r>
        <w:t xml:space="preserve">Disclaimer: This report is generated based on available data and industry standards, incorporating specific parameters provided. Where explicit numerical data for placeholders was not supplied, illustrative values based on industry averages and expert judgment have been used, with assumptions clearly stated.</w:t>
      </w:r>
    </w:p>
    <w:bookmarkEnd w:id="20"/>
    <w:bookmarkStart w:id="21" w:name="Xc8f30cf7613858a3ec7b2f0cf7c0a669b7067ac"/>
    <w:p>
      <w:pPr>
        <w:pStyle w:val="Heading1"/>
      </w:pPr>
      <w:r>
        <w:t xml:space="preserve">Product Carbon Footprint Report: dpdyqrvlhp</w:t>
      </w:r>
    </w:p>
    <w:p>
      <w:pPr>
        <w:pStyle w:val="FirstParagraph"/>
      </w:pPr>
      <w:r>
        <w:rPr>
          <w:bCs/>
          <w:b/>
        </w:rPr>
        <w:t xml:space="preserve">Generated Date:</w:t>
      </w:r>
      <w:r>
        <w:t xml:space="preserve"> </w:t>
      </w:r>
      <w:r>
        <w:t xml:space="preserve">May 24, 2026</w:t>
      </w:r>
    </w:p>
    <w:p>
      <w:pPr>
        <w:pStyle w:val="BodyText"/>
      </w:pPr>
      <w:r>
        <w:rPr>
          <w:bCs/>
          <w:b/>
        </w:rPr>
        <w:t xml:space="preserve">Prepared for:</w:t>
      </w:r>
      <w:r>
        <w:t xml:space="preserve"> </w:t>
      </w:r>
      <w:r>
        <w:t xml:space="preserve">kkrsnmhklg</w:t>
      </w:r>
    </w:p>
    <w:p>
      <w:pPr>
        <w:pStyle w:val="BodyText"/>
      </w:pPr>
      <w:r>
        <w:rPr>
          <w:bCs/>
          <w:b/>
        </w:rPr>
        <w:t xml:space="preserve">Prepared by:</w:t>
      </w:r>
      <w:r>
        <w:t xml:space="preserve"> </w:t>
      </w:r>
      <w:r>
        <w:t xml:space="preserve">gywrsesjoz, Senior Sustainability Consultant</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dpdyqrvlhp (referred to as "Smart Device X"), manufactured by kkrsnmhklg. The analysis adheres strictly to the GHG Protocol Product Life Cycle Accounting and Reporting Standard, incorporating the latest 2026 Land Sector and Removals (LSR) update and striving for 95% Scope 3 emissions coverage as per new requirements. The primary objective is to quantify the greenhouse gas (GHG) emissions across the product\'s entire lifecycle, from raw material acquisition to end-of-life, identify emission hotspots, and provide a foundation for sustainability improvements. The methodology follows the five key steps: Define Scope, Map Lifecycle, Collect Data, Calculate Emissions, and Review &amp; Report.</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This initial step establishes the fundamental parameters and boundaries for the Product Carbon Footprint analysis of Smart Device X (dpdyqrvlhp).</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dpdyqrvlhp (Smart Device X). This represents the quantified performance of the product for which the environmental impacts are calculated.</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The primary system boundary for reporting is "factory_gate," encompassing raw material acquisition, pre-processing, and manufacturing. However, a comprehensive lifecycle perspective is adopted to include transport to consumer, use phase, and end-of-life treatments to capture all relevant impacts.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key components/materials originating from Europe and finished product distribution within Europe).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Life Cycle Accounting and Reporting Standard. This standard provides a globally consistent approach to measure and manage product emissions across the entire lifecycle, including raw materials, manufacturing, transportation, storage, use, and disposal.</w:t>
      </w:r>
    </w:p>
    <w:bookmarkEnd w:id="26"/>
    <w:bookmarkStart w:id="27" w:name="allocation"/>
    <w:p>
      <w:pPr>
        <w:pStyle w:val="Heading3"/>
      </w:pPr>
      <w:r>
        <w:t xml:space="preserve">1.5 Allocation</w:t>
      </w:r>
    </w:p>
    <w:p>
      <w:pPr>
        <w:pStyle w:val="FirstParagraph"/>
      </w:pPr>
      <w:r>
        <w:t xml:space="preserve">For this Product Carbon Footprint analysis, emissions are allocated directly to the functional unit (1.0 unit of Smart Device X). In cases where shared processes or facilities exist (e.g., multi-product manufacturing lines), allocation is performed based on physical relationships such as mass or energy consumption directly attributable to the production of dpdyqrvlhp. This ensures that the carbon footprint accurately reflects the impacts specifically associated with Smart Device X.</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outlines the lifecycle stages of Smart Device X (dpdyqrvlhp) and details the data collection approach for each stage, incorporating the provided parameters. Emphasis is placed on using specific data where available, otherwise drawing upon industry-standard emission factors and making explicit assumptions.</w:t>
      </w:r>
    </w:p>
    <w:bookmarkStart w:id="30" w:name="X5fba48d7b85b1fc1d0080a72f3bcf6c0594fa3b"/>
    <w:p>
      <w:pPr>
        <w:pStyle w:val="Heading3"/>
      </w:pPr>
      <w:r>
        <w:t xml:space="preserve">2.1 Material Acquisition &amp; Pre-processing (Scope 3, Category 1: Purchased Goods and Services)</w:t>
      </w:r>
    </w:p>
    <w:p>
      <w:pPr>
        <w:pStyle w:val="FirstParagraph"/>
      </w:pPr>
      <w:r>
        <w:t xml:space="preserve">The Bill of Materials (BOM) for dpdyqrvlhp, indicated as \'nrsisszm\', is critical for high-accuracy material impact calculation. Since \'nrsisszm\' is a placeholder, an illustrative BOM structure with example data is provided below to demonstrate the calculation methodology. Emission factors are drawn from industry averages for materials sourced globally but with a European supply chain focus. The \'Total Carbon\' values are calculated based on illustrative \'Qty\' and \'Emission Factor\' figures.</w:t>
      </w:r>
    </w:p>
    <w:bookmarkStart w:id="29" w:name="X31c84ec8e715d5713fe73974891e91873c11b50"/>
    <w:p>
      <w:pPr>
        <w:pStyle w:val="Heading4"/>
      </w:pPr>
      <w:r>
        <w:t xml:space="preserve">Illustrative Detailed Bill of Materials (BOM) for dpdyqrvlhp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 China</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Polymer</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2.58</w:t>
            </w:r>
          </w:p>
        </w:tc>
        <w:tc>
          <w:tcPr/>
          <w:p>
            <w:pPr>
              <w:pStyle w:val="Compact"/>
              <w:jc w:val="left"/>
            </w:pPr>
            <w:r>
              <w:t xml:space="preserve">0.52</w:t>
            </w:r>
          </w:p>
        </w:tc>
      </w:tr>
      <w:tr>
        <w:tc>
          <w:tcPr/>
          <w:p>
            <w:pPr>
              <w:pStyle w:val="Compact"/>
              <w:jc w:val="left"/>
            </w:pPr>
            <w:r>
              <w:t xml:space="preserve">M003</w:t>
            </w:r>
          </w:p>
        </w:tc>
        <w:tc>
          <w:tcPr/>
          <w:p>
            <w:pPr>
              <w:pStyle w:val="Compact"/>
              <w:jc w:val="left"/>
            </w:pPr>
            <w:r>
              <w:t xml:space="preserve">Silicon Microchips (5 units)</w:t>
            </w:r>
          </w:p>
        </w:tc>
        <w:tc>
          <w:tcPr/>
          <w:p>
            <w:pPr>
              <w:pStyle w:val="Compact"/>
              <w:jc w:val="left"/>
            </w:pPr>
            <w:r>
              <w:t xml:space="preserve">Electronics</w:t>
            </w:r>
          </w:p>
        </w:tc>
        <w:tc>
          <w:tcPr/>
          <w:p>
            <w:pPr>
              <w:pStyle w:val="Compact"/>
              <w:jc w:val="left"/>
            </w:pPr>
            <w:r>
              <w:t xml:space="preserve">Wafer Fabrication</w:t>
            </w:r>
          </w:p>
        </w:tc>
        <w:tc>
          <w:tcPr/>
          <w:p>
            <w:pPr>
              <w:pStyle w:val="Compact"/>
              <w:jc w:val="left"/>
            </w:pPr>
            <w:r>
              <w:t xml:space="preserve">5</w:t>
            </w:r>
          </w:p>
        </w:tc>
        <w:tc>
          <w:tcPr/>
          <w:p>
            <w:pPr>
              <w:pStyle w:val="Compact"/>
              <w:jc w:val="left"/>
            </w:pPr>
            <w:r>
              <w:t xml:space="preserve">unit</w:t>
            </w:r>
          </w:p>
        </w:tc>
        <w:tc>
          <w:tcPr/>
          <w:p>
            <w:pPr>
              <w:pStyle w:val="Compact"/>
              <w:jc w:val="left"/>
            </w:pPr>
            <w:r>
              <w:t xml:space="preserve">0.20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 &amp;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Component</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M006</w:t>
            </w:r>
          </w:p>
        </w:tc>
        <w:tc>
          <w:tcPr/>
          <w:p>
            <w:pPr>
              <w:pStyle w:val="Compact"/>
              <w:jc w:val="left"/>
            </w:pPr>
            <w:r>
              <w:t xml:space="preserve">Packaging Materials (Cardboard)</w:t>
            </w:r>
          </w:p>
        </w:tc>
        <w:tc>
          <w:tcPr/>
          <w:p>
            <w:pPr>
              <w:pStyle w:val="Compact"/>
              <w:jc w:val="left"/>
            </w:pPr>
            <w:r>
              <w:t xml:space="preserve">Paper/Pulp</w:t>
            </w:r>
          </w:p>
        </w:tc>
        <w:tc>
          <w:tcPr/>
          <w:p>
            <w:pPr>
              <w:pStyle w:val="Compact"/>
              <w:jc w:val="left"/>
            </w:pPr>
            <w:r>
              <w:t xml:space="preserve">Recycled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iCs/>
          <w:i/>
        </w:rPr>
        <w:t xml:space="preserve">Note: The quantities, units, and emission factors in the above table are illustrative, based on typical industry values and the provided parameters. For example, primary aluminum production in China is associated with higher emissions due to coal-fired electricity. Virgin ABS plastic production has an estimated carbon footprint of 2.576 kg CO2e/kg. Semiconductor manufacturing is highly energy-intensive and involves potent greenhouse gases.</w:t>
      </w:r>
    </w:p>
    <w:bookmarkEnd w:id="29"/>
    <w:bookmarkEnd w:id="30"/>
    <w:bookmarkStart w:id="31" w:name="manufacturing-scope-1-2"/>
    <w:p>
      <w:pPr>
        <w:pStyle w:val="Heading3"/>
      </w:pPr>
      <w:r>
        <w:t xml:space="preserve">2.2 Manufacturing (Scope 1 &amp; 2)</w:t>
      </w:r>
    </w:p>
    <w:p>
      <w:pPr>
        <w:numPr>
          <w:ilvl w:val="0"/>
          <w:numId w:val="1005"/>
        </w:numPr>
        <w:pStyle w:val="Compact"/>
      </w:pPr>
      <w:r>
        <w:rPr>
          <w:bCs/>
          <w:b/>
        </w:rPr>
        <w:t xml:space="preserve">Energy Intensity (kWh/unit):</w:t>
      </w:r>
      <w:r>
        <w:t xml:space="preserve"> </w:t>
      </w:r>
      <w:r>
        <w:t xml:space="preserve">nrwunpuzqj (e.g., assumed 10 kWh/unit)</w:t>
      </w:r>
    </w:p>
    <w:p>
      <w:pPr>
        <w:numPr>
          <w:ilvl w:val="0"/>
          <w:numId w:val="1005"/>
        </w:numPr>
        <w:pStyle w:val="Compact"/>
      </w:pPr>
      <w:r>
        <w:rPr>
          <w:bCs/>
          <w:b/>
        </w:rPr>
        <w:t xml:space="preserve">Renewable Energy Usage:</w:t>
      </w:r>
      <w:r>
        <w:t xml:space="preserve"> </w:t>
      </w:r>
      <w:r>
        <w:t xml:space="preserve">lymfhyfnmw (e.g., assumed 30% renewable electricity)</w:t>
      </w:r>
    </w:p>
    <w:p>
      <w:pPr>
        <w:numPr>
          <w:ilvl w:val="0"/>
          <w:numId w:val="1005"/>
        </w:numPr>
        <w:pStyle w:val="Compact"/>
      </w:pPr>
      <w:r>
        <w:rPr>
          <w:bCs/>
          <w:b/>
        </w:rPr>
        <w:t xml:space="preserve">Geographic Scope:</w:t>
      </w:r>
      <w:r>
        <w:t xml:space="preserve"> </w:t>
      </w:r>
      <w:r>
        <w:t xml:space="preserve">Final Production Country: China. The electricity grid emission factor for China is crucial. The national average electricity carbon footprint factor for China in 2023 was 0.6205 kgCO2e/kWh.</w:t>
      </w:r>
    </w:p>
    <w:bookmarkEnd w:id="31"/>
    <w:bookmarkStart w:id="32" w:name="X060ae5f4c9e87be6502b45207d3b416f34e9ba3"/>
    <w:p>
      <w:pPr>
        <w:pStyle w:val="Heading3"/>
      </w:pPr>
      <w:r>
        <w:t xml:space="preserve">2.3 Transport (Scope 3, Categories 4 &amp; 9: Upstream and Downstream Transportation and Distribution)</w:t>
      </w:r>
    </w:p>
    <w:p>
      <w:pPr>
        <w:pStyle w:val="FirstParagraph"/>
      </w:pPr>
      <w:r>
        <w:t xml:space="preserve">Logistics data is incorporated for both upstream (materials to factory) and downstream (factory to consumer) transport.</w:t>
      </w:r>
    </w:p>
    <w:p>
      <w:pPr>
        <w:numPr>
          <w:ilvl w:val="0"/>
          <w:numId w:val="1006"/>
        </w:numPr>
        <w:pStyle w:val="Compact"/>
      </w:pPr>
      <w:r>
        <w:rPr>
          <w:bCs/>
          <w:b/>
        </w:rPr>
        <w:t xml:space="preserve">Transport Mode:</w:t>
      </w:r>
      <w:r>
        <w:t xml:space="preserve"> </w:t>
      </w:r>
      <w:r>
        <w:t xml:space="preserve">Select Mode (e.g., assumed Road Freight for primary, Van/Light Commercial for last-mile).</w:t>
      </w:r>
    </w:p>
    <w:p>
      <w:pPr>
        <w:numPr>
          <w:ilvl w:val="0"/>
          <w:numId w:val="1006"/>
        </w:numPr>
        <w:pStyle w:val="Compact"/>
      </w:pPr>
      <w:r>
        <w:rPr>
          <w:bCs/>
          <w:b/>
        </w:rPr>
        <w:t xml:space="preserve">Transport Distance:</w:t>
      </w:r>
      <w:r>
        <w:t xml:space="preserve"> </w:t>
      </w:r>
      <w:r>
        <w:t xml:space="preserve">qglzwpepkz (e.g., assumed 2000 km for components from Europe to China, 1000 km for finished product from China to Europe).</w:t>
      </w:r>
    </w:p>
    <w:p>
      <w:pPr>
        <w:numPr>
          <w:ilvl w:val="0"/>
          <w:numId w:val="1006"/>
        </w:numPr>
        <w:pStyle w:val="Compact"/>
      </w:pPr>
      <w:r>
        <w:rPr>
          <w:bCs/>
          <w:b/>
        </w:rPr>
        <w:t xml:space="preserve">Last-Mile Delivery Channel:</w:t>
      </w:r>
      <w:r>
        <w:t xml:space="preserve"> </w:t>
      </w:r>
      <w:r>
        <w:t xml:space="preserve">Delivery Type (e.g., assumed direct-to-consumer delivery via light commercial vehicle for 50 km). The last-mile accounts for a significant portion of transport emissions.</w:t>
      </w:r>
    </w:p>
    <w:p>
      <w:pPr>
        <w:numPr>
          <w:ilvl w:val="0"/>
          <w:numId w:val="1006"/>
        </w:numPr>
        <w:pStyle w:val="Compact"/>
      </w:pPr>
      <w:r>
        <w:rPr>
          <w:bCs/>
          <w:b/>
        </w:rPr>
        <w:t xml:space="preserve">Emission Factors (Illustrative for Europe-focused supply chain):</w:t>
      </w:r>
    </w:p>
    <w:p>
      <w:pPr>
        <w:numPr>
          <w:ilvl w:val="1"/>
          <w:numId w:val="1007"/>
        </w:numPr>
        <w:pStyle w:val="Compact"/>
      </w:pPr>
      <w:r>
        <w:t xml:space="preserve">Heavy Goods Vehicle (HGV, &gt;20t): 0.092 kg CO2e/tonne-km.</w:t>
      </w:r>
    </w:p>
    <w:p>
      <w:pPr>
        <w:numPr>
          <w:ilvl w:val="1"/>
          <w:numId w:val="1007"/>
        </w:numPr>
        <w:pStyle w:val="Compact"/>
      </w:pPr>
      <w:r>
        <w:t xml:space="preserve">Light Commercial Vehicle (Last-Mile): Assume 0.3 kg CO2e/km for van (higher intensity due to frequent stops, lower load factors).</w:t>
      </w:r>
    </w:p>
    <w:bookmarkEnd w:id="32"/>
    <w:bookmarkStart w:id="33" w:name="Xc8d47610e025d3b1fe367d676386ecee874efa3"/>
    <w:p>
      <w:pPr>
        <w:pStyle w:val="Heading3"/>
      </w:pPr>
      <w:r>
        <w:t xml:space="preserve">2.4 Use Phase (Scope 3, Category 11: Use of Sold Products)</w:t>
      </w:r>
    </w:p>
    <w:p>
      <w:pPr>
        <w:pStyle w:val="FirstParagraph"/>
      </w:pPr>
      <w:r>
        <w:t xml:space="preserve">The use phase is often a significant contributor to a product\'s carbon footprint, especially for electronic devices.</w:t>
      </w:r>
    </w:p>
    <w:p>
      <w:pPr>
        <w:numPr>
          <w:ilvl w:val="0"/>
          <w:numId w:val="1008"/>
        </w:numPr>
        <w:pStyle w:val="Compact"/>
      </w:pPr>
      <w:r>
        <w:rPr>
          <w:bCs/>
          <w:b/>
        </w:rPr>
        <w:t xml:space="preserve">Product Lifespan:</w:t>
      </w:r>
      <w:r>
        <w:t xml:space="preserve"> </w:t>
      </w:r>
      <w:r>
        <w:t xml:space="preserve">ytkusnxnns (e.g., assumed 5 years)</w:t>
      </w:r>
    </w:p>
    <w:p>
      <w:pPr>
        <w:numPr>
          <w:ilvl w:val="0"/>
          <w:numId w:val="1008"/>
        </w:numPr>
        <w:pStyle w:val="Compact"/>
      </w:pPr>
      <w:r>
        <w:rPr>
          <w:bCs/>
          <w:b/>
        </w:rPr>
        <w:t xml:space="preserve">Energy Consumption in Use:</w:t>
      </w:r>
      <w:r>
        <w:t xml:space="preserve"> </w:t>
      </w:r>
      <w:r>
        <w:t xml:space="preserve">uvygsrvttp (e.g., assumed 50 kWh/year)</w:t>
      </w:r>
    </w:p>
    <w:p>
      <w:pPr>
        <w:numPr>
          <w:ilvl w:val="0"/>
          <w:numId w:val="1008"/>
        </w:numPr>
        <w:pStyle w:val="Compact"/>
      </w:pPr>
      <w:r>
        <w:rPr>
          <w:bCs/>
          <w:b/>
        </w:rPr>
        <w:t xml:space="preserve">Electricity Grid Mix for User:</w:t>
      </w:r>
      <w:r>
        <w:t xml:space="preserve"> </w:t>
      </w:r>
      <w:r>
        <w:t xml:space="preserve">Assume average European grid mix (e.g., 0.25 kg CO2e/kWh for illustrative purposes, highly variable by country).</w:t>
      </w:r>
    </w:p>
    <w:bookmarkEnd w:id="33"/>
    <w:bookmarkStart w:id="34" w:name="X9982929b618de862c11111658ccce8db3e98553"/>
    <w:p>
      <w:pPr>
        <w:pStyle w:val="Heading3"/>
      </w:pPr>
      <w:r>
        <w:t xml:space="preserve">2.5 End-of-Life (EoL) (Scope 3, Category 12: End-of-Life Treatment of Sold Products)</w:t>
      </w:r>
    </w:p>
    <w:p>
      <w:pPr>
        <w:pStyle w:val="FirstParagraph"/>
      </w:pPr>
      <w:r>
        <w:t xml:space="preserve">Circular economy impacts are considered based on recyclability and take-back programs.</w:t>
      </w:r>
    </w:p>
    <w:p>
      <w:pPr>
        <w:numPr>
          <w:ilvl w:val="0"/>
          <w:numId w:val="1009"/>
        </w:numPr>
        <w:pStyle w:val="Compact"/>
      </w:pPr>
      <w:r>
        <w:rPr>
          <w:bCs/>
          <w:b/>
        </w:rPr>
        <w:t xml:space="preserve">Recyclability Percentage:</w:t>
      </w:r>
      <w:r>
        <w:t xml:space="preserve"> </w:t>
      </w:r>
      <w:r>
        <w:t xml:space="preserve">tyldpnnpsq (e.g., assumed 70%)</w:t>
      </w:r>
    </w:p>
    <w:p>
      <w:pPr>
        <w:numPr>
          <w:ilvl w:val="0"/>
          <w:numId w:val="1009"/>
        </w:numPr>
        <w:pStyle w:val="Compact"/>
      </w:pPr>
      <w:r>
        <w:rPr>
          <w:bCs/>
          <w:b/>
        </w:rPr>
        <w:t xml:space="preserve">Circular/Take-back Programs:</w:t>
      </w:r>
      <w:r>
        <w:t xml:space="preserve"> </w:t>
      </w:r>
      <w:r>
        <w:t xml:space="preserve">uxhewmtokm (Acknowledged and assumed to support the recyclability percentage).</w:t>
      </w:r>
    </w:p>
    <w:p>
      <w:pPr>
        <w:numPr>
          <w:ilvl w:val="0"/>
          <w:numId w:val="1009"/>
        </w:numPr>
        <w:pStyle w:val="Compact"/>
      </w:pPr>
      <w:r>
        <w:rPr>
          <w:bCs/>
          <w:b/>
        </w:rPr>
        <w:t xml:space="preserve">EoL Scenarios:</w:t>
      </w:r>
      <w:r>
        <w:t xml:space="preserve"> </w:t>
      </w:r>
      <w:r>
        <w:t xml:space="preserve">Calculation will consider a credit for recycled materials (avoided primary production emissions) and emissions from incineration or landfill for non-recycled components. For example, manufacturing 1 tonne of aluminum from recycled scrap can avoid 11-13 tonnes of CO2 emissions compared to primary production. Recycled ABS can reduce GHG emissions by 81% compared to virgin ABS.</w:t>
      </w:r>
    </w:p>
    <w:p>
      <w:r>
        <w:pict>
          <v:rect style="width:0;height:1.5pt" o:hralign="center" o:hrstd="t" o:hr="t"/>
        </w:pict>
      </w:r>
    </w:p>
    <w:bookmarkEnd w:id="34"/>
    <w:bookmarkEnd w:id="35"/>
    <w:bookmarkStart w:id="44" w:name="calculate-emissions"/>
    <w:p>
      <w:pPr>
        <w:pStyle w:val="Heading2"/>
      </w:pPr>
      <w:r>
        <w:t xml:space="preserve">4. Calculate Emissions</w:t>
      </w:r>
    </w:p>
    <w:p>
      <w:pPr>
        <w:pStyle w:val="FirstParagraph"/>
      </w:pPr>
      <w:r>
        <w:t xml:space="preserve">The calculation of emissions follows the fundamental GHG Protocol principle: Activity Data × Emission Factor = CO2e. All emissions are categorized into Scope 1, Scope 2, and Scope 3 as required by the GHG Protocol. The results are presented in CO2e (carbon dioxide equivalent).</w:t>
      </w:r>
    </w:p>
    <w:bookmarkStart w:id="36" w:name="X656c4e8e29268782102dd3c6c7e18507eeae3d2"/>
    <w:p>
      <w:pPr>
        <w:pStyle w:val="Heading3"/>
      </w:pPr>
      <w:r>
        <w:t xml:space="preserve">4.1 Illustrative Emission Factor Assumptions (derived from industry standards/search results):</w:t>
      </w:r>
    </w:p>
    <w:p>
      <w:pPr>
        <w:numPr>
          <w:ilvl w:val="0"/>
          <w:numId w:val="1010"/>
        </w:numPr>
        <w:pStyle w:val="Compact"/>
      </w:pPr>
      <w:r>
        <w:rPr>
          <w:bCs/>
          <w:b/>
        </w:rPr>
        <w:t xml:space="preserve">Primary Aluminum (China):</w:t>
      </w:r>
      <w:r>
        <w:t xml:space="preserve"> </w:t>
      </w:r>
      <w:r>
        <w:t xml:space="preserve">15.00 kg CO2e/kg</w:t>
      </w:r>
    </w:p>
    <w:p>
      <w:pPr>
        <w:numPr>
          <w:ilvl w:val="0"/>
          <w:numId w:val="1010"/>
        </w:numPr>
        <w:pStyle w:val="Compact"/>
      </w:pPr>
      <w:r>
        <w:rPr>
          <w:bCs/>
          <w:b/>
        </w:rPr>
        <w:t xml:space="preserve">Virgin ABS Plastic:</w:t>
      </w:r>
      <w:r>
        <w:t xml:space="preserve"> </w:t>
      </w:r>
      <w:r>
        <w:t xml:space="preserve">2.58 kg CO2e/kg</w:t>
      </w:r>
    </w:p>
    <w:p>
      <w:pPr>
        <w:numPr>
          <w:ilvl w:val="0"/>
          <w:numId w:val="1010"/>
        </w:numPr>
        <w:pStyle w:val="Compact"/>
      </w:pPr>
      <w:r>
        <w:rPr>
          <w:bCs/>
          <w:b/>
        </w:rPr>
        <w:t xml:space="preserve">Silicon Microchips (Fabrication):</w:t>
      </w:r>
      <w:r>
        <w:t xml:space="preserve"> </w:t>
      </w:r>
      <w:r>
        <w:t xml:space="preserve">Illustrative 0.20 kg CO2e/unit (acknowledging high energy and GHG intensity)</w:t>
      </w:r>
    </w:p>
    <w:p>
      <w:pPr>
        <w:numPr>
          <w:ilvl w:val="0"/>
          <w:numId w:val="1010"/>
        </w:numPr>
        <w:pStyle w:val="Compact"/>
      </w:pPr>
      <w:r>
        <w:rPr>
          <w:bCs/>
          <w:b/>
        </w:rPr>
        <w:t xml:space="preserve">Copper (Primary):</w:t>
      </w:r>
      <w:r>
        <w:t xml:space="preserve"> </w:t>
      </w:r>
      <w:r>
        <w:t xml:space="preserve">3.50 kg CO2e/kg (illustrative)</w:t>
      </w:r>
    </w:p>
    <w:p>
      <w:pPr>
        <w:numPr>
          <w:ilvl w:val="0"/>
          <w:numId w:val="1010"/>
        </w:numPr>
        <w:pStyle w:val="Compact"/>
      </w:pPr>
      <w:r>
        <w:rPr>
          <w:bCs/>
          <w:b/>
        </w:rPr>
        <w:t xml:space="preserve">Lithium-ion Battery (Manufacturing):</w:t>
      </w:r>
      <w:r>
        <w:t xml:space="preserve"> </w:t>
      </w:r>
      <w:r>
        <w:t xml:space="preserve">15.00 kg CO2e/kg (illustrative, reflecting complex manufacturing)</w:t>
      </w:r>
    </w:p>
    <w:p>
      <w:pPr>
        <w:numPr>
          <w:ilvl w:val="0"/>
          <w:numId w:val="1010"/>
        </w:numPr>
        <w:pStyle w:val="Compact"/>
      </w:pPr>
      <w:r>
        <w:rPr>
          <w:bCs/>
          <w:b/>
        </w:rPr>
        <w:t xml:space="preserve">Recycled Cardboard:</w:t>
      </w:r>
      <w:r>
        <w:t xml:space="preserve"> </w:t>
      </w:r>
      <w:r>
        <w:t xml:space="preserve">0.50 kg CO2e/kg (illustrative)</w:t>
      </w:r>
    </w:p>
    <w:p>
      <w:pPr>
        <w:numPr>
          <w:ilvl w:val="0"/>
          <w:numId w:val="1010"/>
        </w:numPr>
        <w:pStyle w:val="Compact"/>
      </w:pPr>
      <w:r>
        <w:rPr>
          <w:bCs/>
          <w:b/>
        </w:rPr>
        <w:t xml:space="preserve">China Grid Electricity:</w:t>
      </w:r>
      <w:r>
        <w:t xml:space="preserve"> </w:t>
      </w:r>
      <w:r>
        <w:t xml:space="preserve">0.6205 kg CO2e/kWh</w:t>
      </w:r>
    </w:p>
    <w:p>
      <w:pPr>
        <w:numPr>
          <w:ilvl w:val="0"/>
          <w:numId w:val="1010"/>
        </w:numPr>
        <w:pStyle w:val="Compact"/>
      </w:pPr>
      <w:r>
        <w:rPr>
          <w:bCs/>
          <w:b/>
        </w:rPr>
        <w:t xml:space="preserve">European Average Grid Electricity (Use Phase):</w:t>
      </w:r>
      <w:r>
        <w:t xml:space="preserve"> </w:t>
      </w:r>
      <w:r>
        <w:t xml:space="preserve">0.25 kg CO2e/kWh (illustrative)</w:t>
      </w:r>
    </w:p>
    <w:p>
      <w:pPr>
        <w:numPr>
          <w:ilvl w:val="0"/>
          <w:numId w:val="1010"/>
        </w:numPr>
        <w:pStyle w:val="Compact"/>
      </w:pPr>
      <w:r>
        <w:rPr>
          <w:bCs/>
          <w:b/>
        </w:rPr>
        <w:t xml:space="preserve">Heavy Goods Vehicle (HGV, &gt;20t) Freight (Europe):</w:t>
      </w:r>
      <w:r>
        <w:t xml:space="preserve"> </w:t>
      </w:r>
      <w:r>
        <w:t xml:space="preserve">0.092 kg CO2e/tonne-km</w:t>
      </w:r>
    </w:p>
    <w:p>
      <w:pPr>
        <w:numPr>
          <w:ilvl w:val="0"/>
          <w:numId w:val="1010"/>
        </w:numPr>
        <w:pStyle w:val="Compact"/>
      </w:pPr>
      <w:r>
        <w:rPr>
          <w:bCs/>
          <w:b/>
        </w:rPr>
        <w:t xml:space="preserve">Light Commercial Vehicle (Last-Mile):</w:t>
      </w:r>
      <w:r>
        <w:t xml:space="preserve"> </w:t>
      </w:r>
      <w:r>
        <w:t xml:space="preserve">0.30 kg CO2e/km (illustrative, higher due to operational inefficiencies)</w:t>
      </w:r>
    </w:p>
    <w:bookmarkEnd w:id="36"/>
    <w:bookmarkStart w:id="42" w:name="calculation-breakdown-by-lifecycle-stage"/>
    <w:p>
      <w:pPr>
        <w:pStyle w:val="Heading3"/>
      </w:pPr>
      <w:r>
        <w:t xml:space="preserve">4.2 Calculation Breakdown by Lifecycle Stage</w:t>
      </w:r>
    </w:p>
    <w:bookmarkStart w:id="37" w:name="X1ad9a0c33edfd883cba8e7eb5d0853356860b8a"/>
    <w:p>
      <w:pPr>
        <w:pStyle w:val="Heading4"/>
      </w:pPr>
      <w:r>
        <w:t xml:space="preserve">4.2.1 Material Acquisition &amp; Pre-processing (Scope 3, Category 1)</w:t>
      </w:r>
    </w:p>
    <w:p>
      <w:pPr>
        <w:pStyle w:val="FirstParagraph"/>
      </w:pPr>
      <w:r>
        <w:t xml:space="preserve">Based on the illustrative BOM:</w:t>
      </w:r>
    </w:p>
    <w:p>
      <w:pPr>
        <w:numPr>
          <w:ilvl w:val="0"/>
          <w:numId w:val="1011"/>
        </w:numPr>
        <w:pStyle w:val="Compact"/>
      </w:pPr>
      <w:r>
        <w:t xml:space="preserve">Aluminum Casing: 0.3 kg * 15.00 kg CO2e/kg = 4.50 kg CO2e</w:t>
      </w:r>
    </w:p>
    <w:p>
      <w:pPr>
        <w:numPr>
          <w:ilvl w:val="0"/>
          <w:numId w:val="1011"/>
        </w:numPr>
        <w:pStyle w:val="Compact"/>
      </w:pPr>
      <w:r>
        <w:t xml:space="preserve">ABS Plastic Components: 0.2 kg * 2.58 kg CO2e/kg = 0.52 kg CO2e</w:t>
      </w:r>
    </w:p>
    <w:p>
      <w:pPr>
        <w:numPr>
          <w:ilvl w:val="0"/>
          <w:numId w:val="1011"/>
        </w:numPr>
        <w:pStyle w:val="Compact"/>
      </w:pPr>
      <w:r>
        <w:t xml:space="preserve">Silicon Microchips: 5 units * 0.20 kg CO2e/unit = 1.00 kg CO2e</w:t>
      </w:r>
    </w:p>
    <w:p>
      <w:pPr>
        <w:numPr>
          <w:ilvl w:val="0"/>
          <w:numId w:val="1011"/>
        </w:numPr>
        <w:pStyle w:val="Compact"/>
      </w:pPr>
      <w:r>
        <w:t xml:space="preserve">Copper Wiring: 0.05 kg * 3.50 kg CO2e/kg = 0.18 kg CO2e</w:t>
      </w:r>
    </w:p>
    <w:p>
      <w:pPr>
        <w:numPr>
          <w:ilvl w:val="0"/>
          <w:numId w:val="1011"/>
        </w:numPr>
        <w:pStyle w:val="Compact"/>
      </w:pPr>
      <w:r>
        <w:t xml:space="preserve">Lithium-ion Battery: 0.15 kg * 15.00 kg CO2e/kg = 2.25 kg CO2e</w:t>
      </w:r>
    </w:p>
    <w:p>
      <w:pPr>
        <w:numPr>
          <w:ilvl w:val="0"/>
          <w:numId w:val="1011"/>
        </w:numPr>
        <w:pStyle w:val="Compact"/>
      </w:pPr>
      <w:r>
        <w:t xml:space="preserve">Packaging Materials: 0.1 kg * 0.50 kg CO2e/kg = 0.05 kg CO2e</w:t>
      </w:r>
    </w:p>
    <w:p>
      <w:pPr>
        <w:pStyle w:val="FirstParagraph"/>
      </w:pPr>
      <w:r>
        <w:rPr>
          <w:bCs/>
          <w:b/>
        </w:rPr>
        <w:t xml:space="preserve">Total Material Emissions: 8.50 kg CO2e</w:t>
      </w:r>
    </w:p>
    <w:bookmarkEnd w:id="37"/>
    <w:bookmarkStart w:id="38" w:name="manufacturing-factory-gate"/>
    <w:p>
      <w:pPr>
        <w:pStyle w:val="Heading4"/>
      </w:pPr>
      <w:r>
        <w:t xml:space="preserve">4.2.2 Manufacturing (Factory Gate)</w:t>
      </w:r>
    </w:p>
    <w:p>
      <w:pPr>
        <w:pStyle w:val="FirstParagraph"/>
      </w:pPr>
      <w:r>
        <w:t xml:space="preserve">Manufacturing occurs in China. Energy intensity `nrwunpuzqj` is assumed to be 10 kWh/unit. Renewable energy usage `lymfhyfnmw` is assumed to be 30%.</w:t>
      </w:r>
    </w:p>
    <w:p>
      <w:pPr>
        <w:numPr>
          <w:ilvl w:val="0"/>
          <w:numId w:val="1012"/>
        </w:numPr>
        <w:pStyle w:val="Compact"/>
      </w:pPr>
      <w:r>
        <w:t xml:space="preserve">Total Energy Consumption: 10 kWh/unit</w:t>
      </w:r>
    </w:p>
    <w:p>
      <w:pPr>
        <w:numPr>
          <w:ilvl w:val="0"/>
          <w:numId w:val="1012"/>
        </w:numPr>
        <w:pStyle w:val="Compact"/>
      </w:pPr>
      <w:r>
        <w:t xml:space="preserve">Non-renewable electricity: 10 kWh * (1 - 0.30) = 7 kWh</w:t>
      </w:r>
    </w:p>
    <w:p>
      <w:pPr>
        <w:numPr>
          <w:ilvl w:val="0"/>
          <w:numId w:val="1012"/>
        </w:numPr>
        <w:pStyle w:val="Compact"/>
      </w:pPr>
      <w:r>
        <w:t xml:space="preserve">Renewable electricity: 10 kWh * 0.30 = 3 kWh (assumed 0 emissions at point of use for certified renewable sources)</w:t>
      </w:r>
    </w:p>
    <w:p>
      <w:pPr>
        <w:numPr>
          <w:ilvl w:val="0"/>
          <w:numId w:val="1012"/>
        </w:numPr>
        <w:pStyle w:val="Compact"/>
      </w:pPr>
      <w:r>
        <w:t xml:space="preserve">Emissions from non-renewable electricity: 7 kWh * 0.6205 kg CO2e/kWh (China grid) = 4.34 kg CO2e</w:t>
      </w:r>
    </w:p>
    <w:p>
      <w:pPr>
        <w:pStyle w:val="FirstParagraph"/>
      </w:pPr>
      <w:r>
        <w:rPr>
          <w:bCs/>
          <w:b/>
        </w:rPr>
        <w:t xml:space="preserve">Total Manufacturing (Scope 2) Emissions: 4.34 kg CO2e</w:t>
      </w:r>
    </w:p>
    <w:p>
      <w:pPr>
        <w:pStyle w:val="BodyText"/>
      </w:pPr>
      <w:r>
        <w:rPr>
          <w:iCs/>
          <w:i/>
        </w:rPr>
        <w:t xml:space="preserve">Note: Direct process emissions (Scope 1) are assumed negligible for this illustrative product, but would be included if relevant industrial processes were identified.</w:t>
      </w:r>
    </w:p>
    <w:bookmarkEnd w:id="38"/>
    <w:bookmarkStart w:id="39" w:name="transport-scope-3-categories-4-9"/>
    <w:p>
      <w:pPr>
        <w:pStyle w:val="Heading4"/>
      </w:pPr>
      <w:r>
        <w:t xml:space="preserve">4.2.3 Transport (Scope 3, Categories 4 &amp; 9)</w:t>
      </w:r>
    </w:p>
    <w:p>
      <w:pPr>
        <w:pStyle w:val="FirstParagraph"/>
      </w:pPr>
      <w:r>
        <w:rPr>
          <w:bCs/>
          <w:b/>
        </w:rPr>
        <w:t xml:space="preserve">Upstream Transport (Components from Europe to China, e.g., 2000 km):</w:t>
      </w:r>
      <w:r>
        <w:t xml:space="preserve"> </w:t>
      </w:r>
      <w:r>
        <w:t xml:space="preserve">Assumed 0.5 kg total material weight transported.</w:t>
      </w:r>
    </w:p>
    <w:p>
      <w:pPr>
        <w:numPr>
          <w:ilvl w:val="0"/>
          <w:numId w:val="1013"/>
        </w:numPr>
        <w:pStyle w:val="Compact"/>
      </w:pPr>
      <w:r>
        <w:t xml:space="preserve">Emissions: 0.5 tonnes (material) * 2000 km * 0.092 kg CO2e/tonne-km = 92.00 kg CO2e (for 1000 units transported in bulk assuming 500kg total, then allocated per unit; simplifying here for 1 unit\'s components)</w:t>
      </w:r>
    </w:p>
    <w:p>
      <w:pPr>
        <w:numPr>
          <w:ilvl w:val="0"/>
          <w:numId w:val="1013"/>
        </w:numPr>
        <w:pStyle w:val="Compact"/>
      </w:pPr>
      <w:r>
        <w:rPr>
          <w:iCs/>
          <w:i/>
        </w:rPr>
        <w:t xml:space="preserve">Simplified for 1 unit: If 0.5 kg of components are transported 2000 km by HGV, and assuming a realistic payload for HGV of 20 tonnes for calculation purposes, it\'s more accurate to aggregate and then allocate. For a single unit\'s PCF, we would use a representative average for component transport. Let\'s use a simplified per-kg-km for illustrative purposes: 0.5 kg * 2000 km * 0.092 kgCO2e/tonne-km = 0.092 kgCO2e. (0.5 kg = 0.0005 tonnes. So 0.0005 tonnes * 2000 km * 92 kg CO2e/tonne-km = 0.092 kg CO2e). This seems low. Let\'s consider a higher factor for container shipping and then local road transport, or an average for aggregated small components. Given the prompt requests "high-detail" and "specific logistics data", but gives `qglzwpepkz` as a string, I must make a reasonable illustrative calculation.</w:t>
      </w:r>
    </w:p>
    <w:p>
      <w:pPr>
        <w:pStyle w:val="FirstParagraph"/>
      </w:pPr>
      <w:r>
        <w:t xml:space="preserve">Let\'s refine the transport calculation with an illustrative 2000 km from Europe to China, and 1000 km from China to Europe, then 50km last mile.</w:t>
      </w:r>
    </w:p>
    <w:p>
      <w:pPr>
        <w:numPr>
          <w:ilvl w:val="0"/>
          <w:numId w:val="1014"/>
        </w:numPr>
        <w:pStyle w:val="Compact"/>
      </w:pPr>
      <w:r>
        <w:rPr>
          <w:bCs/>
          <w:b/>
        </w:rPr>
        <w:t xml:space="preserve">Upstream Transport (Europe to China for materials):</w:t>
      </w:r>
      <w:r>
        <w:t xml:space="preserve"> </w:t>
      </w:r>
      <w:r>
        <w:t xml:space="preserve">Assume 0.5 kg of material (excluding packaging) for product dpdyqrvlhp. Let\'s assume aggregated freight for materials with an average emission factor of 0.092 kg CO2e/tonne-km for long-haul road/intermodal.</w:t>
      </w:r>
    </w:p>
    <w:p>
      <w:pPr>
        <w:numPr>
          <w:ilvl w:val="1"/>
          <w:numId w:val="1015"/>
        </w:numPr>
        <w:pStyle w:val="Compact"/>
      </w:pPr>
      <w:r>
        <w:t xml:space="preserve">Distance: qglzwpepkz (Assumed 2000 km)</w:t>
      </w:r>
    </w:p>
    <w:p>
      <w:pPr>
        <w:numPr>
          <w:ilvl w:val="1"/>
          <w:numId w:val="1015"/>
        </w:numPr>
        <w:pStyle w:val="Compact"/>
      </w:pPr>
      <w:r>
        <w:t xml:space="preserve">Weight: 0.5 kg = 0.0005 tonnes</w:t>
      </w:r>
    </w:p>
    <w:p>
      <w:pPr>
        <w:numPr>
          <w:ilvl w:val="1"/>
          <w:numId w:val="1015"/>
        </w:numPr>
        <w:pStyle w:val="Compact"/>
      </w:pPr>
      <w:r>
        <w:t xml:space="preserve">Emissions: 0.0005 tonnes * 2000 km * 92 kg CO2e/tonne-km = 0.092 kg CO2e</w:t>
      </w:r>
    </w:p>
    <w:p>
      <w:pPr>
        <w:numPr>
          <w:ilvl w:val="0"/>
          <w:numId w:val="1014"/>
        </w:numPr>
        <w:pStyle w:val="Compact"/>
      </w:pPr>
      <w:r>
        <w:rPr>
          <w:bCs/>
          <w:b/>
        </w:rPr>
        <w:t xml:space="preserve">Downstream Transport (Factory in China to Distribution Hub in Europe, e.g., 1000 km):</w:t>
      </w:r>
      <w:r>
        <w:t xml:space="preserve"> </w:t>
      </w:r>
      <w:r>
        <w:t xml:space="preserve">Assume 1 kg total product weight.</w:t>
      </w:r>
    </w:p>
    <w:p>
      <w:pPr>
        <w:numPr>
          <w:ilvl w:val="1"/>
          <w:numId w:val="1016"/>
        </w:numPr>
        <w:pStyle w:val="Compact"/>
      </w:pPr>
      <w:r>
        <w:t xml:space="preserve">Distance: qglzwpepkz (Assumed 1000 km)</w:t>
      </w:r>
    </w:p>
    <w:p>
      <w:pPr>
        <w:numPr>
          <w:ilvl w:val="1"/>
          <w:numId w:val="1016"/>
        </w:numPr>
        <w:pStyle w:val="Compact"/>
      </w:pPr>
      <w:r>
        <w:t xml:space="preserve">Weight: 1 kg = 0.001 tonnes</w:t>
      </w:r>
    </w:p>
    <w:p>
      <w:pPr>
        <w:numPr>
          <w:ilvl w:val="1"/>
          <w:numId w:val="1016"/>
        </w:numPr>
        <w:pStyle w:val="Compact"/>
      </w:pPr>
      <w:r>
        <w:t xml:space="preserve">Emissions: 0.001 tonnes * 1000 km * 92 kg CO2e/tonne-km = 0.092 kg CO2e</w:t>
      </w:r>
    </w:p>
    <w:p>
      <w:pPr>
        <w:numPr>
          <w:ilvl w:val="0"/>
          <w:numId w:val="1014"/>
        </w:numPr>
        <w:pStyle w:val="Compact"/>
      </w:pPr>
      <w:r>
        <w:rPr>
          <w:bCs/>
          <w:b/>
        </w:rPr>
        <w:t xml:space="preserve">Last-Mile Delivery (Distribution Hub to Consumer, Europe, e.g., 50 km):</w:t>
      </w:r>
      <w:r>
        <w:t xml:space="preserve"> </w:t>
      </w:r>
      <w:r>
        <w:t xml:space="preserve">Delivery Type (Assumed Light Commercial Vehicle/Van). Average factor for vans can be around 0.3 kg CO2e/km, but this often includes vehicle inefficiencies. For a single product, it is usually allocated based on average package emissions. Let\'s assume an average allocation for last mile.</w:t>
      </w:r>
    </w:p>
    <w:p>
      <w:pPr>
        <w:numPr>
          <w:ilvl w:val="1"/>
          <w:numId w:val="1017"/>
        </w:numPr>
        <w:pStyle w:val="Compact"/>
      </w:pPr>
      <w:r>
        <w:t xml:space="preserve">Distance: 50 km</w:t>
      </w:r>
    </w:p>
    <w:p>
      <w:pPr>
        <w:numPr>
          <w:ilvl w:val="1"/>
          <w:numId w:val="1017"/>
        </w:numPr>
        <w:pStyle w:val="Compact"/>
      </w:pPr>
      <w:r>
        <w:t xml:space="preserve">Emission Factor (per km per package, illustrative): 0.1 kg CO2e/km (lower end of van emissions, acknowledging optimization efforts)</w:t>
      </w:r>
    </w:p>
    <w:p>
      <w:pPr>
        <w:numPr>
          <w:ilvl w:val="1"/>
          <w:numId w:val="1017"/>
        </w:numPr>
        <w:pStyle w:val="Compact"/>
      </w:pPr>
      <w:r>
        <w:t xml:space="preserve">Emissions: 50 km * 0.1 kg CO2e/km = 5.00 kg CO2e</w:t>
      </w:r>
    </w:p>
    <w:p>
      <w:pPr>
        <w:pStyle w:val="FirstParagraph"/>
      </w:pPr>
      <w:r>
        <w:rPr>
          <w:bCs/>
          <w:b/>
        </w:rPr>
        <w:t xml:space="preserve">Total Transport (Scope 3) Emissions: 0.092 kg CO2e (upstream) + 0.092 kg CO2e (downstream) + 5.00 kg CO2e (last-mile) = 5.184 kg CO2e</w:t>
      </w:r>
    </w:p>
    <w:bookmarkEnd w:id="39"/>
    <w:bookmarkStart w:id="40" w:name="use-phase-scope-3-category-11"/>
    <w:p>
      <w:pPr>
        <w:pStyle w:val="Heading4"/>
      </w:pPr>
      <w:r>
        <w:t xml:space="preserve">4.2.4 Use Phase (Scope 3, Category 11)</w:t>
      </w:r>
    </w:p>
    <w:p>
      <w:pPr>
        <w:pStyle w:val="FirstParagraph"/>
      </w:pPr>
      <w:r>
        <w:t xml:space="preserve">Lifespan `ytkusnxnns` (Assumed 5 years), Energy in Use `uvygsrvttp` (Assumed 50 kWh/year).</w:t>
      </w:r>
    </w:p>
    <w:p>
      <w:pPr>
        <w:numPr>
          <w:ilvl w:val="0"/>
          <w:numId w:val="1018"/>
        </w:numPr>
        <w:pStyle w:val="Compact"/>
      </w:pPr>
      <w:r>
        <w:t xml:space="preserve">Total Energy Consumption over lifespan: 5 years * 50 kWh/year = 250 kWh</w:t>
      </w:r>
    </w:p>
    <w:p>
      <w:pPr>
        <w:numPr>
          <w:ilvl w:val="0"/>
          <w:numId w:val="1018"/>
        </w:numPr>
        <w:pStyle w:val="Compact"/>
      </w:pPr>
      <w:r>
        <w:t xml:space="preserve">Emissions: 250 kWh * 0.25 kg CO2e/kWh (Illustrative European grid mix) = 62.50 kg CO2e</w:t>
      </w:r>
    </w:p>
    <w:p>
      <w:pPr>
        <w:pStyle w:val="FirstParagraph"/>
      </w:pPr>
      <w:r>
        <w:rPr>
          <w:bCs/>
          <w:b/>
        </w:rPr>
        <w:t xml:space="preserve">Total Use Phase (Scope 3) Emissions: 62.50 kg CO2e</w:t>
      </w:r>
    </w:p>
    <w:bookmarkEnd w:id="40"/>
    <w:bookmarkStart w:id="41" w:name="end-of-life-eol-scope-3-category-12"/>
    <w:p>
      <w:pPr>
        <w:pStyle w:val="Heading4"/>
      </w:pPr>
      <w:r>
        <w:t xml:space="preserve">4.2.5 End-of-Life (EoL) (Scope 3, Category 12)</w:t>
      </w:r>
    </w:p>
    <w:p>
      <w:pPr>
        <w:pStyle w:val="FirstParagraph"/>
      </w:pPr>
      <w:r>
        <w:t xml:space="preserve">Recyclability Percentage `tyldpnnpsq` (Assumed 70%). Circular/Take-back Programs `uxhewmtokm` (Assumed to facilitate recycling).</w:t>
      </w:r>
    </w:p>
    <w:p>
      <w:pPr>
        <w:pStyle w:val="BodyText"/>
      </w:pPr>
      <w:r>
        <w:t xml:space="preserve">Assume total product mass is 1 kg. 70% is recycled, 30% goes to landfill/incineration.</w:t>
      </w:r>
      <w:r>
        <w:t xml:space="preserve"> </w:t>
      </w:r>
      <w:r>
        <w:t xml:space="preserve">For recycled materials, a credit is often applied for avoided primary production. For simplicity here, we consider the emissions associated with processing the waste. Emissions from landfill/incineration of the remaining 30% are considered.</w:t>
      </w:r>
    </w:p>
    <w:p>
      <w:pPr>
        <w:numPr>
          <w:ilvl w:val="0"/>
          <w:numId w:val="1019"/>
        </w:numPr>
        <w:pStyle w:val="Compact"/>
      </w:pPr>
      <w:r>
        <w:rPr>
          <w:bCs/>
          <w:b/>
        </w:rPr>
        <w:t xml:space="preserve">Recycling Credit (Illustrative for 70% recyclability):</w:t>
      </w:r>
    </w:p>
    <w:p>
      <w:pPr>
        <w:numPr>
          <w:ilvl w:val="1"/>
          <w:numId w:val="1020"/>
        </w:numPr>
        <w:pStyle w:val="Compact"/>
      </w:pPr>
      <w:r>
        <w:t xml:space="preserve">Assume 70% of 1 kg (0.7 kg) is recycled. An 81% reduction in CO2e for recycled ABS compared to virgin is observed. Manufacturing 1 tonne of aluminum from recycled scrap avoids 11-13 tonnes of CO2 emissions.</w:t>
      </w:r>
    </w:p>
    <w:p>
      <w:pPr>
        <w:numPr>
          <w:ilvl w:val="1"/>
          <w:numId w:val="1020"/>
        </w:numPr>
        <w:pStyle w:val="Compact"/>
      </w:pPr>
      <w:r>
        <w:t xml:space="preserve">Illustrative credit calculation: If 0.7 kg is recycled, and assuming an average avoided burden of 5 kg CO2e/kg for recycled materials (highly variable by material and actual process): 0.7 kg * -5.00 kg CO2e/kg = -3.50 kg CO2e</w:t>
      </w:r>
    </w:p>
    <w:p>
      <w:pPr>
        <w:numPr>
          <w:ilvl w:val="0"/>
          <w:numId w:val="1019"/>
        </w:numPr>
        <w:pStyle w:val="Compact"/>
      </w:pPr>
      <w:r>
        <w:rPr>
          <w:bCs/>
          <w:b/>
        </w:rPr>
        <w:t xml:space="preserve">Disposal Emissions (30% to landfill/incineration):</w:t>
      </w:r>
    </w:p>
    <w:p>
      <w:pPr>
        <w:numPr>
          <w:ilvl w:val="1"/>
          <w:numId w:val="1021"/>
        </w:numPr>
        <w:pStyle w:val="Compact"/>
      </w:pPr>
      <w:r>
        <w:t xml:space="preserve">Assume 0.3 kg of material. Illustrative emission factor for disposal: 1.0 kg CO2e/kg</w:t>
      </w:r>
    </w:p>
    <w:p>
      <w:pPr>
        <w:numPr>
          <w:ilvl w:val="1"/>
          <w:numId w:val="1021"/>
        </w:numPr>
        <w:pStyle w:val="Compact"/>
      </w:pPr>
      <w:r>
        <w:t xml:space="preserve">Emissions: 0.3 kg * 1.0 kg CO2e/kg = 0.30 kg CO2e</w:t>
      </w:r>
    </w:p>
    <w:p>
      <w:pPr>
        <w:pStyle w:val="FirstParagraph"/>
      </w:pPr>
      <w:r>
        <w:rPr>
          <w:bCs/>
          <w:b/>
        </w:rPr>
        <w:t xml:space="preserve">Net End-of-Life (Scope 3) Emissions: -3.50 kg CO2e (credit) + 0.30 kg CO2e (disposal) = -3.20 kg CO2e</w:t>
      </w:r>
    </w:p>
    <w:p>
      <w:pPr>
        <w:pStyle w:val="BodyText"/>
      </w:pPr>
      <w:r>
        <w:rPr>
          <w:iCs/>
          <w:i/>
        </w:rPr>
        <w:t xml:space="preserve">Note: EoL calculations involve complex methodologies for credits and burdens; the above is an illustrative simplification.</w:t>
      </w:r>
    </w:p>
    <w:bookmarkEnd w:id="41"/>
    <w:bookmarkEnd w:id="42"/>
    <w:bookmarkStart w:id="43" w:name="total-product-carbon-footprint-pcf"/>
    <w:p>
      <w:pPr>
        <w:pStyle w:val="Heading3"/>
      </w:pPr>
      <w:r>
        <w:t xml:space="preserve">4.3 Total Product Carbon Footprint (PCF)</w:t>
      </w:r>
    </w:p>
    <w:p>
      <w:pPr>
        <w:pStyle w:val="FirstParagraph"/>
      </w:pPr>
      <w:r>
        <w:t xml:space="preserve">Summing up the emissions from each lifecycle stage:</w:t>
      </w:r>
    </w:p>
    <w:p>
      <w:pPr>
        <w:numPr>
          <w:ilvl w:val="0"/>
          <w:numId w:val="1022"/>
        </w:numPr>
        <w:pStyle w:val="Compact"/>
      </w:pPr>
      <w:r>
        <w:t xml:space="preserve">Material Acquisition: 8.50 kg CO2e</w:t>
      </w:r>
    </w:p>
    <w:p>
      <w:pPr>
        <w:numPr>
          <w:ilvl w:val="0"/>
          <w:numId w:val="1022"/>
        </w:numPr>
        <w:pStyle w:val="Compact"/>
      </w:pPr>
      <w:r>
        <w:t xml:space="preserve">Manufacturing: 4.34 kg CO2e</w:t>
      </w:r>
    </w:p>
    <w:p>
      <w:pPr>
        <w:numPr>
          <w:ilvl w:val="0"/>
          <w:numId w:val="1022"/>
        </w:numPr>
        <w:pStyle w:val="Compact"/>
      </w:pPr>
      <w:r>
        <w:t xml:space="preserve">Transport: 5.184 kg CO2e</w:t>
      </w:r>
    </w:p>
    <w:p>
      <w:pPr>
        <w:numPr>
          <w:ilvl w:val="0"/>
          <w:numId w:val="1022"/>
        </w:numPr>
        <w:pStyle w:val="Compact"/>
      </w:pPr>
      <w:r>
        <w:t xml:space="preserve">Use Phase: 62.50 kg CO2e</w:t>
      </w:r>
    </w:p>
    <w:p>
      <w:pPr>
        <w:numPr>
          <w:ilvl w:val="0"/>
          <w:numId w:val="1022"/>
        </w:numPr>
        <w:pStyle w:val="Compact"/>
      </w:pPr>
      <w:r>
        <w:t xml:space="preserve">End-of-Life: -3.20 kg CO2e</w:t>
      </w:r>
    </w:p>
    <w:p>
      <w:pPr>
        <w:pStyle w:val="FirstParagraph"/>
      </w:pPr>
      <w:r>
        <w:rPr>
          <w:bCs/>
          <w:b/>
        </w:rPr>
        <w:t xml:space="preserve">Total PCF for dpdyqrvlhp (Smart Device X): 77.324 kg CO2e per functional unit</w:t>
      </w:r>
    </w:p>
    <w:p>
      <w:r>
        <w:pict>
          <v:rect style="width:0;height:1.5pt" o:hralign="center" o:hrstd="t" o:hr="t"/>
        </w:pict>
      </w:r>
    </w:p>
    <w:bookmarkEnd w:id="43"/>
    <w:bookmarkEnd w:id="44"/>
    <w:bookmarkStart w:id="47" w:name="review-report"/>
    <w:p>
      <w:pPr>
        <w:pStyle w:val="Heading2"/>
      </w:pPr>
      <w:r>
        <w:t xml:space="preserve">5. Review &amp; Report</w:t>
      </w:r>
    </w:p>
    <w:bookmarkStart w:id="45" w:name="emission-hotspots"/>
    <w:p>
      <w:pPr>
        <w:pStyle w:val="Heading3"/>
      </w:pPr>
      <w:r>
        <w:t xml:space="preserve">5.1 Emission Hotspots</w:t>
      </w:r>
    </w:p>
    <w:p>
      <w:pPr>
        <w:pStyle w:val="FirstParagraph"/>
      </w:pPr>
      <w:r>
        <w:t xml:space="preserve">Based on the illustrative calculations, the primary emission hotspots for Smart Device X (dpdyqrvlhp) are:</w:t>
      </w:r>
    </w:p>
    <w:p>
      <w:pPr>
        <w:numPr>
          <w:ilvl w:val="0"/>
          <w:numId w:val="1023"/>
        </w:numPr>
        <w:pStyle w:val="Compact"/>
      </w:pPr>
      <w:r>
        <w:rPr>
          <w:bCs/>
          <w:b/>
        </w:rPr>
        <w:t xml:space="preserve">Use Phase (62.50 kg CO2e):</w:t>
      </w:r>
      <w:r>
        <w:t xml:space="preserve"> </w:t>
      </w:r>
      <w:r>
        <w:t xml:space="preserve">This is the most significant contributor, largely due to the energy consumption of the device over its 5-year lifespan, even with an assumed European grid mix. Strategies to reduce this include increasing energy efficiency of the device and promoting renewable energy adoption by end-users.</w:t>
      </w:r>
    </w:p>
    <w:p>
      <w:pPr>
        <w:numPr>
          <w:ilvl w:val="0"/>
          <w:numId w:val="1023"/>
        </w:numPr>
        <w:pStyle w:val="Compact"/>
      </w:pPr>
      <w:r>
        <w:rPr>
          <w:bCs/>
          <w:b/>
        </w:rPr>
        <w:t xml:space="preserve">Material Acquisition (8.50 kg CO2e):</w:t>
      </w:r>
      <w:r>
        <w:t xml:space="preserve"> </w:t>
      </w:r>
      <w:r>
        <w:t xml:space="preserve">Materials like Aluminum (from primary production in China), Lithium-ion Battery, and Silicon Microchips contribute substantially. This highlights the importance of sustainable material sourcing, increasing recycled content, and working with suppliers on decarbonization.</w:t>
      </w:r>
    </w:p>
    <w:p>
      <w:pPr>
        <w:numPr>
          <w:ilvl w:val="0"/>
          <w:numId w:val="1023"/>
        </w:numPr>
        <w:pStyle w:val="Compact"/>
      </w:pPr>
      <w:r>
        <w:rPr>
          <w:bCs/>
          <w:b/>
        </w:rPr>
        <w:t xml:space="preserve">Transport (5.184 kg CO2e):</w:t>
      </w:r>
      <w:r>
        <w:t xml:space="preserve"> </w:t>
      </w:r>
      <w:r>
        <w:t xml:space="preserve">Last-mile delivery is a notable factor. Optimizing logistics, utilizing lower-emission transport modes, and improving vehicle fill rates can reduce this impact.</w:t>
      </w:r>
    </w:p>
    <w:bookmarkEnd w:id="45"/>
    <w:bookmarkStart w:id="46" w:name="reliability-statement"/>
    <w:p>
      <w:pPr>
        <w:pStyle w:val="Heading3"/>
      </w:pPr>
      <w:r>
        <w:t xml:space="preserve">5.2 Reliability Statement</w:t>
      </w:r>
    </w:p>
    <w:p>
      <w:pPr>
        <w:pStyle w:val="FirstParagraph"/>
      </w:pPr>
      <w:r>
        <w:t xml:space="preserve">This report is generated based on the GHG Protocol Product Standard and the specific parameters provided. Where exact numerical data for the placeholder strings was unavailable, illustrative emission factors and activity data have been utilized, clearly stated as assumptions. While these provide a robust estimate based on industry averages and expert judgment, primary data directly from suppliers and operations would enhance accuracy. The methodology aligns with established best practices for PCF analysis, ensuring consistency and transparency.</w:t>
      </w:r>
    </w:p>
    <w:p>
      <w:r>
        <w:pict>
          <v:rect style="width:0;height:1.5pt" o:hralign="center" o:hrstd="t" o:hr="t"/>
        </w:pict>
      </w:r>
    </w:p>
    <w:bookmarkEnd w:id="46"/>
    <w:bookmarkEnd w:id="47"/>
    <w:bookmarkStart w:id="51" w:name="ghg-protocol-compliance-2026-updates"/>
    <w:p>
      <w:pPr>
        <w:pStyle w:val="Heading2"/>
      </w:pPr>
      <w:r>
        <w:t xml:space="preserve">GHG Protocol Compliance &amp; 2026 Updates</w:t>
      </w:r>
    </w:p>
    <w:bookmarkStart w:id="48" w:name="ghg-emission-categorization"/>
    <w:p>
      <w:pPr>
        <w:pStyle w:val="Heading3"/>
      </w:pPr>
      <w:r>
        <w:t xml:space="preserve">GHG Emission Categorization</w:t>
      </w:r>
    </w:p>
    <w:p>
      <w:pPr>
        <w:numPr>
          <w:ilvl w:val="0"/>
          <w:numId w:val="1024"/>
        </w:numPr>
        <w:pStyle w:val="Compact"/>
      </w:pPr>
      <w:r>
        <w:rPr>
          <w:bCs/>
          <w:b/>
        </w:rPr>
        <w:t xml:space="preserve">Scope 1 (Direct Emissions):</w:t>
      </w:r>
      <w:r>
        <w:t xml:space="preserve"> </w:t>
      </w:r>
      <w:r>
        <w:t xml:space="preserve">None directly identified in the manufacturing phase for this illustrative product, assuming no direct fuel combustion in the factory for dpdyqrvlhp\'s production. Any emissions from company-owned vehicles or on-site combustion would fall here.</w:t>
      </w:r>
    </w:p>
    <w:p>
      <w:pPr>
        <w:numPr>
          <w:ilvl w:val="0"/>
          <w:numId w:val="1024"/>
        </w:numPr>
        <w:pStyle w:val="Compact"/>
      </w:pPr>
      <w:r>
        <w:rPr>
          <w:bCs/>
          <w:b/>
        </w:rPr>
        <w:t xml:space="preserve">Scope 2 (Energy Indirect Emissions):</w:t>
      </w:r>
      <w:r>
        <w:t xml:space="preserve"> </w:t>
      </w:r>
      <w:r>
        <w:t xml:space="preserve">Manufacturing electricity consumption (e.g., 4.34 kg CO2e) is categorized here, reflecting purchased electricity.</w:t>
      </w:r>
    </w:p>
    <w:p>
      <w:pPr>
        <w:numPr>
          <w:ilvl w:val="0"/>
          <w:numId w:val="1024"/>
        </w:numPr>
        <w:pStyle w:val="Compact"/>
      </w:pPr>
      <w:r>
        <w:rPr>
          <w:bCs/>
          <w:b/>
        </w:rPr>
        <w:t xml:space="preserve">Scope 3 (Other Indirect Emissions):</w:t>
      </w:r>
      <w:r>
        <w:t xml:space="preserve"> </w:t>
      </w:r>
      <w:r>
        <w:t xml:space="preserve">This category encompasses the vast majority of the product\'s footprint, including:</w:t>
      </w:r>
    </w:p>
    <w:p>
      <w:pPr>
        <w:numPr>
          <w:ilvl w:val="1"/>
          <w:numId w:val="1025"/>
        </w:numPr>
        <w:pStyle w:val="Compact"/>
      </w:pPr>
      <w:r>
        <w:rPr>
          <w:bCs/>
          <w:b/>
        </w:rPr>
        <w:t xml:space="preserve">Category 1: Purchased Goods and Services:</w:t>
      </w:r>
      <w:r>
        <w:t xml:space="preserve"> </w:t>
      </w:r>
      <w:r>
        <w:t xml:space="preserve">Material acquisition and pre-processing (e.g., 8.50 kg CO2e).</w:t>
      </w:r>
    </w:p>
    <w:p>
      <w:pPr>
        <w:numPr>
          <w:ilvl w:val="1"/>
          <w:numId w:val="1025"/>
        </w:numPr>
        <w:pStyle w:val="Compact"/>
      </w:pPr>
      <w:r>
        <w:rPr>
          <w:bCs/>
          <w:b/>
        </w:rPr>
        <w:t xml:space="preserve">Category 4: Upstream Transportation and Distribution:</w:t>
      </w:r>
      <w:r>
        <w:t xml:space="preserve"> </w:t>
      </w:r>
      <w:r>
        <w:t xml:space="preserve">Transport of raw materials/components to the manufacturing facility (e.g., 0.092 kg CO2e).</w:t>
      </w:r>
    </w:p>
    <w:p>
      <w:pPr>
        <w:numPr>
          <w:ilvl w:val="1"/>
          <w:numId w:val="1025"/>
        </w:numPr>
        <w:pStyle w:val="Compact"/>
      </w:pPr>
      <w:r>
        <w:rPr>
          <w:bCs/>
          <w:b/>
        </w:rPr>
        <w:t xml:space="preserve">Category 9: Downstream Transportation and Distribution:</w:t>
      </w:r>
      <w:r>
        <w:t xml:space="preserve"> </w:t>
      </w:r>
      <w:r>
        <w:t xml:space="preserve">Transport of finished products to consumers, including last-mile delivery (e.g., 5.092 kg CO2e).</w:t>
      </w:r>
    </w:p>
    <w:p>
      <w:pPr>
        <w:numPr>
          <w:ilvl w:val="1"/>
          <w:numId w:val="1025"/>
        </w:numPr>
        <w:pStyle w:val="Compact"/>
      </w:pPr>
      <w:r>
        <w:rPr>
          <w:bCs/>
          <w:b/>
        </w:rPr>
        <w:t xml:space="preserve">Category 11: Use of Sold Products:</w:t>
      </w:r>
      <w:r>
        <w:t xml:space="preserve"> </w:t>
      </w:r>
      <w:r>
        <w:t xml:space="preserve">Energy consumption during the product\'s use phase (e.g., 62.50 kg CO2e).</w:t>
      </w:r>
    </w:p>
    <w:p>
      <w:pPr>
        <w:numPr>
          <w:ilvl w:val="1"/>
          <w:numId w:val="1025"/>
        </w:numPr>
        <w:pStyle w:val="Compact"/>
      </w:pPr>
      <w:r>
        <w:rPr>
          <w:bCs/>
          <w:b/>
        </w:rPr>
        <w:t xml:space="preserve">Category 12: End-of-Life Treatment of Sold Products:</w:t>
      </w:r>
      <w:r>
        <w:t xml:space="preserve"> </w:t>
      </w:r>
      <w:r>
        <w:t xml:space="preserve">Emissions/credits from recycling, disposal, and incineration (e.g., -3.20 kg CO2e).</w:t>
      </w:r>
    </w:p>
    <w:bookmarkEnd w:id="48"/>
    <w:bookmarkStart w:id="49" w:name="X504f4a86e01fdcfa46a4589bb1b5e0cfaad8629"/>
    <w:p>
      <w:pPr>
        <w:pStyle w:val="Heading3"/>
      </w:pPr>
      <w:r>
        <w:t xml:space="preserve">2026 Land Sector and Removals (LSR) Standard Update</w:t>
      </w:r>
    </w:p>
    <w:p>
      <w:pPr>
        <w:pStyle w:val="FirstParagraph"/>
      </w:pPr>
      <w:r>
        <w:t xml:space="preserve">The GHG Protocol\'s Land Sector and Removals (LSR) Standard, effective January 1, 2027, provides crucial guidance for quantifying and reporting land emissions, CO2 removals, and technological CO2 removals. For Smart Device X, direct land-use change emissions from raw material extraction (e.g., mining for metals) are conceptually included within the \'Material Acquisition\' phase, assuming relevant emission factors implicitly cover these impacts. As more granular data becomes available aligned with the LSR Standard\'s implementation, these impacts will be explicitly disaggregated and reported. Companies with significant land sector activities in their value chain, such as those producing agricultural products, will find this standard essential.</w:t>
      </w:r>
    </w:p>
    <w:bookmarkEnd w:id="49"/>
    <w:bookmarkStart w:id="50" w:name="X85cfc442241f82e327f455e02f6a82c131f7345"/>
    <w:p>
      <w:pPr>
        <w:pStyle w:val="Heading3"/>
      </w:pPr>
      <w:r>
        <w:t xml:space="preserve">Scope 3 Compliance: 95% Coverage (2026 Requirements)</w:t>
      </w:r>
    </w:p>
    <w:p>
      <w:pPr>
        <w:pStyle w:val="FirstParagraph"/>
      </w:pPr>
      <w:r>
        <w:t xml:space="preserve">The GHG Protocol\'s 2026 revisions mandate a 95% completeness threshold for Scope 3 emissions reporting. This report aims for comprehensive Scope 3 coverage by analyzing key categories relevant to product lifecycle, including purchased goods and services, transportation, use of sold products, and end-of-life treatment. The breakdown above demonstrates an attempt to capture all material Scope 3 sources. Future iterations will focus on increasing the proportion of primary data and providing detailed justifications for any exclusions to fully align with the stringent 2026 requirements for data disaggregation and completeness.</w:t>
      </w:r>
    </w:p>
    <w:p>
      <w:r>
        <w:pict>
          <v:rect style="width:0;height:1.5pt" o:hralign="center" o:hrstd="t" o:hr="t"/>
        </w:pict>
      </w:r>
    </w:p>
    <w:bookmarkEnd w:id="50"/>
    <w:bookmarkEnd w:id="51"/>
    <w:bookmarkStart w:id="52" w:name="recommendations-for-decarbonization"/>
    <w:p>
      <w:pPr>
        <w:pStyle w:val="Heading2"/>
      </w:pPr>
      <w:r>
        <w:t xml:space="preserve">Recommendations for Decarbonization</w:t>
      </w:r>
    </w:p>
    <w:p>
      <w:pPr>
        <w:pStyle w:val="FirstParagraph"/>
      </w:pPr>
      <w:r>
        <w:t xml:space="preserve">To reduce the Product Carbon Footprint of dpdyqrvlhp (Smart Device X), kkrsnmhklg should consider the following actions:</w:t>
      </w:r>
    </w:p>
    <w:p>
      <w:pPr>
        <w:numPr>
          <w:ilvl w:val="0"/>
          <w:numId w:val="1026"/>
        </w:numPr>
        <w:pStyle w:val="Compact"/>
      </w:pPr>
      <w:r>
        <w:rPr>
          <w:bCs/>
          <w:b/>
        </w:rPr>
        <w:t xml:space="preserve">Enhance Product Energy Efficiency:</w:t>
      </w:r>
      <w:r>
        <w:t xml:space="preserve"> </w:t>
      </w:r>
      <w:r>
        <w:t xml:space="preserve">Focus R&amp;D on significantly reducing the energy consumption of the device during its use phase. This is the largest hotspot and offers the greatest potential for impact reduction.</w:t>
      </w:r>
    </w:p>
    <w:p>
      <w:pPr>
        <w:numPr>
          <w:ilvl w:val="0"/>
          <w:numId w:val="1026"/>
        </w:numPr>
        <w:pStyle w:val="Compact"/>
      </w:pPr>
      <w:r>
        <w:rPr>
          <w:bCs/>
          <w:b/>
        </w:rPr>
        <w:t xml:space="preserve">Promote Renewable Energy Adoption:</w:t>
      </w:r>
      <w:r>
        <w:t xml:space="preserve"> </w:t>
      </w:r>
      <w:r>
        <w:t xml:space="preserve">Encourage end-users to power their devices with renewable electricity. This could involve partnerships or educational campaigns.</w:t>
      </w:r>
    </w:p>
    <w:p>
      <w:pPr>
        <w:numPr>
          <w:ilvl w:val="0"/>
          <w:numId w:val="1026"/>
        </w:numPr>
        <w:pStyle w:val="Compact"/>
      </w:pPr>
      <w:r>
        <w:rPr>
          <w:bCs/>
          <w:b/>
        </w:rPr>
        <w:t xml:space="preserve">Sustainable Material Sourcing:</w:t>
      </w:r>
    </w:p>
    <w:p>
      <w:pPr>
        <w:numPr>
          <w:ilvl w:val="1"/>
          <w:numId w:val="1027"/>
        </w:numPr>
        <w:pStyle w:val="Compact"/>
      </w:pPr>
      <w:r>
        <w:t xml:space="preserve">Increase the percentage of recycled content in materials, particularly for aluminum and plastics. Recycled aluminum is 94% less carbon intensive than primary production, and recycled ABS reduces GHG by 81%.</w:t>
      </w:r>
    </w:p>
    <w:p>
      <w:pPr>
        <w:numPr>
          <w:ilvl w:val="1"/>
          <w:numId w:val="1027"/>
        </w:numPr>
        <w:pStyle w:val="Compact"/>
      </w:pPr>
      <w:r>
        <w:t xml:space="preserve">Work with suppliers to reduce the carbon intensity of primary materials, especially from regions with high-carbon electricity grids (e.g., China for aluminum production).</w:t>
      </w:r>
    </w:p>
    <w:p>
      <w:pPr>
        <w:numPr>
          <w:ilvl w:val="1"/>
          <w:numId w:val="1027"/>
        </w:numPr>
        <w:pStyle w:val="Compact"/>
      </w:pPr>
      <w:r>
        <w:t xml:space="preserve">Explore alternative, lower-impact materials where feasible.</w:t>
      </w:r>
    </w:p>
    <w:p>
      <w:pPr>
        <w:numPr>
          <w:ilvl w:val="0"/>
          <w:numId w:val="1026"/>
        </w:numPr>
        <w:pStyle w:val="Compact"/>
      </w:pPr>
      <w:r>
        <w:rPr>
          <w:bCs/>
          <w:b/>
        </w:rPr>
        <w:t xml:space="preserve">Optimize Logistics and Last-Mile Delivery:</w:t>
      </w:r>
    </w:p>
    <w:p>
      <w:pPr>
        <w:numPr>
          <w:ilvl w:val="1"/>
          <w:numId w:val="1028"/>
        </w:numPr>
        <w:pStyle w:val="Compact"/>
      </w:pPr>
      <w:r>
        <w:t xml:space="preserve">Consolidate shipments and optimize routes to improve vehicle fill rates.</w:t>
      </w:r>
    </w:p>
    <w:p>
      <w:pPr>
        <w:numPr>
          <w:ilvl w:val="1"/>
          <w:numId w:val="1028"/>
        </w:numPr>
        <w:pStyle w:val="Compact"/>
      </w:pPr>
      <w:r>
        <w:t xml:space="preserve">Invest in low-emission or electric vehicles for last-mile delivery.</w:t>
      </w:r>
    </w:p>
    <w:p>
      <w:pPr>
        <w:numPr>
          <w:ilvl w:val="1"/>
          <w:numId w:val="1028"/>
        </w:numPr>
        <w:pStyle w:val="Compact"/>
      </w:pPr>
      <w:r>
        <w:t xml:space="preserve">Explore alternative delivery models such as pick-up points.</w:t>
      </w:r>
    </w:p>
    <w:p>
      <w:pPr>
        <w:numPr>
          <w:ilvl w:val="0"/>
          <w:numId w:val="1026"/>
        </w:numPr>
        <w:pStyle w:val="Compact"/>
      </w:pPr>
      <w:r>
        <w:rPr>
          <w:bCs/>
          <w:b/>
        </w:rPr>
        <w:t xml:space="preserve">Strengthen Circular Economy Programs:</w:t>
      </w:r>
      <w:r>
        <w:t xml:space="preserve"> </w:t>
      </w:r>
      <w:r>
        <w:t xml:space="preserve">Enhance take-back schemes and infrastructure to maximize product lifespan and recyclability, thereby increasing the effective recyclability percentage `tyldpnnpsq` and maximizing circular impacts `uxhewmtokm`.</w:t>
      </w:r>
    </w:p>
    <w:p>
      <w:pPr>
        <w:numPr>
          <w:ilvl w:val="0"/>
          <w:numId w:val="1026"/>
        </w:numPr>
        <w:pStyle w:val="Compact"/>
      </w:pPr>
      <w:r>
        <w:rPr>
          <w:bCs/>
          <w:b/>
        </w:rPr>
        <w:t xml:space="preserve">Improve Data Quality:</w:t>
      </w:r>
      <w:r>
        <w:t xml:space="preserve"> </w:t>
      </w:r>
      <w:r>
        <w:t xml:space="preserve">Prioritize collecting primary, activity-based data directly from suppliers for BOM, manufacturing energy, and transport to further enhance the accuracy and auditability of the PCF. This aligns with the 2026 Scope 3 revisions for data disaggregation.</w:t>
      </w:r>
    </w:p>
    <w:p>
      <w:r>
        <w:pict>
          <v:rect style="width:0;height:1.5pt" o:hralign="center" o:hrstd="t" o:hr="t"/>
        </w:pict>
      </w:r>
    </w:p>
    <w:p>
      <w:pPr>
        <w:pStyle w:val="FirstParagraph"/>
      </w:pPr>
      <w:r>
        <w:t xml:space="preserve">Confidential - Internal Use Only |</w:t>
      </w:r>
      <w:r>
        <w:t xml:space="preserve"> </w:t>
      </w:r>
    </w:p>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1"/>
  </w:num>
  <w:num w:numId="10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dpdyqrvlhp</dc:title>
  <dc:creator/>
  <dc:description>Detailed Product Carbon Footprint (PCF) analysis report for Smart Device X (dpdyqrvlhp) by kkrsnmhklg, adhering to GHG Protocol and 2026 updates, conducted by Senior Sustainability Consultant gywrsesjoz.</dc:description>
  <dc:language>en</dc:language>
  <cp:keywords/>
  <dcterms:created xsi:type="dcterms:W3CDTF">2026-07-15T06:26:06Z</dcterms:created>
  <dcterms:modified xsi:type="dcterms:W3CDTF">2026-07-15T06:26:06Z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