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dowvlddkst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dowvlddkst</w:t>
      </w:r>
    </w:p>
    <w:p>
      <w:pPr>
        <w:pStyle w:val="BodyText"/>
      </w:pPr>
      <w:r>
        <w:rPr>
          <w:bCs/>
          <w:b/>
        </w:rPr>
        <w:t xml:space="preserve">Company Name:</w:t>
      </w:r>
      <w:r>
        <w:t xml:space="preserve"> </w:t>
      </w:r>
      <w:r>
        <w:t xml:space="preserve">ymeimwyqyq</w:t>
      </w:r>
    </w:p>
    <w:p>
      <w:pPr>
        <w:pStyle w:val="BodyText"/>
      </w:pPr>
      <w:r>
        <w:rPr>
          <w:bCs/>
          <w:b/>
        </w:rPr>
        <w:t xml:space="preserve">Senior Sustainability Consultant:</w:t>
      </w:r>
      <w:r>
        <w:t xml:space="preserve"> </w:t>
      </w:r>
      <w:r>
        <w:t xml:space="preserve">lwmhsjmfwl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actual environmental impact may vary due to real-world complexities and evolving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lwmhsjmfwl</w:t>
      </w:r>
    </w:p>
    <w:p>
      <w:pPr>
        <w:pStyle w:val="BodyText"/>
      </w:pPr>
      <w:r>
        <w:t xml:space="preserve">This report presents a high-detail Product Carbon Footprint (PCF) analysis for the product dowvlddkst, manufactured by ymeimwyqyq. The analysis adheres strictly to the GHG Protocol accounting standard, incorporating recent updates such as the 2026 Land Sector and Removals (LSR) Standard and aiming for at least 95% coverage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comprehensive Product Carbon Footprint (PCF) analysis for dowvlddkst provides a detailed assessment of greenhouse gas (GHG) emissions across its lifecycle. The total PCF for one functional unit of dowvlddkst is estimated to be</w:t>
      </w:r>
      <w:r>
        <w:t xml:space="preserve"> </w:t>
      </w:r>
      <w:r>
        <w:rPr>
          <w:bCs/>
          <w:b/>
        </w:rPr>
        <w:t xml:space="preserve">35.97 kg CO2e</w:t>
      </w:r>
      <w:r>
        <w:t xml:space="preserve">. The primary contributors to this footprint are identified in the material acquisition and production phases, with significant benefits from end-of-life recycling and circular economy initiatives. This report highlights key emission hotspots and offers a foundational understanding for ymeimwyqyq to strategize further decarbonization efforts.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was conducted following the five-step methodology as prescribed by industry best practices and aligned with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product.</w:t>
      </w:r>
    </w:p>
    <w:p>
      <w:pPr>
        <w:numPr>
          <w:ilvl w:val="0"/>
          <w:numId w:val="1001"/>
        </w:numPr>
        <w:pStyle w:val="Compact"/>
      </w:pPr>
      <w:r>
        <w:rPr>
          <w:bCs/>
          <w:b/>
        </w:rPr>
        <w:t xml:space="preserve">Map Lifecycle:</w:t>
      </w:r>
      <w:r>
        <w:t xml:space="preserve"> </w:t>
      </w:r>
      <w:r>
        <w:t xml:space="preserve">Identify and map all relevant life cycle inventory (LCI)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inputs and outputs across the defined lifecycle stages.</w:t>
      </w:r>
    </w:p>
    <w:p>
      <w:pPr>
        <w:numPr>
          <w:ilvl w:val="0"/>
          <w:numId w:val="1001"/>
        </w:numPr>
        <w:pStyle w:val="Compact"/>
      </w:pPr>
      <w:r>
        <w:rPr>
          <w:bCs/>
          <w:b/>
        </w:rPr>
        <w:t xml:space="preserve">Calculate Emissions:</w:t>
      </w:r>
      <w:r>
        <w:t xml:space="preserve"> </w:t>
      </w:r>
      <w:r>
        <w:t xml:space="preserve">Quantify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the results, identify emission hotspots, assess data reliability, and compile the final report.</w:t>
      </w:r>
    </w:p>
    <w:p>
      <w:pPr>
        <w:pStyle w:val="FirstParagraph"/>
      </w:pPr>
      <w:r>
        <w:rPr>
          <w:bCs/>
          <w:b/>
        </w:rPr>
        <w:t xml:space="preserve">Accounting Standard:</w:t>
      </w:r>
      <w:r>
        <w:t xml:space="preserve"> </w:t>
      </w:r>
      <w:r>
        <w:t xml:space="preserve">This analysis strictly adheres to the GHG Protocol. Emissions are categorized into Scope 1 (direct emissions), Scope 2 (indirect emissions from purchased energy), and Scope 3 (all other indirect emissions across the value chain).</w:t>
      </w:r>
    </w:p>
    <w:p>
      <w:pPr>
        <w:pStyle w:val="BodyText"/>
      </w:pPr>
      <w:r>
        <w:rPr>
          <w:bCs/>
          <w:b/>
        </w:rPr>
        <w:t xml:space="preserve">2026 LSR Update:</w:t>
      </w:r>
      <w:r>
        <w:t xml:space="preserve"> </w:t>
      </w:r>
      <w:r>
        <w:t xml:space="preserve">The Land Sector and Removals (LSR) Standard for land use and carbon removals has been applied conceptually in the assessment of land-related impacts, acknowledging its importance in comprehensive GHG accounting.</w:t>
      </w:r>
    </w:p>
    <w:p>
      <w:pPr>
        <w:pStyle w:val="BodyText"/>
      </w:pPr>
      <w:r>
        <w:rPr>
          <w:bCs/>
          <w:b/>
        </w:rPr>
        <w:t xml:space="preserve">Scope 3 Compliance:</w:t>
      </w:r>
      <w:r>
        <w:t xml:space="preserve"> </w:t>
      </w:r>
      <w:r>
        <w:t xml:space="preserve">Diligent efforts have been made to ensure at least 95% coverage for Scope 3 reporting, aligning with the stringent 2026 requirements of the GHG Protocol.</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PCF analysis of dowvlddkst:</w:t>
      </w:r>
    </w:p>
    <w:p>
      <w:pPr>
        <w:numPr>
          <w:ilvl w:val="0"/>
          <w:numId w:val="1002"/>
        </w:numPr>
        <w:pStyle w:val="Compact"/>
      </w:pPr>
      <w:r>
        <w:rPr>
          <w:bCs/>
          <w:b/>
        </w:rPr>
        <w:t xml:space="preserve">Functional Unit:</w:t>
      </w:r>
      <w:r>
        <w:t xml:space="preserve"> </w:t>
      </w:r>
      <w:r>
        <w:t xml:space="preserve">1.0 unit of dowvlddkst</w:t>
      </w:r>
    </w:p>
    <w:p>
      <w:pPr>
        <w:numPr>
          <w:ilvl w:val="0"/>
          <w:numId w:val="1002"/>
        </w:numPr>
        <w:pStyle w:val="Compact"/>
      </w:pPr>
      <w:r>
        <w:rPr>
          <w:bCs/>
          <w:b/>
        </w:rPr>
        <w:t xml:space="preserve">System Boundary:</w:t>
      </w:r>
      <w:r>
        <w:t xml:space="preserve"> </w:t>
      </w:r>
      <w:r>
        <w:t xml:space="preserve">Factory Gate – The analysis covers all stages from raw material acquisition, manufacturing, transport to the factory gate, and subsequent life cycle stages including transport to user, use phase, and end-of-life.</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based on physical parameters (e.g., mass) where co-production or multi-functionality occurs, ensuring fair distribution across products.</w:t>
      </w:r>
    </w:p>
    <w:p>
      <w:r>
        <w:pict>
          <v:rect style="width:0;height:1.5pt" o:hralign="center" o:hrstd="t" o:hr="t"/>
        </w:pict>
      </w:r>
    </w:p>
    <w:bookmarkEnd w:id="23"/>
    <w:bookmarkStart w:id="29" w:name="X6444d3cba9dccafa68ad2e52fa166d4a5d15ca3"/>
    <w:p>
      <w:pPr>
        <w:pStyle w:val="Heading2"/>
      </w:pPr>
      <w:r>
        <w:t xml:space="preserve">2. Map Lifecycle &amp; 3. Collect Data (LCI Inventory)</w:t>
      </w:r>
    </w:p>
    <w:p>
      <w:pPr>
        <w:pStyle w:val="FirstParagraph"/>
      </w:pPr>
      <w:r>
        <w:t xml:space="preserve">The lifecycle of dowvlddkst is mapped across several key stages. Data collection involved utilizing the provided detailed Bill of Materials, specific logistical information, energy customization data, and typical industry emission factors from recognized databases (e.g., Ecoinvent/DEFRA) where primary data was not available.</w:t>
      </w:r>
    </w:p>
    <w:bookmarkStart w:id="24" w:name="detailed-bill-of-materials-bom-rnwrrggk"/>
    <w:p>
      <w:pPr>
        <w:pStyle w:val="Heading3"/>
      </w:pPr>
      <w:r>
        <w:t xml:space="preserve">Detailed Bill of Materials (BOM): rnwrrggk</w:t>
      </w:r>
    </w:p>
    <w:p>
      <w:pPr>
        <w:pStyle w:val="FirstParagraph"/>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1.0</w:t>
            </w:r>
          </w:p>
        </w:tc>
        <w:tc>
          <w:tcPr/>
          <w:p>
            <w:pPr>
              <w:pStyle w:val="Compact"/>
              <w:jc w:val="left"/>
            </w:pPr>
            <w:r>
              <w:t xml:space="preserve">0.4</w:t>
            </w:r>
          </w:p>
        </w:tc>
      </w:tr>
      <w:tr>
        <w:tc>
          <w:tcPr/>
          <w:p>
            <w:pPr>
              <w:pStyle w:val="Compact"/>
              <w:jc w:val="left"/>
            </w:pPr>
            <w:r>
              <w:t xml:space="preserve">7</w:t>
            </w:r>
          </w:p>
        </w:tc>
        <w:tc>
          <w:tcPr/>
          <w:p>
            <w:pPr>
              <w:pStyle w:val="Compact"/>
              <w:jc w:val="left"/>
            </w:pPr>
            <w:r>
              <w:t xml:space="preserve">Fasteners (Steel)</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Carbon:</w:t>
            </w:r>
          </w:p>
        </w:tc>
        <w:tc>
          <w:tcPr/>
          <w:p>
            <w:pPr>
              <w:pStyle w:val="Compact"/>
              <w:jc w:val="left"/>
            </w:pPr>
            <w:r>
              <w:rPr>
                <w:bCs/>
                <w:b/>
              </w:rPr>
              <w:t xml:space="preserve">26.1 kg CO2e</w:t>
            </w:r>
          </w:p>
        </w:tc>
      </w:tr>
      <w:tr>
        <w:tc>
          <w:tcPr>
            <w:gridSpan w:val="7"/>
          </w:tcPr>
          <w:p>
            <w:pPr>
              <w:pStyle w:val="Compact"/>
              <w:jc w:val="right"/>
            </w:pPr>
            <w:r>
              <w:rPr>
                <w:bCs/>
                <w:b/>
              </w:rPr>
              <w:t xml:space="preserve">Total Product Mass:</w:t>
            </w:r>
          </w:p>
        </w:tc>
        <w:tc>
          <w:tcPr/>
          <w:p>
            <w:pPr>
              <w:pStyle w:val="Compact"/>
              <w:jc w:val="left"/>
            </w:pPr>
            <w:r>
              <w:rPr>
                <w:bCs/>
                <w:b/>
              </w:rPr>
              <w:t xml:space="preserve">3.35 kg</w:t>
            </w:r>
          </w:p>
        </w:tc>
      </w:tr>
    </w:tbl>
    <w:bookmarkEnd w:id="24"/>
    <w:bookmarkStart w:id="25"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mogyxmirvl (Assumed: 100 kWh/unit)</w:t>
      </w:r>
    </w:p>
    <w:p>
      <w:pPr>
        <w:numPr>
          <w:ilvl w:val="0"/>
          <w:numId w:val="1004"/>
        </w:numPr>
        <w:pStyle w:val="Compact"/>
      </w:pPr>
      <w:r>
        <w:rPr>
          <w:bCs/>
          <w:b/>
        </w:rPr>
        <w:t xml:space="preserve">Renewable Energy Usage:</w:t>
      </w:r>
      <w:r>
        <w:t xml:space="preserve"> </w:t>
      </w:r>
      <w:r>
        <w:t xml:space="preserve">kvrysihuri (Assumed: 50%)</w:t>
      </w:r>
    </w:p>
    <w:p>
      <w:pPr>
        <w:numPr>
          <w:ilvl w:val="0"/>
          <w:numId w:val="1004"/>
        </w:numPr>
        <w:pStyle w:val="Compact"/>
      </w:pPr>
      <w:r>
        <w:rPr>
          <w:bCs/>
          <w:b/>
        </w:rPr>
        <w:t xml:space="preserve">Non-renewable energy used in production:</w:t>
      </w:r>
      <w:r>
        <w:t xml:space="preserve"> </w:t>
      </w:r>
      <w:r>
        <w:t xml:space="preserve">100 kWh/unit * (1 - 0.50) = 50 kWh/unit</w:t>
      </w:r>
    </w:p>
    <w:bookmarkEnd w:id="25"/>
    <w:bookmarkStart w:id="26"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(Assumed: Road freight (HGV &gt; 16t))</w:t>
      </w:r>
    </w:p>
    <w:p>
      <w:pPr>
        <w:numPr>
          <w:ilvl w:val="0"/>
          <w:numId w:val="1005"/>
        </w:numPr>
        <w:pStyle w:val="Compact"/>
      </w:pPr>
      <w:r>
        <w:rPr>
          <w:bCs/>
          <w:b/>
        </w:rPr>
        <w:t xml:space="preserve">Transport Distance (Primary):</w:t>
      </w:r>
      <w:r>
        <w:t xml:space="preserve"> </w:t>
      </w:r>
      <w:r>
        <w:t xml:space="preserve">phfeoqvhfj (Assumed: 1000 km)</w:t>
      </w:r>
    </w:p>
    <w:p>
      <w:pPr>
        <w:numPr>
          <w:ilvl w:val="0"/>
          <w:numId w:val="1005"/>
        </w:numPr>
        <w:pStyle w:val="Compact"/>
      </w:pPr>
      <w:r>
        <w:rPr>
          <w:bCs/>
          <w:b/>
        </w:rPr>
        <w:t xml:space="preserve">Last-Mile Delivery Channel:</w:t>
      </w:r>
      <w:r>
        <w:t xml:space="preserve"> </w:t>
      </w:r>
      <w:r>
        <w:t xml:space="preserve">Delivery Type (Assumed: Van Delivery, 50 km)</w:t>
      </w:r>
    </w:p>
    <w:p>
      <w:pPr>
        <w:numPr>
          <w:ilvl w:val="0"/>
          <w:numId w:val="1005"/>
        </w:numPr>
        <w:pStyle w:val="Compact"/>
      </w:pPr>
      <w:r>
        <w:rPr>
          <w:bCs/>
          <w:b/>
        </w:rPr>
        <w:t xml:space="preserve">Total Product Mass for Transport:</w:t>
      </w:r>
      <w:r>
        <w:t xml:space="preserve"> </w:t>
      </w:r>
      <w:r>
        <w:t xml:space="preserve">3.35 kg (0.00335 tonnes)</w:t>
      </w:r>
    </w:p>
    <w:bookmarkEnd w:id="26"/>
    <w:bookmarkStart w:id="27"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qshsrmlmvm (Assumed: 5 years)</w:t>
      </w:r>
    </w:p>
    <w:p>
      <w:pPr>
        <w:numPr>
          <w:ilvl w:val="0"/>
          <w:numId w:val="1006"/>
        </w:numPr>
        <w:pStyle w:val="Compact"/>
      </w:pPr>
      <w:r>
        <w:rPr>
          <w:bCs/>
          <w:b/>
        </w:rPr>
        <w:t xml:space="preserve">Energy Consumption in Use:</w:t>
      </w:r>
      <w:r>
        <w:t xml:space="preserve"> </w:t>
      </w:r>
      <w:r>
        <w:t xml:space="preserve">ilipkumeur (Assumed: 20 kWh/year)</w:t>
      </w:r>
    </w:p>
    <w:p>
      <w:pPr>
        <w:numPr>
          <w:ilvl w:val="0"/>
          <w:numId w:val="1006"/>
        </w:numPr>
        <w:pStyle w:val="Compact"/>
      </w:pPr>
      <w:r>
        <w:rPr>
          <w:bCs/>
          <w:b/>
        </w:rPr>
        <w:t xml:space="preserve">Total energy consumption over lifespan:</w:t>
      </w:r>
      <w:r>
        <w:t xml:space="preserve"> </w:t>
      </w:r>
      <w:r>
        <w:t xml:space="preserve">20 kWh/year * 5 years = 100 kWh</w:t>
      </w:r>
    </w:p>
    <w:bookmarkEnd w:id="27"/>
    <w:bookmarkStart w:id="28"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whwktgwnsr (Assumed: 80% of potentially recyclable materials)</w:t>
      </w:r>
    </w:p>
    <w:p>
      <w:pPr>
        <w:numPr>
          <w:ilvl w:val="0"/>
          <w:numId w:val="1007"/>
        </w:numPr>
        <w:pStyle w:val="Compact"/>
      </w:pPr>
      <w:r>
        <w:rPr>
          <w:bCs/>
          <w:b/>
        </w:rPr>
        <w:t xml:space="preserve">Circular/Take-back Programs:</w:t>
      </w:r>
      <w:r>
        <w:t xml:space="preserve"> </w:t>
      </w:r>
      <w:r>
        <w:t xml:space="preserve">ntssoridsk (Assumed: Yes, product refurbishment)</w:t>
      </w:r>
    </w:p>
    <w:p>
      <w:r>
        <w:pict>
          <v:rect style="width:0;height:1.5pt" o:hralign="center" o:hrstd="t" o:hr="t"/>
        </w:pict>
      </w:r>
    </w:p>
    <w:bookmarkEnd w:id="28"/>
    <w:bookmarkEnd w:id="29"/>
    <w:bookmarkStart w:id="39" w:name="calculate-emissions"/>
    <w:p>
      <w:pPr>
        <w:pStyle w:val="Heading2"/>
      </w:pPr>
      <w:r>
        <w:t xml:space="preserve">4. Calculate Emissions</w:t>
      </w:r>
    </w:p>
    <w:p>
      <w:pPr>
        <w:pStyle w:val="FirstParagraph"/>
      </w:pPr>
      <w:r>
        <w:t xml:space="preserve">Emissions were calculated for each life cycle stage using the activity data collected and appropriate emission factors. Calculations are presented below, categorized according to the GHG Protocol\'s Scope definitions.</w:t>
      </w:r>
    </w:p>
    <w:bookmarkStart w:id="30" w:name="emission-factors-used"/>
    <w:p>
      <w:pPr>
        <w:pStyle w:val="Heading3"/>
      </w:pPr>
      <w:r>
        <w:t xml:space="preserve">Emission Factors Used:</w:t>
      </w:r>
    </w:p>
    <w:p>
      <w:pPr>
        <w:numPr>
          <w:ilvl w:val="0"/>
          <w:numId w:val="1008"/>
        </w:numPr>
        <w:pStyle w:val="Compact"/>
      </w:pPr>
      <w:r>
        <w:rPr>
          <w:bCs/>
          <w:b/>
        </w:rPr>
        <w:t xml:space="preserve">China Grid Electricity (non-renewable):</w:t>
      </w:r>
      <w:r>
        <w:t xml:space="preserve"> </w:t>
      </w:r>
      <w:r>
        <w:t xml:space="preserve">0.60 kg CO2e/kWh (representative value for 2024/2025)</w:t>
      </w:r>
    </w:p>
    <w:p>
      <w:pPr>
        <w:numPr>
          <w:ilvl w:val="0"/>
          <w:numId w:val="1008"/>
        </w:numPr>
        <w:pStyle w:val="Compact"/>
      </w:pPr>
      <w:r>
        <w:rPr>
          <w:bCs/>
          <w:b/>
        </w:rPr>
        <w:t xml:space="preserve">Road Freight (HGV &gt; 16t):</w:t>
      </w:r>
      <w:r>
        <w:t xml:space="preserve"> </w:t>
      </w:r>
      <w:r>
        <w:t xml:space="preserve">0.092 kg CO2e/tonne-km (Well-to-Wheel, Europe)</w:t>
      </w:r>
    </w:p>
    <w:p>
      <w:pPr>
        <w:numPr>
          <w:ilvl w:val="0"/>
          <w:numId w:val="1008"/>
        </w:numPr>
        <w:pStyle w:val="Compact"/>
      </w:pPr>
      <w:r>
        <w:rPr>
          <w:bCs/>
          <w:b/>
        </w:rPr>
        <w:t xml:space="preserve">Last-Mile Delivery (Van):</w:t>
      </w:r>
      <w:r>
        <w:t xml:space="preserve"> </w:t>
      </w:r>
      <w:r>
        <w:t xml:space="preserve">0.25 kg CO2e/km</w:t>
      </w:r>
    </w:p>
    <w:p>
      <w:pPr>
        <w:numPr>
          <w:ilvl w:val="0"/>
          <w:numId w:val="1008"/>
        </w:numPr>
        <w:pStyle w:val="Compact"/>
      </w:pPr>
      <w:r>
        <w:rPr>
          <w:bCs/>
          <w:b/>
        </w:rPr>
        <w:t xml:space="preserve">European Average Electricity (Use Phase):</w:t>
      </w:r>
      <w:r>
        <w:t xml:space="preserve"> </w:t>
      </w:r>
      <w:r>
        <w:t xml:space="preserve">0.18 kg CO2e/kWh (2024 average)</w:t>
      </w:r>
    </w:p>
    <w:p>
      <w:pPr>
        <w:numPr>
          <w:ilvl w:val="0"/>
          <w:numId w:val="1008"/>
        </w:numPr>
        <w:pStyle w:val="Compact"/>
      </w:pPr>
      <w:r>
        <w:rPr>
          <w:bCs/>
          <w:b/>
        </w:rPr>
        <w:t xml:space="preserve">Plastic Disposal (Landfill):</w:t>
      </w:r>
      <w:r>
        <w:t xml:space="preserve"> </w:t>
      </w:r>
      <w:r>
        <w:t xml:space="preserve">0.033 kg CO2e/kg (for general waste/plastics in landfill)</w:t>
      </w:r>
    </w:p>
    <w:p>
      <w:pPr>
        <w:numPr>
          <w:ilvl w:val="0"/>
          <w:numId w:val="1008"/>
        </w:numPr>
        <w:pStyle w:val="Compact"/>
      </w:pPr>
      <w:r>
        <w:rPr>
          <w:bCs/>
          <w:b/>
        </w:rPr>
        <w:t xml:space="preserve">Metal Recycling Benefit:</w:t>
      </w:r>
      <w:r>
        <w:t xml:space="preserve"> </w:t>
      </w:r>
      <w:r>
        <w:t xml:space="preserve">-2.0 kg CO2e/kg (representing avoided virgin production emissions)</w:t>
      </w:r>
    </w:p>
    <w:p>
      <w:pPr>
        <w:numPr>
          <w:ilvl w:val="0"/>
          <w:numId w:val="1008"/>
        </w:numPr>
        <w:pStyle w:val="Compact"/>
      </w:pPr>
      <w:r>
        <w:rPr>
          <w:bCs/>
          <w:b/>
        </w:rPr>
        <w:t xml:space="preserve">Plastic Recycling Benefit:</w:t>
      </w:r>
      <w:r>
        <w:t xml:space="preserve"> </w:t>
      </w:r>
      <w:r>
        <w:t xml:space="preserve">-1.5 kg CO2e/kg (representing avoided virgin production emissions)</w:t>
      </w:r>
    </w:p>
    <w:bookmarkEnd w:id="30"/>
    <w:bookmarkStart w:id="37" w:name="emissions-breakdown-by-scope"/>
    <w:p>
      <w:pPr>
        <w:pStyle w:val="Heading3"/>
      </w:pPr>
      <w:r>
        <w:t xml:space="preserve">Emissions Breakdown by Scope:</w:t>
      </w:r>
    </w:p>
    <w:bookmarkStart w:id="31" w:name="scope-1-direct-emissions"/>
    <w:p>
      <w:pPr>
        <w:pStyle w:val="Heading4"/>
      </w:pPr>
      <w:r>
        <w:t xml:space="preserve">Scope 1: Direct Emissions</w:t>
      </w:r>
    </w:p>
    <w:p>
      <w:pPr>
        <w:pStyle w:val="FirstParagraph"/>
      </w:pPr>
      <w:r>
        <w:t xml:space="preserve">No direct operational emissions (e.g., fuel combustion in company-owned vehicles, fugitive emissions) were specified for ymeimwyqyq\'s factory operations for dowvlddkst within the provided parameters. Therefore, Scope 1 emissions are considered negligible for this product-level analysis.</w:t>
      </w:r>
    </w:p>
    <w:p>
      <w:pPr>
        <w:numPr>
          <w:ilvl w:val="0"/>
          <w:numId w:val="1009"/>
        </w:numPr>
        <w:pStyle w:val="Compact"/>
      </w:pPr>
      <w:r>
        <w:rPr>
          <w:bCs/>
          <w:b/>
        </w:rPr>
        <w:t xml:space="preserve">Total Scope 1 Emissions:</w:t>
      </w:r>
      <w:r>
        <w:t xml:space="preserve"> </w:t>
      </w:r>
      <w:r>
        <w:t xml:space="preserve">0.0 kg CO2e</w:t>
      </w:r>
    </w:p>
    <w:bookmarkEnd w:id="31"/>
    <w:bookmarkStart w:id="32" w:name="scope-2-purchased-energy-emissions"/>
    <w:p>
      <w:pPr>
        <w:pStyle w:val="Heading4"/>
      </w:pPr>
      <w:r>
        <w:t xml:space="preserve">Scope 2: Purchased Energy Emissions</w:t>
      </w:r>
    </w:p>
    <w:p>
      <w:pPr>
        <w:pStyle w:val="FirstParagraph"/>
      </w:pPr>
      <w:r>
        <w:t xml:space="preserve">Emissions from the generation of purchased electricity for the production phase in China.</w:t>
      </w:r>
    </w:p>
    <w:p>
      <w:pPr>
        <w:numPr>
          <w:ilvl w:val="0"/>
          <w:numId w:val="1010"/>
        </w:numPr>
        <w:pStyle w:val="Compact"/>
      </w:pPr>
      <w:r>
        <w:rPr>
          <w:bCs/>
          <w:b/>
        </w:rPr>
        <w:t xml:space="preserve">Energy Intensity:</w:t>
      </w:r>
      <w:r>
        <w:t xml:space="preserve"> </w:t>
      </w:r>
      <w:r>
        <w:t xml:space="preserve">100 kWh/unit (mogyxmirvl)</w:t>
      </w:r>
    </w:p>
    <w:p>
      <w:pPr>
        <w:numPr>
          <w:ilvl w:val="0"/>
          <w:numId w:val="1010"/>
        </w:numPr>
        <w:pStyle w:val="Compact"/>
      </w:pPr>
      <w:r>
        <w:rPr>
          <w:bCs/>
          <w:b/>
        </w:rPr>
        <w:t xml:space="preserve">Renewable Energy Usage:</w:t>
      </w:r>
      <w:r>
        <w:t xml:space="preserve"> </w:t>
      </w:r>
      <w:r>
        <w:t xml:space="preserve">50% (kvrysihuri)</w:t>
      </w:r>
    </w:p>
    <w:p>
      <w:pPr>
        <w:numPr>
          <w:ilvl w:val="0"/>
          <w:numId w:val="1010"/>
        </w:numPr>
        <w:pStyle w:val="Compact"/>
      </w:pPr>
      <w:r>
        <w:rPr>
          <w:bCs/>
          <w:b/>
        </w:rPr>
        <w:t xml:space="preserve">Non-renewable Electricity Consumption:</w:t>
      </w:r>
      <w:r>
        <w:t xml:space="preserve"> </w:t>
      </w:r>
      <w:r>
        <w:t xml:space="preserve">100 kWh * (1 - 0.50) = 50 kWh/unit</w:t>
      </w:r>
    </w:p>
    <w:p>
      <w:pPr>
        <w:numPr>
          <w:ilvl w:val="0"/>
          <w:numId w:val="1010"/>
        </w:numPr>
        <w:pStyle w:val="Compact"/>
      </w:pPr>
      <w:r>
        <w:rPr>
          <w:bCs/>
          <w:b/>
        </w:rPr>
        <w:t xml:space="preserve">China Grid Electricity EF:</w:t>
      </w:r>
      <w:r>
        <w:t xml:space="preserve"> </w:t>
      </w:r>
      <w:r>
        <w:t xml:space="preserve">0.60 kg CO2e/kWh</w:t>
      </w:r>
    </w:p>
    <w:p>
      <w:pPr>
        <w:numPr>
          <w:ilvl w:val="0"/>
          <w:numId w:val="1010"/>
        </w:numPr>
        <w:pStyle w:val="Compact"/>
      </w:pPr>
      <w:r>
        <w:rPr>
          <w:bCs/>
          <w:b/>
        </w:rPr>
        <w:t xml:space="preserve">Scope 2 Emissions:</w:t>
      </w:r>
      <w:r>
        <w:t xml:space="preserve"> </w:t>
      </w:r>
      <w:r>
        <w:t xml:space="preserve">50 kWh/unit * 0.60 kg CO2e/kWh = 30.0 kg CO2e</w:t>
      </w:r>
    </w:p>
    <w:p>
      <w:pPr>
        <w:numPr>
          <w:ilvl w:val="0"/>
          <w:numId w:val="1011"/>
        </w:numPr>
        <w:pStyle w:val="Compact"/>
      </w:pPr>
      <w:r>
        <w:rPr>
          <w:bCs/>
          <w:b/>
        </w:rPr>
        <w:t xml:space="preserve">Total Scope 2 Emissions:</w:t>
      </w:r>
      <w:r>
        <w:t xml:space="preserve"> </w:t>
      </w:r>
      <w:r>
        <w:t xml:space="preserve">30.0 kg CO2e</w:t>
      </w:r>
    </w:p>
    <w:bookmarkEnd w:id="32"/>
    <w:bookmarkStart w:id="35" w:name="scope-3-value-chain-emissions"/>
    <w:p>
      <w:pPr>
        <w:pStyle w:val="Heading4"/>
      </w:pPr>
      <w:r>
        <w:t xml:space="preserve">Scope 3: Value Chain Emissions</w:t>
      </w:r>
    </w:p>
    <w:p>
      <w:pPr>
        <w:pStyle w:val="FirstParagraph"/>
      </w:pPr>
      <w:r>
        <w:t xml:space="preserve">This category includes all other indirect emissions, covering upstream and downstream activities.</w:t>
      </w:r>
    </w:p>
    <w:bookmarkStart w:id="33" w:name="upstream-emissions-scope-3-category-1-4"/>
    <w:p>
      <w:pPr>
        <w:pStyle w:val="Heading5"/>
      </w:pPr>
      <w:r>
        <w:t xml:space="preserve">Upstream Emissions (Scope 3, Category 1 &amp; 4)</w:t>
      </w:r>
    </w:p>
    <w:p>
      <w:pPr>
        <w:pStyle w:val="FirstParagraph"/>
      </w:pPr>
      <w:r>
        <w:rPr>
          <w:bCs/>
          <w:b/>
        </w:rPr>
        <w:t xml:space="preserve">1. Material Acquisition &amp; Pre-processing (from BOM):</w:t>
      </w:r>
    </w:p>
    <w:p>
      <w:pPr>
        <w:pStyle w:val="BodyText"/>
      </w:pPr>
      <w:r>
        <w:t xml:space="preserve">As per the provided BOM, the "Total Carbon" values are directly used for material impact calculation.</w:t>
      </w:r>
    </w:p>
    <w:p>
      <w:pPr>
        <w:numPr>
          <w:ilvl w:val="0"/>
          <w:numId w:val="1012"/>
        </w:numPr>
        <w:pStyle w:val="Compact"/>
      </w:pPr>
      <w:r>
        <w:rPr>
          <w:bCs/>
          <w:b/>
        </w:rPr>
        <w:t xml:space="preserve">Material Acquisition Emissions:</w:t>
      </w:r>
      <w:r>
        <w:t xml:space="preserve"> </w:t>
      </w:r>
      <w:r>
        <w:t xml:space="preserve">26.1 kg CO2e</w:t>
      </w:r>
    </w:p>
    <w:p>
      <w:pPr>
        <w:pStyle w:val="FirstParagraph"/>
      </w:pPr>
      <w:r>
        <w:rPr>
          <w:bCs/>
          <w:b/>
        </w:rPr>
        <w:t xml:space="preserve">2. Transportation (Primary Transport from Supply Chain to Factory Gate):</w:t>
      </w:r>
    </w:p>
    <w:p>
      <w:pPr>
        <w:numPr>
          <w:ilvl w:val="0"/>
          <w:numId w:val="1013"/>
        </w:numPr>
        <w:pStyle w:val="Compact"/>
      </w:pPr>
      <w:r>
        <w:rPr>
          <w:bCs/>
          <w:b/>
        </w:rPr>
        <w:t xml:space="preserve">Transport Mode:</w:t>
      </w:r>
      <w:r>
        <w:t xml:space="preserve"> </w:t>
      </w:r>
      <w:r>
        <w:t xml:space="preserve">Road freight (HGV &gt; 16t) (Select Mode)</w:t>
      </w:r>
    </w:p>
    <w:p>
      <w:pPr>
        <w:numPr>
          <w:ilvl w:val="0"/>
          <w:numId w:val="1013"/>
        </w:numPr>
        <w:pStyle w:val="Compact"/>
      </w:pPr>
      <w:r>
        <w:rPr>
          <w:bCs/>
          <w:b/>
        </w:rPr>
        <w:t xml:space="preserve">Transport Distance:</w:t>
      </w:r>
      <w:r>
        <w:t xml:space="preserve"> </w:t>
      </w:r>
      <w:r>
        <w:t xml:space="preserve">1000 km (phfeoqvhfj)</w:t>
      </w:r>
    </w:p>
    <w:p>
      <w:pPr>
        <w:numPr>
          <w:ilvl w:val="0"/>
          <w:numId w:val="1013"/>
        </w:numPr>
        <w:pStyle w:val="Compact"/>
      </w:pPr>
      <w:r>
        <w:rPr>
          <w:bCs/>
          <w:b/>
        </w:rPr>
        <w:t xml:space="preserve">Product Mass:</w:t>
      </w:r>
      <w:r>
        <w:t xml:space="preserve"> </w:t>
      </w:r>
      <w:r>
        <w:t xml:space="preserve">3.35 kg = 0.00335 tonnes</w:t>
      </w:r>
    </w:p>
    <w:p>
      <w:pPr>
        <w:numPr>
          <w:ilvl w:val="0"/>
          <w:numId w:val="1013"/>
        </w:numPr>
        <w:pStyle w:val="Compact"/>
      </w:pPr>
      <w:r>
        <w:rPr>
          <w:bCs/>
          <w:b/>
        </w:rPr>
        <w:t xml:space="preserve">Road Freight EF:</w:t>
      </w:r>
      <w:r>
        <w:t xml:space="preserve"> </w:t>
      </w:r>
      <w:r>
        <w:t xml:space="preserve">0.092 kg CO2e/tonne-km</w:t>
      </w:r>
    </w:p>
    <w:p>
      <w:pPr>
        <w:numPr>
          <w:ilvl w:val="0"/>
          <w:numId w:val="1013"/>
        </w:numPr>
        <w:pStyle w:val="Compact"/>
      </w:pPr>
      <w:r>
        <w:rPr>
          <w:bCs/>
          <w:b/>
        </w:rPr>
        <w:t xml:space="preserve">Primary Transport Emissions:</w:t>
      </w:r>
      <w:r>
        <w:t xml:space="preserve"> </w:t>
      </w:r>
      <w:r>
        <w:t xml:space="preserve">0.00335 tonnes * 1000 km * 0.092 kg CO2e/tonne-km = 0.3082 kg CO2e</w:t>
      </w:r>
    </w:p>
    <w:bookmarkEnd w:id="33"/>
    <w:bookmarkStart w:id="34" w:name="X378cff3805c5dae0543fbc83085faf998b78192"/>
    <w:p>
      <w:pPr>
        <w:pStyle w:val="Heading5"/>
      </w:pPr>
      <w:r>
        <w:t xml:space="preserve">Downstream Emissions (Scope 3, Category 9, 11)</w:t>
      </w:r>
    </w:p>
    <w:p>
      <w:pPr>
        <w:pStyle w:val="FirstParagraph"/>
      </w:pPr>
      <w:r>
        <w:rPr>
          <w:bCs/>
          <w:b/>
        </w:rPr>
        <w:t xml:space="preserve">3. Transportation (Last-Mile Delivery to Customer):</w:t>
      </w:r>
    </w:p>
    <w:p>
      <w:pPr>
        <w:pStyle w:val="BodyText"/>
      </w:pPr>
      <w:r>
        <w:t xml:space="preserve">Assuming a typical last-mile delivery distance of 50 km for van delivery.</w:t>
      </w:r>
    </w:p>
    <w:p>
      <w:pPr>
        <w:numPr>
          <w:ilvl w:val="0"/>
          <w:numId w:val="1014"/>
        </w:numPr>
        <w:pStyle w:val="Compact"/>
      </w:pPr>
      <w:r>
        <w:rPr>
          <w:bCs/>
          <w:b/>
        </w:rPr>
        <w:t xml:space="preserve">Delivery Channel:</w:t>
      </w:r>
      <w:r>
        <w:t xml:space="preserve"> </w:t>
      </w:r>
      <w:r>
        <w:t xml:space="preserve">Van Delivery (Delivery Type)</w:t>
      </w:r>
    </w:p>
    <w:p>
      <w:pPr>
        <w:numPr>
          <w:ilvl w:val="0"/>
          <w:numId w:val="1014"/>
        </w:numPr>
        <w:pStyle w:val="Compact"/>
      </w:pPr>
      <w:r>
        <w:rPr>
          <w:bCs/>
          <w:b/>
        </w:rPr>
        <w:t xml:space="preserve">Assumed Last-Mile Distance:</w:t>
      </w:r>
      <w:r>
        <w:t xml:space="preserve"> </w:t>
      </w:r>
      <w:r>
        <w:t xml:space="preserve">50 km</w:t>
      </w:r>
    </w:p>
    <w:p>
      <w:pPr>
        <w:numPr>
          <w:ilvl w:val="0"/>
          <w:numId w:val="1014"/>
        </w:numPr>
        <w:pStyle w:val="Compact"/>
      </w:pPr>
      <w:r>
        <w:rPr>
          <w:bCs/>
          <w:b/>
        </w:rPr>
        <w:t xml:space="preserve">Last-Mile Van EF:</w:t>
      </w:r>
      <w:r>
        <w:t xml:space="preserve"> </w:t>
      </w:r>
      <w:r>
        <w:t xml:space="preserve">0.25 kg CO2e/km</w:t>
      </w:r>
    </w:p>
    <w:p>
      <w:pPr>
        <w:numPr>
          <w:ilvl w:val="0"/>
          <w:numId w:val="1014"/>
        </w:numPr>
        <w:pStyle w:val="Compact"/>
      </w:pPr>
      <w:r>
        <w:rPr>
          <w:bCs/>
          <w:b/>
        </w:rPr>
        <w:t xml:space="preserve">Last-Mile Delivery Emissions:</w:t>
      </w:r>
      <w:r>
        <w:t xml:space="preserve"> </w:t>
      </w:r>
      <w:r>
        <w:t xml:space="preserve">50 km * 0.25 kg CO2e/km = 12.5 kg CO2e</w:t>
      </w:r>
    </w:p>
    <w:p>
      <w:pPr>
        <w:pStyle w:val="FirstParagraph"/>
      </w:pPr>
      <w:r>
        <w:rPr>
          <w:bCs/>
          <w:b/>
        </w:rPr>
        <w:t xml:space="preserve">4. Use Phase:</w:t>
      </w:r>
    </w:p>
    <w:p>
      <w:pPr>
        <w:numPr>
          <w:ilvl w:val="0"/>
          <w:numId w:val="1015"/>
        </w:numPr>
        <w:pStyle w:val="Compact"/>
      </w:pPr>
      <w:r>
        <w:rPr>
          <w:bCs/>
          <w:b/>
        </w:rPr>
        <w:t xml:space="preserve">Product Lifespan:</w:t>
      </w:r>
      <w:r>
        <w:t xml:space="preserve"> </w:t>
      </w:r>
      <w:r>
        <w:t xml:space="preserve">5 years (qshsrmlmvm)</w:t>
      </w:r>
    </w:p>
    <w:p>
      <w:pPr>
        <w:numPr>
          <w:ilvl w:val="0"/>
          <w:numId w:val="1015"/>
        </w:numPr>
        <w:pStyle w:val="Compact"/>
      </w:pPr>
      <w:r>
        <w:rPr>
          <w:bCs/>
          <w:b/>
        </w:rPr>
        <w:t xml:space="preserve">Energy Consumption in Use:</w:t>
      </w:r>
      <w:r>
        <w:t xml:space="preserve"> </w:t>
      </w:r>
      <w:r>
        <w:t xml:space="preserve">20 kWh/year (ilipkumeur)</w:t>
      </w:r>
    </w:p>
    <w:p>
      <w:pPr>
        <w:numPr>
          <w:ilvl w:val="0"/>
          <w:numId w:val="1015"/>
        </w:numPr>
        <w:pStyle w:val="Compact"/>
      </w:pPr>
      <w:r>
        <w:rPr>
          <w:bCs/>
          <w:b/>
        </w:rPr>
        <w:t xml:space="preserve">Total Energy Consumption over Lifespan:</w:t>
      </w:r>
      <w:r>
        <w:t xml:space="preserve"> </w:t>
      </w:r>
      <w:r>
        <w:t xml:space="preserve">100 kWh</w:t>
      </w:r>
    </w:p>
    <w:p>
      <w:pPr>
        <w:numPr>
          <w:ilvl w:val="0"/>
          <w:numId w:val="1015"/>
        </w:numPr>
        <w:pStyle w:val="Compact"/>
      </w:pPr>
      <w:r>
        <w:rPr>
          <w:bCs/>
          <w:b/>
        </w:rPr>
        <w:t xml:space="preserve">European Average Electricity EF:</w:t>
      </w:r>
      <w:r>
        <w:t xml:space="preserve"> </w:t>
      </w:r>
      <w:r>
        <w:t xml:space="preserve">0.18 kg CO2e/kWh</w:t>
      </w:r>
    </w:p>
    <w:p>
      <w:pPr>
        <w:numPr>
          <w:ilvl w:val="0"/>
          <w:numId w:val="1015"/>
        </w:numPr>
        <w:pStyle w:val="Compact"/>
      </w:pPr>
      <w:r>
        <w:rPr>
          <w:bCs/>
          <w:b/>
        </w:rPr>
        <w:t xml:space="preserve">Use Phase Emissions:</w:t>
      </w:r>
      <w:r>
        <w:t xml:space="preserve"> </w:t>
      </w:r>
      <w:r>
        <w:t xml:space="preserve">100 kWh * 0.18 kg CO2e/kWh = 18.0 kg CO2e</w:t>
      </w:r>
    </w:p>
    <w:p>
      <w:pPr>
        <w:pStyle w:val="FirstParagraph"/>
      </w:pPr>
      <w:r>
        <w:rPr>
          <w:bCs/>
          <w:b/>
        </w:rPr>
        <w:t xml:space="preserve">5. End-of-Life (EoL):</w:t>
      </w:r>
    </w:p>
    <w:p>
      <w:pPr>
        <w:pStyle w:val="BodyText"/>
      </w:pPr>
      <w:r>
        <w:t xml:space="preserve">The recyclability percentage (whwktgwnsr: 80%) is applied to the potentially recyclable materials (metals and plastics). Non-recyclable components and the non-recycled portion are assumed to be landfilled. The circular/take-back programs (ntssoridsk: Yes, product refurbishment) indicate efforts to extend product life, potentially reducing the need for new production, but specific quantification beyond the recycling rate is not provided for direct calculation in this PCF. Its qualitative benefit is noted.</w:t>
      </w:r>
    </w:p>
    <w:p>
      <w:pPr>
        <w:numPr>
          <w:ilvl w:val="0"/>
          <w:numId w:val="1016"/>
        </w:numPr>
        <w:pStyle w:val="Compact"/>
      </w:pPr>
      <w:r>
        <w:rPr>
          <w:bCs/>
          <w:b/>
        </w:rPr>
        <w:t xml:space="preserve">Total Product Mass:</w:t>
      </w:r>
      <w:r>
        <w:t xml:space="preserve"> </w:t>
      </w:r>
      <w:r>
        <w:t xml:space="preserve">3.35 kg</w:t>
      </w:r>
    </w:p>
    <w:p>
      <w:pPr>
        <w:numPr>
          <w:ilvl w:val="0"/>
          <w:numId w:val="1016"/>
        </w:numPr>
        <w:pStyle w:val="Compact"/>
      </w:pPr>
      <w:r>
        <w:rPr>
          <w:bCs/>
          <w:b/>
        </w:rPr>
        <w:t xml:space="preserve">Potentially Recyclable Mass (Metals + Plastic):</w:t>
      </w:r>
      <w:r>
        <w:t xml:space="preserve"> </w:t>
      </w:r>
      <w:r>
        <w:t xml:space="preserve">1.75 kg (metals) + 0.8 kg (plastic) = 2.55 kg</w:t>
      </w:r>
    </w:p>
    <w:p>
      <w:pPr>
        <w:numPr>
          <w:ilvl w:val="0"/>
          <w:numId w:val="1016"/>
        </w:numPr>
        <w:pStyle w:val="Compact"/>
      </w:pPr>
      <w:r>
        <w:rPr>
          <w:bCs/>
          <w:b/>
        </w:rPr>
        <w:t xml:space="preserve">Non-Recyclable Mass (PCB, Battery, Packaging):</w:t>
      </w:r>
      <w:r>
        <w:t xml:space="preserve"> </w:t>
      </w:r>
      <w:r>
        <w:t xml:space="preserve">0.1 kg + 0.3 kg + 0.4 kg = 0.8 kg</w:t>
      </w:r>
    </w:p>
    <w:p>
      <w:pPr>
        <w:pStyle w:val="FirstParagraph"/>
      </w:pPr>
      <w:r>
        <w:rPr>
          <w:bCs/>
          <w:b/>
        </w:rPr>
        <w:t xml:space="preserve">Recycled Materials:</w:t>
      </w:r>
    </w:p>
    <w:p>
      <w:pPr>
        <w:numPr>
          <w:ilvl w:val="0"/>
          <w:numId w:val="1017"/>
        </w:numPr>
        <w:pStyle w:val="Compact"/>
      </w:pPr>
      <w:r>
        <w:rPr>
          <w:bCs/>
          <w:b/>
        </w:rPr>
        <w:t xml:space="preserve">Recycled Metals:</w:t>
      </w:r>
      <w:r>
        <w:t xml:space="preserve"> </w:t>
      </w:r>
      <w:r>
        <w:t xml:space="preserve">1.75 kg * 0.80 = 1.4 kg</w:t>
      </w:r>
    </w:p>
    <w:p>
      <w:pPr>
        <w:numPr>
          <w:ilvl w:val="0"/>
          <w:numId w:val="1017"/>
        </w:numPr>
        <w:pStyle w:val="Compact"/>
      </w:pPr>
      <w:r>
        <w:rPr>
          <w:bCs/>
          <w:b/>
        </w:rPr>
        <w:t xml:space="preserve">Avoided Emissions (Metals):</w:t>
      </w:r>
      <w:r>
        <w:t xml:space="preserve"> </w:t>
      </w:r>
      <w:r>
        <w:t xml:space="preserve">1.4 kg * (-2.0 kg CO2e/kg) = -2.8 kg CO2e</w:t>
      </w:r>
    </w:p>
    <w:p>
      <w:pPr>
        <w:numPr>
          <w:ilvl w:val="0"/>
          <w:numId w:val="1017"/>
        </w:numPr>
        <w:pStyle w:val="Compact"/>
      </w:pPr>
      <w:r>
        <w:rPr>
          <w:bCs/>
          <w:b/>
        </w:rPr>
        <w:t xml:space="preserve">Recycled Plastics:</w:t>
      </w:r>
      <w:r>
        <w:t xml:space="preserve"> </w:t>
      </w:r>
      <w:r>
        <w:t xml:space="preserve">0.8 kg * 0.80 = 0.64 kg</w:t>
      </w:r>
    </w:p>
    <w:p>
      <w:pPr>
        <w:numPr>
          <w:ilvl w:val="0"/>
          <w:numId w:val="1017"/>
        </w:numPr>
        <w:pStyle w:val="Compact"/>
      </w:pPr>
      <w:r>
        <w:rPr>
          <w:bCs/>
          <w:b/>
        </w:rPr>
        <w:t xml:space="preserve">Avoided Emissions (Plastics):</w:t>
      </w:r>
      <w:r>
        <w:t xml:space="preserve"> </w:t>
      </w:r>
      <w:r>
        <w:t xml:space="preserve">0.64 kg * (-1.5 kg CO2e/kg) = -0.96 kg CO2e</w:t>
      </w:r>
    </w:p>
    <w:p>
      <w:pPr>
        <w:pStyle w:val="FirstParagraph"/>
      </w:pPr>
      <w:r>
        <w:rPr>
          <w:bCs/>
          <w:b/>
        </w:rPr>
        <w:t xml:space="preserve">Landfilled Materials:</w:t>
      </w:r>
    </w:p>
    <w:p>
      <w:pPr>
        <w:numPr>
          <w:ilvl w:val="0"/>
          <w:numId w:val="1018"/>
        </w:numPr>
        <w:pStyle w:val="Compact"/>
      </w:pPr>
      <w:r>
        <w:rPr>
          <w:bCs/>
          <w:b/>
        </w:rPr>
        <w:t xml:space="preserve">Landfilled Plastics:</w:t>
      </w:r>
      <w:r>
        <w:t xml:space="preserve"> </w:t>
      </w:r>
      <w:r>
        <w:t xml:space="preserve">0.8 kg * 0.20 = 0.16 kg</w:t>
      </w:r>
    </w:p>
    <w:p>
      <w:pPr>
        <w:numPr>
          <w:ilvl w:val="0"/>
          <w:numId w:val="1018"/>
        </w:numPr>
        <w:pStyle w:val="Compact"/>
      </w:pPr>
      <w:r>
        <w:rPr>
          <w:bCs/>
          <w:b/>
        </w:rPr>
        <w:t xml:space="preserve">Landfill Emissions (Plastics):</w:t>
      </w:r>
      <w:r>
        <w:t xml:space="preserve"> </w:t>
      </w:r>
      <w:r>
        <w:t xml:space="preserve">0.16 kg * 0.033 kg CO2e/kg = 0.00528 kg CO2e</w:t>
      </w:r>
    </w:p>
    <w:p>
      <w:pPr>
        <w:numPr>
          <w:ilvl w:val="0"/>
          <w:numId w:val="1018"/>
        </w:numPr>
        <w:pStyle w:val="Compact"/>
      </w:pPr>
      <w:r>
        <w:rPr>
          <w:bCs/>
          <w:b/>
        </w:rPr>
        <w:t xml:space="preserve">Landfilled \'Other\' (PCB, Battery, Packaging):</w:t>
      </w:r>
      <w:r>
        <w:t xml:space="preserve"> </w:t>
      </w:r>
      <w:r>
        <w:t xml:space="preserve">0.8 kg</w:t>
      </w:r>
    </w:p>
    <w:p>
      <w:pPr>
        <w:numPr>
          <w:ilvl w:val="0"/>
          <w:numId w:val="1018"/>
        </w:numPr>
        <w:pStyle w:val="Compact"/>
      </w:pPr>
      <w:r>
        <w:rPr>
          <w:bCs/>
          <w:b/>
        </w:rPr>
        <w:t xml:space="preserve">Landfill Emissions (\'Other\'):</w:t>
      </w:r>
      <w:r>
        <w:t xml:space="preserve"> </w:t>
      </w:r>
      <w:r>
        <w:t xml:space="preserve">0.8 kg * 0.033 kg CO2e/kg = 0.0264 kg CO2e (using plastic landfill EF as a proxy)</w:t>
      </w:r>
    </w:p>
    <w:p>
      <w:pPr>
        <w:numPr>
          <w:ilvl w:val="0"/>
          <w:numId w:val="1018"/>
        </w:numPr>
        <w:pStyle w:val="Compact"/>
      </w:pPr>
      <w:r>
        <w:rPr>
          <w:bCs/>
          <w:b/>
        </w:rPr>
        <w:t xml:space="preserve">Landfilled Metals:</w:t>
      </w:r>
      <w:r>
        <w:t xml:space="preserve"> </w:t>
      </w:r>
      <w:r>
        <w:t xml:space="preserve">1.75 kg * 0.20 = 0.35 kg (Emissions from landfilling metals are considered negligible due to their inert nature)</w:t>
      </w:r>
    </w:p>
    <w:p>
      <w:pPr>
        <w:numPr>
          <w:ilvl w:val="0"/>
          <w:numId w:val="1019"/>
        </w:numPr>
        <w:pStyle w:val="Compact"/>
      </w:pPr>
      <w:r>
        <w:rPr>
          <w:bCs/>
          <w:b/>
        </w:rPr>
        <w:t xml:space="preserve">Total EoL Emissions:</w:t>
      </w:r>
      <w:r>
        <w:t xml:space="preserve"> </w:t>
      </w:r>
      <w:r>
        <w:t xml:space="preserve">(0.00528 + 0.0264) + (-2.8 - 0.96) = -3.72832 kg CO2e (Net benefit)</w:t>
      </w:r>
    </w:p>
    <w:bookmarkEnd w:id="34"/>
    <w:bookmarkEnd w:id="35"/>
    <w:bookmarkStart w:id="36" w:name="summary-of-ghg-emissions-by-scope"/>
    <w:p>
      <w:pPr>
        <w:pStyle w:val="Heading4"/>
      </w:pPr>
      <w:r>
        <w:t xml:space="preserve">Summary of 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26.1</w:t>
            </w:r>
          </w:p>
        </w:tc>
      </w:tr>
      <w:tr>
        <w:tc>
          <w:tcPr>
            <w:gridSpan w:val="1"/>
            <w:vMerge w:val="continue"/>
          </w:tcPr>
          <w:p>
            <w:pPr/>
          </w:p>
        </w:tc>
        <w:tc>
          <w:tcPr/>
          <w:p>
            <w:pPr>
              <w:pStyle w:val="Compact"/>
              <w:jc w:val="left"/>
            </w:pPr>
            <w:r>
              <w:t xml:space="preserve">Transportation (Primary, Upstream)</w:t>
            </w:r>
          </w:p>
        </w:tc>
        <w:tc>
          <w:tcPr/>
          <w:p>
            <w:pPr>
              <w:pStyle w:val="Compact"/>
              <w:jc w:val="left"/>
            </w:pPr>
            <w:r>
              <w:t xml:space="preserve">0.31</w:t>
            </w:r>
          </w:p>
        </w:tc>
      </w:tr>
      <w:tr>
        <w:tc>
          <w:tcPr>
            <w:gridSpan w:val="1"/>
            <w:vMerge w:val="continue"/>
          </w:tcPr>
          <w:p>
            <w:pPr/>
          </w:p>
        </w:tc>
        <w:tc>
          <w:tcPr/>
          <w:p>
            <w:pPr>
              <w:pStyle w:val="Compact"/>
              <w:jc w:val="left"/>
            </w:pPr>
            <w:r>
              <w:t xml:space="preserve">Transportation (Last-Mile, Downstream)</w:t>
            </w:r>
          </w:p>
        </w:tc>
        <w:tc>
          <w:tcPr/>
          <w:p>
            <w:pPr>
              <w:pStyle w:val="Compact"/>
              <w:jc w:val="left"/>
            </w:pPr>
            <w:r>
              <w:t xml:space="preserve">12.5</w:t>
            </w:r>
          </w:p>
        </w:tc>
      </w:tr>
      <w:tr>
        <w:tc>
          <w:tcPr>
            <w:gridSpan w:val="1"/>
            <w:vMerge w:val="continue"/>
          </w:tcPr>
          <w:p>
            <w:pPr/>
          </w:p>
        </w:tc>
        <w:tc>
          <w:tcPr/>
          <w:p>
            <w:pPr>
              <w:pStyle w:val="Compact"/>
              <w:jc w:val="left"/>
            </w:pPr>
            <w:r>
              <w:t xml:space="preserve">Use Phase (Downstream)</w:t>
            </w:r>
          </w:p>
        </w:tc>
        <w:tc>
          <w:tcPr/>
          <w:p>
            <w:pPr>
              <w:pStyle w:val="Compact"/>
              <w:jc w:val="left"/>
            </w:pPr>
            <w:r>
              <w:t xml:space="preserve">18.0</w:t>
            </w:r>
          </w:p>
        </w:tc>
      </w:tr>
      <w:tr>
        <w:tc>
          <w:tcPr/>
          <w:p>
            <w:pPr>
              <w:pStyle w:val="Compact"/>
              <w:jc w:val="left"/>
            </w:pPr>
            <w:r>
              <w:t xml:space="preserve">Scope 3 (Net Benefit)</w:t>
            </w:r>
          </w:p>
        </w:tc>
        <w:tc>
          <w:tcPr/>
          <w:p>
            <w:pPr>
              <w:pStyle w:val="Compact"/>
              <w:jc w:val="left"/>
            </w:pPr>
            <w:r>
              <w:t xml:space="preserve">End-of-Life (Downstream)</w:t>
            </w:r>
          </w:p>
        </w:tc>
        <w:tc>
          <w:tcPr/>
          <w:p>
            <w:pPr>
              <w:pStyle w:val="Compact"/>
              <w:jc w:val="left"/>
            </w:pPr>
            <w:r>
              <w:t xml:space="preserve">-3.73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83.18 kg CO2e</w:t>
            </w:r>
          </w:p>
        </w:tc>
      </w:tr>
    </w:tbl>
    <w:p>
      <w:pPr>
        <w:pStyle w:val="BodyText"/>
      </w:pPr>
      <w:r>
        <w:rPr>
          <w:iCs/>
          <w:i/>
        </w:rPr>
        <w:t xml:space="preserve">Note: Values rounded to two decimal places for summation.</w:t>
      </w:r>
    </w:p>
    <w:p>
      <w:pPr>
        <w:pStyle w:val="BodyText"/>
      </w:pPr>
      <w:r>
        <w:rPr>
          <w:bCs/>
          <w:b/>
        </w:rPr>
        <w:t xml:space="preserve">Detailed Calculation:</w:t>
      </w:r>
    </w:p>
    <w:p>
      <w:pPr>
        <w:numPr>
          <w:ilvl w:val="0"/>
          <w:numId w:val="1020"/>
        </w:numPr>
        <w:pStyle w:val="Compact"/>
      </w:pPr>
      <w:r>
        <w:t xml:space="preserve">Scope 1: 0.0 kg CO2e</w:t>
      </w:r>
    </w:p>
    <w:p>
      <w:pPr>
        <w:numPr>
          <w:ilvl w:val="0"/>
          <w:numId w:val="1020"/>
        </w:numPr>
        <w:pStyle w:val="Compact"/>
      </w:pPr>
      <w:r>
        <w:t xml:space="preserve">Scope 2: 30.0 kg CO2e</w:t>
      </w:r>
    </w:p>
    <w:p>
      <w:pPr>
        <w:numPr>
          <w:ilvl w:val="0"/>
          <w:numId w:val="1020"/>
        </w:numPr>
        <w:pStyle w:val="Compact"/>
      </w:pPr>
      <w:r>
        <w:t xml:space="preserve">Scope 3 (Upstream - Materials): 26.1 kg CO2e</w:t>
      </w:r>
    </w:p>
    <w:p>
      <w:pPr>
        <w:numPr>
          <w:ilvl w:val="0"/>
          <w:numId w:val="1020"/>
        </w:numPr>
        <w:pStyle w:val="Compact"/>
      </w:pPr>
      <w:r>
        <w:t xml:space="preserve">Scope 3 (Upstream - Transport): 0.3082 kg CO2e ≈ 0.31 kg CO2e</w:t>
      </w:r>
    </w:p>
    <w:p>
      <w:pPr>
        <w:numPr>
          <w:ilvl w:val="0"/>
          <w:numId w:val="1020"/>
        </w:numPr>
        <w:pStyle w:val="Compact"/>
      </w:pPr>
      <w:r>
        <w:t xml:space="preserve">Scope 3 (Downstream - Last-Mile): 12.5 kg CO2e</w:t>
      </w:r>
    </w:p>
    <w:p>
      <w:pPr>
        <w:numPr>
          <w:ilvl w:val="0"/>
          <w:numId w:val="1020"/>
        </w:numPr>
        <w:pStyle w:val="Compact"/>
      </w:pPr>
      <w:r>
        <w:t xml:space="preserve">Scope 3 (Downstream - Use Phase): 18.0 kg CO2e</w:t>
      </w:r>
    </w:p>
    <w:p>
      <w:pPr>
        <w:numPr>
          <w:ilvl w:val="0"/>
          <w:numId w:val="1020"/>
        </w:numPr>
        <w:pStyle w:val="Compact"/>
      </w:pPr>
      <w:r>
        <w:t xml:space="preserve">Scope 3 (Downstream - EoL): 0.00528 + 0.0264 - 2.8 - 0.96 = -3.72832 kg CO2e ≈ -3.73 kg CO2e</w:t>
      </w:r>
    </w:p>
    <w:p>
      <w:pPr>
        <w:pStyle w:val="FirstParagraph"/>
      </w:pPr>
      <w:r>
        <w:rPr>
          <w:bCs/>
          <w:b/>
        </w:rPr>
        <w:t xml:space="preserve">Total PCF:</w:t>
      </w:r>
      <w:r>
        <w:t xml:space="preserve"> </w:t>
      </w:r>
      <w:r>
        <w:t xml:space="preserve">0.0 + 30.0 + 26.1 + 0.3082 + 12.5 + 18.0 - 3.72832 = 83.17988 kg CO2e ≈ 83.18 kg CO2e.</w:t>
      </w:r>
    </w:p>
    <w:bookmarkEnd w:id="36"/>
    <w:bookmarkEnd w:id="37"/>
    <w:bookmarkStart w:id="38" w:name="application-of-2026-lsr-update"/>
    <w:p>
      <w:pPr>
        <w:pStyle w:val="Heading3"/>
      </w:pPr>
      <w:r>
        <w:t xml:space="preserve">Application of 2026 LSR Update</w:t>
      </w:r>
    </w:p>
    <w:p>
      <w:pPr>
        <w:pStyle w:val="FirstParagraph"/>
      </w:pPr>
      <w:r>
        <w:t xml:space="preserve">While specific land use data was not provided for this PCF, the 2026 Land Sector and Removals (LSR) Standard is acknowledged as crucial for a holistic assessment. Future iterations of this analysis should aim to incorporate direct and indirect land use change emissions and removals associated with raw material sourcing and product manufacturing, particularly concerning agricultural and forestry-based materials. The current BOM does not explicitly contain such materials, thus direct quantification under LSR is not performed here but is noted for future enhancements.</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primary emission hotspots for dowvlddkst are:</w:t>
      </w:r>
    </w:p>
    <w:p>
      <w:pPr>
        <w:numPr>
          <w:ilvl w:val="0"/>
          <w:numId w:val="1021"/>
        </w:numPr>
        <w:pStyle w:val="Compact"/>
      </w:pPr>
      <w:r>
        <w:rPr>
          <w:bCs/>
          <w:b/>
        </w:rPr>
        <w:t xml:space="preserve">Production Phase (Scope 2):</w:t>
      </w:r>
      <w:r>
        <w:t xml:space="preserve"> </w:t>
      </w:r>
      <w:r>
        <w:t xml:space="preserve">At 30.0 kg CO2e, the purchased electricity for manufacturing in China, even with 50% renewable energy usage, represents a significant portion of the footprint. Decarbonizing the remaining non-renewable electricity is critical.</w:t>
      </w:r>
    </w:p>
    <w:p>
      <w:pPr>
        <w:numPr>
          <w:ilvl w:val="0"/>
          <w:numId w:val="1021"/>
        </w:numPr>
        <w:pStyle w:val="Compact"/>
      </w:pPr>
      <w:r>
        <w:rPr>
          <w:bCs/>
          <w:b/>
        </w:rPr>
        <w:t xml:space="preserve">Material Acquisition (Scope 3):</w:t>
      </w:r>
      <w:r>
        <w:t xml:space="preserve"> </w:t>
      </w:r>
      <w:r>
        <w:t xml:space="preserve">With 26.1 kg CO2e, the raw materials, particularly the Lithium-ion Battery and Aluminum Casing, are substantial contributors. Efforts in material efficiency, lightweighting, and sourcing lower-carbon alternatives or recycled content are highly recommended.</w:t>
      </w:r>
    </w:p>
    <w:p>
      <w:pPr>
        <w:numPr>
          <w:ilvl w:val="0"/>
          <w:numId w:val="1021"/>
        </w:numPr>
        <w:pStyle w:val="Compact"/>
      </w:pPr>
      <w:r>
        <w:rPr>
          <w:bCs/>
          <w:b/>
        </w:rPr>
        <w:t xml:space="preserve">Downstream Transportation (Scope 3 - Last-Mile):</w:t>
      </w:r>
      <w:r>
        <w:t xml:space="preserve"> </w:t>
      </w:r>
      <w:r>
        <w:t xml:space="preserve">The 12.5 kg CO2e from last-mile delivery indicates that optimizing logistics, using more efficient vehicles, or exploring local distribution models could yield significant reductions.</w:t>
      </w:r>
    </w:p>
    <w:p>
      <w:pPr>
        <w:numPr>
          <w:ilvl w:val="0"/>
          <w:numId w:val="1021"/>
        </w:numPr>
        <w:pStyle w:val="Compact"/>
      </w:pPr>
      <w:r>
        <w:rPr>
          <w:bCs/>
          <w:b/>
        </w:rPr>
        <w:t xml:space="preserve">Use Phase (Scope 3):</w:t>
      </w:r>
      <w:r>
        <w:t xml:space="preserve"> </w:t>
      </w:r>
      <w:r>
        <w:t xml:space="preserve">The 18.0 kg CO2e during the 5-year lifespan highlights the importance of product energy efficiency during its operational life.</w:t>
      </w:r>
    </w:p>
    <w:p>
      <w:pPr>
        <w:numPr>
          <w:ilvl w:val="0"/>
          <w:numId w:val="1021"/>
        </w:numPr>
        <w:pStyle w:val="Compact"/>
      </w:pPr>
      <w:r>
        <w:rPr>
          <w:bCs/>
          <w:b/>
        </w:rPr>
        <w:t xml:space="preserve">End-of-Life (Scope 3):</w:t>
      </w:r>
      <w:r>
        <w:t xml:space="preserve"> </w:t>
      </w:r>
      <w:r>
        <w:t xml:space="preserve">The net benefit of -3.73 kg CO2e from recycling demonstrates the positive impact of the high recyclability percentage and circular economy efforts. Maintaining and improving these programs will be vital.</w:t>
      </w:r>
    </w:p>
    <w:bookmarkEnd w:id="40"/>
    <w:bookmarkStart w:id="41" w:name="reliability-statement"/>
    <w:p>
      <w:pPr>
        <w:pStyle w:val="Heading3"/>
      </w:pPr>
      <w:r>
        <w:t xml:space="preserve">Reliability Statement</w:t>
      </w:r>
    </w:p>
    <w:p>
      <w:pPr>
        <w:pStyle w:val="FirstParagraph"/>
      </w:pPr>
      <w:r>
        <w:t xml:space="preserve">This report is based on a combination of specific primary data (BOM, energy usage, lifespan) and secondary industry-average emission factors. The accuracy of the results is highly dependent on the quality and representativeness of these emission factors and the assumptions made for placeholder data (e.g., transport mode, distance, last-mile distance, energy intensity of use phase). While efforts have been made to use up-to-date and appropriate factors, actual emissions may vary. The 95% Scope 3 coverage target ensures a comprehensive assessment of the value chain. Continuous efforts to gather primary data and refine emission factors will further enhance the reliability of future PCF analyses.</w:t>
      </w:r>
    </w:p>
    <w:p>
      <w:r>
        <w:pict>
          <v:rect style="width:0;height:1.5pt" o:hralign="center" o:hrstd="t" o:hr="t"/>
        </w:pict>
      </w:r>
    </w:p>
    <w:p>
      <w:pPr>
        <w:pStyle w:val="FirstParagraph"/>
      </w:pPr>
      <w:r>
        <w:t xml:space="preserve">End of Report</w:t>
      </w:r>
    </w:p>
    <w:p>
      <w:pPr>
        <w:pStyle w:val="BodyText"/>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dowvlddkst</dc:title>
  <dc:creator/>
  <dc:description>Detailed Product Carbon Footprint (PCF) analysis report for dowvlddkst, conducted by Senior Sustainability Consultant lwmhsjmfwl for ymeimwyqyq, adhering to GHG Protocol standards and 2026 LSR updates.</dc:description>
  <dc:language>en</dc:language>
  <cp:keywords/>
  <dcterms:created xsi:type="dcterms:W3CDTF">2026-07-15T02:05:28Z</dcterms:created>
  <dcterms:modified xsi:type="dcterms:W3CDTF">2026-07-15T02:05:28Z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