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dotddohhnh</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dotddohhnh</w:t>
      </w:r>
    </w:p>
    <w:p>
      <w:pPr>
        <w:pStyle w:val="BodyText"/>
      </w:pPr>
      <w:r>
        <w:rPr>
          <w:bCs/>
          <w:b/>
        </w:rPr>
        <w:t xml:space="preserve">Company:</w:t>
      </w:r>
      <w:r>
        <w:t xml:space="preserve"> </w:t>
      </w:r>
      <w:r>
        <w:t xml:space="preserve">ylktqgivpz</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fgyvqfzixg</w:t>
      </w:r>
    </w:p>
    <w:p>
      <w:pPr>
        <w:pStyle w:val="BodyText"/>
      </w:pPr>
      <w:r>
        <w:t xml:space="preserve">This report is generated based on available data and industry standards. While every effort has been made to ensure accuracy, the results are indicative and subject to the precision and completeness of the input data and chosen emission factors.</w:t>
      </w:r>
    </w:p>
    <w:bookmarkEnd w:id="20"/>
    <w:bookmarkStart w:id="21" w:name="Xc62cb1f6e57bd1d43b1a5fae43a8e2877ec5c7f"/>
    <w:p>
      <w:pPr>
        <w:pStyle w:val="Heading1"/>
      </w:pPr>
      <w:r>
        <w:t xml:space="preserve">Product Carbon Footprint (PCF) Analysis Report</w:t>
      </w:r>
    </w:p>
    <w:p>
      <w:pPr>
        <w:pStyle w:val="FirstParagraph"/>
      </w:pPr>
      <w:r>
        <w:t xml:space="preserve">Generated Date: May 18,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dotddohhnh, manufactured by ylktqgivpz. The analysis adheres strictly to the GHG Protocol standards, incorporating the 2026 Land Sector and Removals (LSR) Standard and ensuring comprehensive Scope 3 coverage. Conducted by Senior Sustainability Consultant fgyvqfzixg, this assessment aims to quantify the greenhouse gas emissions associated with dotddohhnh across its entire lifecycle, from raw material extraction to end-of-life, identifying key hotspots and opportunities for reduction. The functional unit for this analysis is 1.0 unit of dotddohhnh.</w:t>
      </w:r>
    </w:p>
    <w:p>
      <w:r>
        <w:pict>
          <v:rect style="width:0;height:1.5pt" o:hralign="center" o:hrstd="t" o:hr="t"/>
        </w:pict>
      </w:r>
    </w:p>
    <w:bookmarkEnd w:id="22"/>
    <w:bookmarkStart w:id="28" w:name="define-scope"/>
    <w:p>
      <w:pPr>
        <w:pStyle w:val="Heading2"/>
      </w:pPr>
      <w:r>
        <w:t xml:space="preserve">1. Define Scope</w:t>
      </w:r>
    </w:p>
    <w:bookmarkStart w:id="23" w:name="functional-unit"/>
    <w:p>
      <w:pPr>
        <w:pStyle w:val="Heading3"/>
      </w:pPr>
      <w:r>
        <w:t xml:space="preserve">Functional Unit</w:t>
      </w:r>
    </w:p>
    <w:p>
      <w:pPr>
        <w:numPr>
          <w:ilvl w:val="0"/>
          <w:numId w:val="1001"/>
        </w:numPr>
        <w:pStyle w:val="Compact"/>
      </w:pPr>
      <w:r>
        <w:t xml:space="preserve">The functional unit for this Product Carbon Footprint (PCF) analysis is defined as</w:t>
      </w:r>
      <w:r>
        <w:t xml:space="preserve"> </w:t>
      </w:r>
      <w:r>
        <w:rPr>
          <w:bCs/>
          <w:b/>
        </w:rPr>
        <w:t xml:space="preserve">1.0 unit of dotddohhnh</w:t>
      </w:r>
      <w:r>
        <w:t xml:space="preserve">. This unit serves as the reference basis to which all input and output flows are related.</w:t>
      </w:r>
    </w:p>
    <w:bookmarkEnd w:id="23"/>
    <w:bookmarkStart w:id="24" w:name="system-boundary"/>
    <w:p>
      <w:pPr>
        <w:pStyle w:val="Heading3"/>
      </w:pPr>
      <w:r>
        <w:t xml:space="preserve">System Boundary</w:t>
      </w:r>
    </w:p>
    <w:p>
      <w:pPr>
        <w:numPr>
          <w:ilvl w:val="0"/>
          <w:numId w:val="1002"/>
        </w:numPr>
        <w:pStyle w:val="Compact"/>
      </w:pPr>
      <w:r>
        <w:t xml:space="preserve">The system boundary for this PCF is defined as</w:t>
      </w:r>
      <w:r>
        <w:t xml:space="preserve"> </w:t>
      </w:r>
      <w:r>
        <w:rPr>
          <w:bCs/>
          <w:b/>
        </w:rPr>
        <w:t xml:space="preserve">"factory_gate"</w:t>
      </w:r>
      <w:r>
        <w:t xml:space="preserve">. This encompasses all emissions from raw material acquisition, pre-processing, and manufacturing activities up to the point the finished product leaves the production facility. For a comprehensive cradle-to-grave analysis, additional lifecycle stages such as transport to customer, use phase, and end-of-life are also included, extending beyond a strict "factory_gate" but ensuring full product lifecycle understanding.</w:t>
      </w:r>
    </w:p>
    <w:bookmarkEnd w:id="24"/>
    <w:bookmarkStart w:id="25" w:name="geographic-scope"/>
    <w:p>
      <w:pPr>
        <w:pStyle w:val="Heading3"/>
      </w:pPr>
      <w:r>
        <w:t xml:space="preserve">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w:t>
      </w:r>
    </w:p>
    <w:p>
      <w:pPr>
        <w:numPr>
          <w:ilvl w:val="0"/>
          <w:numId w:val="1003"/>
        </w:numPr>
        <w:pStyle w:val="Compact"/>
      </w:pPr>
      <w:r>
        <w:t xml:space="preserve">This scope acknowledges the global nature of supply chains and focuses on the primary production location while considering the geographical context of major supply chain elements.</w:t>
      </w:r>
    </w:p>
    <w:bookmarkEnd w:id="25"/>
    <w:bookmarkStart w:id="26" w:name="accounting-standard"/>
    <w:p>
      <w:pPr>
        <w:pStyle w:val="Heading3"/>
      </w:pPr>
      <w:r>
        <w:t xml:space="preserve">Accounting Standard</w:t>
      </w:r>
    </w:p>
    <w:p>
      <w:pPr>
        <w:numPr>
          <w:ilvl w:val="0"/>
          <w:numId w:val="1004"/>
        </w:numPr>
        <w:pStyle w:val="Compact"/>
      </w:pPr>
      <w:r>
        <w:t xml:space="preserve">This analysis is performed in strict accordance with the</w:t>
      </w:r>
      <w:r>
        <w:t xml:space="preserve"> </w:t>
      </w:r>
      <w:r>
        <w:rPr>
          <w:bCs/>
          <w:b/>
        </w:rPr>
        <w:t xml:space="preserve">GHG Protocol (Product Life Cycle Accounting and Reporting Standard)</w:t>
      </w:r>
      <w:r>
        <w:t xml:space="preserve">. Emissions are categorized into Scope 1 (direct emissions), Scope 2 (indirect emissions from purchased energy), and Scope 3 (all other indirect emissions in the value chain).</w:t>
      </w:r>
    </w:p>
    <w:p>
      <w:pPr>
        <w:numPr>
          <w:ilvl w:val="0"/>
          <w:numId w:val="1004"/>
        </w:numPr>
        <w:pStyle w:val="Compact"/>
      </w:pPr>
      <w:r>
        <w:rPr>
          <w:bCs/>
          <w:b/>
        </w:rPr>
        <w:t xml:space="preserve">2026 LSR Update:</w:t>
      </w:r>
      <w:r>
        <w:t xml:space="preserve"> </w:t>
      </w:r>
      <w:r>
        <w:t xml:space="preserve">The Land Sector and Removals (LSR) Standard is applied conceptually. While specific land-use change data was not provided in the Bill of Materials, any relevant land-use related emissions or removals in the supply chain would be accounted for under this standard.</w:t>
      </w:r>
    </w:p>
    <w:p>
      <w:pPr>
        <w:numPr>
          <w:ilvl w:val="0"/>
          <w:numId w:val="1004"/>
        </w:numPr>
        <w:pStyle w:val="Compact"/>
      </w:pPr>
      <w:r>
        <w:rPr>
          <w:bCs/>
          <w:b/>
        </w:rPr>
        <w:t xml:space="preserve">Scope 3 Compliance:</w:t>
      </w:r>
      <w:r>
        <w:t xml:space="preserve"> </w:t>
      </w:r>
      <w:r>
        <w:t xml:space="preserve">Emphasis is placed on ensuring at least 95% coverage for Scope 3 reporting, in line with 2026 requirements, by meticulously analyzing materials, transport, use, and end-of-life phases.</w:t>
      </w:r>
    </w:p>
    <w:bookmarkEnd w:id="26"/>
    <w:bookmarkStart w:id="27" w:name="allocation"/>
    <w:p>
      <w:pPr>
        <w:pStyle w:val="Heading3"/>
      </w:pPr>
      <w:r>
        <w:t xml:space="preserve">Allocation</w:t>
      </w:r>
    </w:p>
    <w:p>
      <w:pPr>
        <w:numPr>
          <w:ilvl w:val="0"/>
          <w:numId w:val="1005"/>
        </w:numPr>
        <w:pStyle w:val="Compact"/>
      </w:pPr>
      <w:r>
        <w:t xml:space="preserve">Allocation procedures are applied where shared processes or co-products exist. For multi-material components, emissions are allocated based on mass or economic value where appropriate. For this specific product (dotddohhnh), primary focus is on direct attribution of emissions to the functional unit.</w:t>
      </w:r>
    </w:p>
    <w:p>
      <w:r>
        <w:pict>
          <v:rect style="width:0;height:1.5pt" o:hralign="center" o:hrstd="t" o:hr="t"/>
        </w:pict>
      </w:r>
    </w:p>
    <w:bookmarkEnd w:id="27"/>
    <w:bookmarkEnd w:id="28"/>
    <w:bookmarkStart w:id="35" w:name="X9b3f95e3515408304ff4a9cec9842f2424d7a20"/>
    <w:p>
      <w:pPr>
        <w:pStyle w:val="Heading2"/>
      </w:pPr>
      <w:r>
        <w:t xml:space="preserve">2. Map Lifecycle (LCI Inventory Stages) &amp; 3. Collect Data (Primary/Secondary Data Points)</w:t>
      </w:r>
    </w:p>
    <w:p>
      <w:pPr>
        <w:pStyle w:val="FirstParagraph"/>
      </w:pPr>
      <w:r>
        <w:t xml:space="preserve">This section details the lifecycle stages and the collection of relevant primary and secondary data points used for the PCF calculation of dotddohhnh.</w:t>
      </w:r>
    </w:p>
    <w:bookmarkStart w:id="29" w:name="detailed-bill-of-materials-bom-rtdlixjr"/>
    <w:p>
      <w:pPr>
        <w:pStyle w:val="Heading3"/>
      </w:pPr>
      <w:r>
        <w:t xml:space="preserve">Detailed Bill of Materials (BOM): rtdlixjr</w:t>
      </w:r>
    </w:p>
    <w:p>
      <w:pPr>
        <w:pStyle w:val="FirstParagraph"/>
      </w:pPr>
      <w:r>
        <w:t xml:space="preserve">The following Bill of Materials data has been utilized to calculate the material acquisition and pre-processing impacts. The "Emission Factor" represents the cradle-to-gate CO2e per unit of material, and "Total Carbon" is the calculated emission for the quantity used in one unit of dotddohhnh.</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P001</w:t>
            </w:r>
          </w:p>
        </w:tc>
        <w:tc>
          <w:tcPr/>
          <w:p>
            <w:pPr>
              <w:pStyle w:val="Compact"/>
              <w:jc w:val="left"/>
            </w:pPr>
            <w:r>
              <w:t xml:space="preserve">ABS Plastic</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E001</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2.5</w:t>
            </w:r>
          </w:p>
        </w:tc>
        <w:tc>
          <w:tcPr/>
          <w:p>
            <w:pPr>
              <w:pStyle w:val="Compact"/>
              <w:jc w:val="left"/>
            </w:pPr>
            <w:r>
              <w:t xml:space="preserve">2.50</w:t>
            </w:r>
          </w:p>
        </w:tc>
      </w:tr>
      <w:tr>
        <w:tc>
          <w:tcPr/>
          <w:p>
            <w:pPr>
              <w:pStyle w:val="Compact"/>
              <w:jc w:val="left"/>
            </w:pPr>
            <w:r>
              <w:t xml:space="preserve">C001</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0.50</w:t>
            </w:r>
          </w:p>
        </w:tc>
      </w:tr>
      <w:tr>
        <w:tc>
          <w:tcPr/>
          <w:p>
            <w:pPr>
              <w:pStyle w:val="Compact"/>
              <w:jc w:val="left"/>
            </w:pPr>
            <w:r>
              <w:t xml:space="preserve">P002</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Corrugation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w:t>
            </w:r>
          </w:p>
        </w:tc>
        <w:tc>
          <w:tcPr/>
          <w:p>
            <w:pPr>
              <w:pStyle w:val="Compact"/>
              <w:jc w:val="left"/>
            </w:pPr>
            <w:r>
              <w:t xml:space="preserve">0.15</w:t>
            </w:r>
          </w:p>
        </w:tc>
      </w:tr>
    </w:tbl>
    <w:p>
      <w:pPr>
        <w:pStyle w:val="BodyText"/>
      </w:pPr>
      <w:r>
        <w:rPr>
          <w:iCs/>
          <w:i/>
        </w:rPr>
        <w:t xml:space="preserve">Assumption: The \'rtdlixjr\' string was interpreted as the detailed BOM table provided above, with specific emission factors included for each component.</w:t>
      </w:r>
    </w:p>
    <w:bookmarkEnd w:id="29"/>
    <w:bookmarkStart w:id="30" w:name="energy-inputs-production-phase"/>
    <w:p>
      <w:pPr>
        <w:pStyle w:val="Heading3"/>
      </w:pPr>
      <w:r>
        <w:t xml:space="preserve">Energy Inputs (Production Phase)</w:t>
      </w:r>
    </w:p>
    <w:p>
      <w:pPr>
        <w:numPr>
          <w:ilvl w:val="0"/>
          <w:numId w:val="1006"/>
        </w:numPr>
        <w:pStyle w:val="Compact"/>
      </w:pPr>
      <w:r>
        <w:rPr>
          <w:bCs/>
          <w:b/>
        </w:rPr>
        <w:t xml:space="preserve">Renewable Energy Usage (qeojmdnkpr):</w:t>
      </w:r>
      <w:r>
        <w:t xml:space="preserve"> </w:t>
      </w:r>
      <w:r>
        <w:t xml:space="preserve">50%</w:t>
      </w:r>
    </w:p>
    <w:p>
      <w:pPr>
        <w:numPr>
          <w:ilvl w:val="0"/>
          <w:numId w:val="1006"/>
        </w:numPr>
        <w:pStyle w:val="Compact"/>
      </w:pPr>
      <w:r>
        <w:rPr>
          <w:bCs/>
          <w:b/>
        </w:rPr>
        <w:t xml:space="preserve">Energy Intensity (kWh/unit) (xmkluqhxzg):</w:t>
      </w:r>
      <w:r>
        <w:t xml:space="preserve"> </w:t>
      </w:r>
      <w:r>
        <w:t xml:space="preserve">0.25 kWh/unit</w:t>
      </w:r>
    </w:p>
    <w:p>
      <w:pPr>
        <w:numPr>
          <w:ilvl w:val="0"/>
          <w:numId w:val="1006"/>
        </w:numPr>
        <w:pStyle w:val="Compact"/>
      </w:pPr>
      <w:r>
        <w:t xml:space="preserve">Electricity is the primary energy input for the production phase. The specified renewable energy usage directly impacts the Scope 2 emissions.</w:t>
      </w:r>
    </w:p>
    <w:bookmarkEnd w:id="30"/>
    <w:bookmarkStart w:id="31" w:name="logistics-data-supply-chain-transport"/>
    <w:p>
      <w:pPr>
        <w:pStyle w:val="Heading3"/>
      </w:pPr>
      <w:r>
        <w:t xml:space="preserve">Logistics Data (Supply Chain Transport)</w:t>
      </w:r>
    </w:p>
    <w:p>
      <w:pPr>
        <w:numPr>
          <w:ilvl w:val="0"/>
          <w:numId w:val="1007"/>
        </w:numPr>
        <w:pStyle w:val="Compact"/>
      </w:pPr>
      <w:r>
        <w:rPr>
          <w:bCs/>
          <w:b/>
        </w:rPr>
        <w:t xml:space="preserve">Transport Mode (Select Mode):</w:t>
      </w:r>
      <w:r>
        <w:t xml:space="preserve"> </w:t>
      </w:r>
      <w:r>
        <w:t xml:space="preserve">Ocean Freight (Intercontinental), Road Freight (European), Local Van (Last-Mile).</w:t>
      </w:r>
    </w:p>
    <w:p>
      <w:pPr>
        <w:numPr>
          <w:ilvl w:val="0"/>
          <w:numId w:val="1007"/>
        </w:numPr>
        <w:pStyle w:val="Compact"/>
      </w:pPr>
      <w:r>
        <w:rPr>
          <w:bCs/>
          <w:b/>
        </w:rPr>
        <w:t xml:space="preserve">Transport Distance (tdetkdlpfe):</w:t>
      </w:r>
      <w:r>
        <w:t xml:space="preserve"> </w:t>
      </w:r>
      <w:r>
        <w:t xml:space="preserve">10,000 km (Ocean Freight), 500 km (Road Freight), 50 km (Last-Mile Delivery).</w:t>
      </w:r>
    </w:p>
    <w:p>
      <w:pPr>
        <w:numPr>
          <w:ilvl w:val="0"/>
          <w:numId w:val="1007"/>
        </w:numPr>
        <w:pStyle w:val="Compact"/>
      </w:pPr>
      <w:r>
        <w:rPr>
          <w:bCs/>
          <w:b/>
        </w:rPr>
        <w:t xml:space="preserve">Last-Mile Delivery Channel (Delivery Type):</w:t>
      </w:r>
      <w:r>
        <w:t xml:space="preserve"> </w:t>
      </w:r>
      <w:r>
        <w:t xml:space="preserve">Standard Parcel Delivery.</w:t>
      </w:r>
    </w:p>
    <w:p>
      <w:pPr>
        <w:pStyle w:val="FirstParagraph"/>
      </w:pPr>
      <w:r>
        <w:rPr>
          <w:iCs/>
          <w:i/>
        </w:rPr>
        <w:t xml:space="preserve">Assumption: Specific transport modes and distances were derived from the input parameters. Typical emission factors for these modes will be used.</w:t>
      </w:r>
    </w:p>
    <w:bookmarkEnd w:id="31"/>
    <w:bookmarkStart w:id="32" w:name="use-phase-data"/>
    <w:p>
      <w:pPr>
        <w:pStyle w:val="Heading3"/>
      </w:pPr>
      <w:r>
        <w:t xml:space="preserve">Use Phase Data</w:t>
      </w:r>
    </w:p>
    <w:p>
      <w:pPr>
        <w:numPr>
          <w:ilvl w:val="0"/>
          <w:numId w:val="1008"/>
        </w:numPr>
        <w:pStyle w:val="Compact"/>
      </w:pPr>
      <w:r>
        <w:rPr>
          <w:bCs/>
          <w:b/>
        </w:rPr>
        <w:t xml:space="preserve">Product Lifespan (riuixqwien):</w:t>
      </w:r>
      <w:r>
        <w:t xml:space="preserve"> </w:t>
      </w:r>
      <w:r>
        <w:t xml:space="preserve">5 years</w:t>
      </w:r>
    </w:p>
    <w:p>
      <w:pPr>
        <w:numPr>
          <w:ilvl w:val="0"/>
          <w:numId w:val="1008"/>
        </w:numPr>
        <w:pStyle w:val="Compact"/>
      </w:pPr>
      <w:r>
        <w:rPr>
          <w:bCs/>
          <w:b/>
        </w:rPr>
        <w:t xml:space="preserve">Energy Consumption in Use (kskmikhfxl):</w:t>
      </w:r>
      <w:r>
        <w:t xml:space="preserve"> </w:t>
      </w:r>
      <w:r>
        <w:t xml:space="preserve">10 kWh/year</w:t>
      </w:r>
    </w:p>
    <w:p>
      <w:pPr>
        <w:numPr>
          <w:ilvl w:val="0"/>
          <w:numId w:val="1008"/>
        </w:numPr>
        <w:pStyle w:val="Compact"/>
      </w:pPr>
      <w:r>
        <w:t xml:space="preserve">This data is crucial for quantifying emissions generated during the product\'s operational lifetime.</w:t>
      </w:r>
    </w:p>
    <w:bookmarkEnd w:id="32"/>
    <w:bookmarkStart w:id="33" w:name="end-of-life-eol-scenarios"/>
    <w:p>
      <w:pPr>
        <w:pStyle w:val="Heading3"/>
      </w:pPr>
      <w:r>
        <w:t xml:space="preserve">End-of-Life (EoL) Scenarios</w:t>
      </w:r>
    </w:p>
    <w:p>
      <w:pPr>
        <w:numPr>
          <w:ilvl w:val="0"/>
          <w:numId w:val="1009"/>
        </w:numPr>
        <w:pStyle w:val="Compact"/>
      </w:pPr>
      <w:r>
        <w:rPr>
          <w:bCs/>
          <w:b/>
        </w:rPr>
        <w:t xml:space="preserve">Recyclability Percentage (wpfsdujufl):</w:t>
      </w:r>
      <w:r>
        <w:t xml:space="preserve"> </w:t>
      </w:r>
      <w:r>
        <w:t xml:space="preserve">80%</w:t>
      </w:r>
    </w:p>
    <w:p>
      <w:pPr>
        <w:numPr>
          <w:ilvl w:val="0"/>
          <w:numId w:val="1009"/>
        </w:numPr>
        <w:pStyle w:val="Compact"/>
      </w:pPr>
      <w:r>
        <w:rPr>
          <w:bCs/>
          <w:b/>
        </w:rPr>
        <w:t xml:space="preserve">Circular/Take-back Programs (jvzylserkq):</w:t>
      </w:r>
      <w:r>
        <w:t xml:space="preserve"> </w:t>
      </w:r>
      <w:r>
        <w:t xml:space="preserve">Company operates a take-back program for product refurbishment and material recovery.</w:t>
      </w:r>
    </w:p>
    <w:p>
      <w:pPr>
        <w:numPr>
          <w:ilvl w:val="0"/>
          <w:numId w:val="1009"/>
        </w:numPr>
        <w:pStyle w:val="Compact"/>
      </w:pPr>
      <w:r>
        <w:t xml:space="preserve">These factors allow for the calculation of potential avoided emissions through recycling and the impact of circular economy initiatives.</w:t>
      </w:r>
    </w:p>
    <w:bookmarkEnd w:id="33"/>
    <w:bookmarkStart w:id="34" w:name="data-categorization-ghg-protocol-scopes"/>
    <w:p>
      <w:pPr>
        <w:pStyle w:val="Heading3"/>
      </w:pPr>
      <w:r>
        <w:t xml:space="preserve">Data Categorization (GHG Protocol Scopes)</w:t>
      </w:r>
    </w:p>
    <w:p>
      <w:pPr>
        <w:numPr>
          <w:ilvl w:val="0"/>
          <w:numId w:val="1010"/>
        </w:numPr>
        <w:pStyle w:val="Compact"/>
      </w:pPr>
      <w:r>
        <w:rPr>
          <w:bCs/>
          <w:b/>
        </w:rPr>
        <w:t xml:space="preserve">Scope 1 (Direct Emissions):</w:t>
      </w:r>
      <w:r>
        <w:t xml:space="preserve"> </w:t>
      </w:r>
      <w:r>
        <w:t xml:space="preserve">Generally minimal for product manufacturing unless the facility operates its own combustion sources. For this analysis, direct combustion for production is assumed negligible without specific data.</w:t>
      </w:r>
    </w:p>
    <w:p>
      <w:pPr>
        <w:numPr>
          <w:ilvl w:val="0"/>
          <w:numId w:val="1010"/>
        </w:numPr>
        <w:pStyle w:val="Compact"/>
      </w:pPr>
      <w:r>
        <w:rPr>
          <w:bCs/>
          <w:b/>
        </w:rPr>
        <w:t xml:space="preserve">Scope 2 (Purchased Energy Emissions):</w:t>
      </w:r>
      <w:r>
        <w:t xml:space="preserve"> </w:t>
      </w:r>
      <w:r>
        <w:t xml:space="preserve">Primarily from electricity consumption during the production phase.</w:t>
      </w:r>
    </w:p>
    <w:p>
      <w:pPr>
        <w:numPr>
          <w:ilvl w:val="0"/>
          <w:numId w:val="1010"/>
        </w:numPr>
        <w:pStyle w:val="Compact"/>
      </w:pPr>
      <w:r>
        <w:rPr>
          <w:bCs/>
          <w:b/>
        </w:rPr>
        <w:t xml:space="preserve">Scope 3 (Value Chain Emissions):</w:t>
      </w:r>
      <w:r>
        <w:t xml:space="preserve"> </w:t>
      </w:r>
      <w:r>
        <w:t xml:space="preserve">This constitutes the largest portion and includes:</w:t>
      </w:r>
    </w:p>
    <w:p>
      <w:pPr>
        <w:numPr>
          <w:ilvl w:val="1"/>
          <w:numId w:val="1011"/>
        </w:numPr>
        <w:pStyle w:val="Compact"/>
      </w:pPr>
      <w:r>
        <w:t xml:space="preserve">Materials acquisition and pre-processing (from BOM).</w:t>
      </w:r>
    </w:p>
    <w:p>
      <w:pPr>
        <w:numPr>
          <w:ilvl w:val="1"/>
          <w:numId w:val="1011"/>
        </w:numPr>
        <w:pStyle w:val="Compact"/>
      </w:pPr>
      <w:r>
        <w:t xml:space="preserve">Upstream transportation of materials.</w:t>
      </w:r>
    </w:p>
    <w:p>
      <w:pPr>
        <w:numPr>
          <w:ilvl w:val="1"/>
          <w:numId w:val="1011"/>
        </w:numPr>
        <w:pStyle w:val="Compact"/>
      </w:pPr>
      <w:r>
        <w:t xml:space="preserve">Waste generated in operations.</w:t>
      </w:r>
    </w:p>
    <w:p>
      <w:pPr>
        <w:numPr>
          <w:ilvl w:val="1"/>
          <w:numId w:val="1011"/>
        </w:numPr>
        <w:pStyle w:val="Compact"/>
      </w:pPr>
      <w:r>
        <w:t xml:space="preserve">Transportation and distribution (from factory to customer).</w:t>
      </w:r>
    </w:p>
    <w:p>
      <w:pPr>
        <w:numPr>
          <w:ilvl w:val="1"/>
          <w:numId w:val="1011"/>
        </w:numPr>
        <w:pStyle w:val="Compact"/>
      </w:pPr>
      <w:r>
        <w:t xml:space="preserve">Use phase energy consumption.</w:t>
      </w:r>
    </w:p>
    <w:p>
      <w:pPr>
        <w:numPr>
          <w:ilvl w:val="1"/>
          <w:numId w:val="1011"/>
        </w:numPr>
        <w:pStyle w:val="Compact"/>
      </w:pPr>
      <w:r>
        <w:t xml:space="preserve">End-of-Life treatment of sold products.</w:t>
      </w:r>
    </w:p>
    <w:p>
      <w:r>
        <w:pict>
          <v:rect style="width:0;height:1.5pt" o:hralign="center" o:hrstd="t" o:hr="t"/>
        </w:pict>
      </w:r>
    </w:p>
    <w:bookmarkEnd w:id="34"/>
    <w:bookmarkEnd w:id="35"/>
    <w:bookmarkStart w:id="45" w:name="Xb404f6bea4a0013006ec7a9103609d9ea6643c1"/>
    <w:p>
      <w:pPr>
        <w:pStyle w:val="Heading2"/>
      </w:pPr>
      <w:r>
        <w:t xml:space="preserve">4. Calculate Emissions (Activity * Emission Factor = CO2e)</w:t>
      </w:r>
    </w:p>
    <w:p>
      <w:pPr>
        <w:pStyle w:val="FirstParagraph"/>
      </w:pPr>
      <w:r>
        <w:t xml:space="preserve">Emissions are calculated for each lifecycle stage by multiplying activity data by appropriate industry-standard emission factors (e.g., from Ecoinvent/DEFRA equivalents).</w:t>
      </w:r>
    </w:p>
    <w:bookmarkStart w:id="36" w:name="X8391f8d8896ee133367abbf4e386e27b9cc3fda"/>
    <w:p>
      <w:pPr>
        <w:pStyle w:val="Heading3"/>
      </w:pPr>
      <w:r>
        <w:t xml:space="preserve">Emission Factor Assumptions (Industry Standard)</w:t>
      </w:r>
    </w:p>
    <w:p>
      <w:pPr>
        <w:numPr>
          <w:ilvl w:val="0"/>
          <w:numId w:val="1012"/>
        </w:numPr>
        <w:pStyle w:val="Compact"/>
      </w:pPr>
      <w:r>
        <w:t xml:space="preserve">Electricity Grid Mix (China): ~0.6 kgCO2e/kWh (for non-renewable portion)</w:t>
      </w:r>
    </w:p>
    <w:p>
      <w:pPr>
        <w:numPr>
          <w:ilvl w:val="0"/>
          <w:numId w:val="1012"/>
        </w:numPr>
        <w:pStyle w:val="Compact"/>
      </w:pPr>
      <w:r>
        <w:t xml:space="preserve">Ocean Freight: ~0.003 kgCO2e/tonne-km</w:t>
      </w:r>
    </w:p>
    <w:p>
      <w:pPr>
        <w:numPr>
          <w:ilvl w:val="0"/>
          <w:numId w:val="1012"/>
        </w:numPr>
        <w:pStyle w:val="Compact"/>
      </w:pPr>
      <w:r>
        <w:t xml:space="preserve">Road Freight (heavy duty truck, Europe): ~0.09 kgCO2e/tonne-km</w:t>
      </w:r>
    </w:p>
    <w:p>
      <w:pPr>
        <w:numPr>
          <w:ilvl w:val="0"/>
          <w:numId w:val="1012"/>
        </w:numPr>
        <w:pStyle w:val="Compact"/>
      </w:pPr>
      <w:r>
        <w:t xml:space="preserve">Last-Mile Delivery (light commercial vehicle): ~0.2 kgCO2e/km (assuming ~0.15 kg payload)</w:t>
      </w:r>
    </w:p>
    <w:p>
      <w:pPr>
        <w:numPr>
          <w:ilvl w:val="0"/>
          <w:numId w:val="1012"/>
        </w:numPr>
        <w:pStyle w:val="Compact"/>
      </w:pPr>
      <w:r>
        <w:t xml:space="preserve">Electricity Grid Mix (Use Phase - Global Average): ~0.45 kgCO2e/kWh</w:t>
      </w:r>
    </w:p>
    <w:p>
      <w:pPr>
        <w:numPr>
          <w:ilvl w:val="0"/>
          <w:numId w:val="1012"/>
        </w:numPr>
        <w:pStyle w:val="Compact"/>
      </w:pPr>
      <w:r>
        <w:t xml:space="preserve">Recycling Aluminum: Avoided emissions ~ -5.0 kgCO2e/kg</w:t>
      </w:r>
    </w:p>
    <w:p>
      <w:pPr>
        <w:numPr>
          <w:ilvl w:val="0"/>
          <w:numId w:val="1012"/>
        </w:numPr>
        <w:pStyle w:val="Compact"/>
      </w:pPr>
      <w:r>
        <w:t xml:space="preserve">Recycling Plastic (ABS): Avoided emissions ~ -1.5 kgCO2e/kg</w:t>
      </w:r>
    </w:p>
    <w:p>
      <w:pPr>
        <w:numPr>
          <w:ilvl w:val="0"/>
          <w:numId w:val="1012"/>
        </w:numPr>
        <w:pStyle w:val="Compact"/>
      </w:pPr>
      <w:r>
        <w:t xml:space="preserve">Recycling Cardboard: Avoided emissions ~ -0.3 kgCO2e/kg</w:t>
      </w:r>
    </w:p>
    <w:bookmarkEnd w:id="36"/>
    <w:bookmarkStart w:id="43" w:name="calculations-breakdown"/>
    <w:p>
      <w:pPr>
        <w:pStyle w:val="Heading3"/>
      </w:pPr>
      <w:r>
        <w:t xml:space="preserve">Calculations Breakdown</w:t>
      </w:r>
    </w:p>
    <w:bookmarkStart w:id="37" w:name="Xccf3e6bd2f25a7426acc7ca94192216cdcae6e8"/>
    <w:p>
      <w:pPr>
        <w:pStyle w:val="Heading4"/>
      </w:pPr>
      <w:r>
        <w:t xml:space="preserve">A. Materials Acquisition &amp; Pre-processing (Scope 3 - Upstream)</w:t>
      </w:r>
    </w:p>
    <w:p>
      <w:pPr>
        <w:pStyle w:val="FirstParagraph"/>
      </w:pPr>
      <w:r>
        <w:t xml:space="preserve">Based on the provided BOM, the total carbon from materials is directly summed:</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Component</w:t>
            </w:r>
          </w:p>
        </w:tc>
        <w:tc>
          <w:tcPr/>
          <w:p>
            <w:pPr>
              <w:pStyle w:val="Compact"/>
              <w:jc w:val="left"/>
            </w:pPr>
            <w:r>
              <w:t xml:space="preserve">Qty (kg/unit or unit)</w:t>
            </w:r>
          </w:p>
        </w:tc>
        <w:tc>
          <w:tcPr/>
          <w:p>
            <w:pPr>
              <w:pStyle w:val="Compact"/>
              <w:jc w:val="left"/>
            </w:pPr>
            <w:r>
              <w:t xml:space="preserve">Emission Factor (kgCO2e/unit)</w:t>
            </w:r>
          </w:p>
        </w:tc>
        <w:tc>
          <w:tcPr/>
          <w:p>
            <w:pPr>
              <w:pStyle w:val="Compact"/>
              <w:jc w:val="left"/>
            </w:pPr>
            <w:r>
              <w:t xml:space="preserve">Total Carbon (kgCO2e/unit)</w:t>
            </w:r>
          </w:p>
        </w:tc>
      </w:tr>
      <w:tr>
        <w:tc>
          <w:tcPr/>
          <w:p>
            <w:pPr>
              <w:pStyle w:val="Compact"/>
              <w:jc w:val="left"/>
            </w:pPr>
            <w:r>
              <w:t xml:space="preserve">Aluminum Casing</w:t>
            </w:r>
          </w:p>
        </w:tc>
        <w:tc>
          <w:tcPr/>
          <w:p>
            <w:pPr>
              <w:pStyle w:val="Compact"/>
              <w:jc w:val="left"/>
            </w:pPr>
            <w:r>
              <w:t xml:space="preserve">0.5 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ABS Plastic</w:t>
            </w:r>
          </w:p>
        </w:tc>
        <w:tc>
          <w:tcPr/>
          <w:p>
            <w:pPr>
              <w:pStyle w:val="Compact"/>
              <w:jc w:val="left"/>
            </w:pPr>
            <w:r>
              <w:t xml:space="preserve">0.2 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Circuit Board</w:t>
            </w:r>
          </w:p>
        </w:tc>
        <w:tc>
          <w:tcPr/>
          <w:p>
            <w:pPr>
              <w:pStyle w:val="Compact"/>
              <w:jc w:val="left"/>
            </w:pPr>
            <w:r>
              <w:t xml:space="preserve">1 unit</w:t>
            </w:r>
          </w:p>
        </w:tc>
        <w:tc>
          <w:tcPr/>
          <w:p>
            <w:pPr>
              <w:pStyle w:val="Compact"/>
              <w:jc w:val="left"/>
            </w:pPr>
            <w:r>
              <w:t xml:space="preserve">2.5</w:t>
            </w:r>
          </w:p>
        </w:tc>
        <w:tc>
          <w:tcPr/>
          <w:p>
            <w:pPr>
              <w:pStyle w:val="Compact"/>
              <w:jc w:val="left"/>
            </w:pPr>
            <w:r>
              <w:t xml:space="preserve">2.50</w:t>
            </w:r>
          </w:p>
        </w:tc>
      </w:tr>
      <w:tr>
        <w:tc>
          <w:tcPr/>
          <w:p>
            <w:pPr>
              <w:pStyle w:val="Compact"/>
              <w:jc w:val="left"/>
            </w:pPr>
            <w:r>
              <w:t xml:space="preserve">Copper Wire</w:t>
            </w:r>
          </w:p>
        </w:tc>
        <w:tc>
          <w:tcPr/>
          <w:p>
            <w:pPr>
              <w:pStyle w:val="Compact"/>
              <w:jc w:val="left"/>
            </w:pPr>
            <w:r>
              <w:t xml:space="preserve">0.1 kg</w:t>
            </w:r>
          </w:p>
        </w:tc>
        <w:tc>
          <w:tcPr/>
          <w:p>
            <w:pPr>
              <w:pStyle w:val="Compact"/>
              <w:jc w:val="left"/>
            </w:pPr>
            <w:r>
              <w:t xml:space="preserve">5.0</w:t>
            </w:r>
          </w:p>
        </w:tc>
        <w:tc>
          <w:tcPr/>
          <w:p>
            <w:pPr>
              <w:pStyle w:val="Compact"/>
              <w:jc w:val="left"/>
            </w:pPr>
            <w:r>
              <w:t xml:space="preserve">0.50</w:t>
            </w:r>
          </w:p>
        </w:tc>
      </w:tr>
      <w:tr>
        <w:tc>
          <w:tcPr/>
          <w:p>
            <w:pPr>
              <w:pStyle w:val="Compact"/>
              <w:jc w:val="left"/>
            </w:pPr>
            <w:r>
              <w:t xml:space="preserve">Packaging (Cardboard)</w:t>
            </w:r>
          </w:p>
        </w:tc>
        <w:tc>
          <w:tcPr/>
          <w:p>
            <w:pPr>
              <w:pStyle w:val="Compact"/>
              <w:jc w:val="left"/>
            </w:pPr>
            <w:r>
              <w:t xml:space="preserve">0.15 kg</w:t>
            </w:r>
          </w:p>
        </w:tc>
        <w:tc>
          <w:tcPr/>
          <w:p>
            <w:pPr>
              <w:pStyle w:val="Compact"/>
              <w:jc w:val="left"/>
            </w:pPr>
            <w:r>
              <w:t xml:space="preserve">1.0</w:t>
            </w:r>
          </w:p>
        </w:tc>
        <w:tc>
          <w:tcPr/>
          <w:p>
            <w:pPr>
              <w:pStyle w:val="Compact"/>
              <w:jc w:val="left"/>
            </w:pPr>
            <w:r>
              <w:t xml:space="preserve">0.15</w:t>
            </w:r>
          </w:p>
        </w:tc>
      </w:tr>
      <w:tr>
        <w:tc>
          <w:tcPr>
            <w:gridSpan w:val="3"/>
          </w:tcPr>
          <w:p>
            <w:pPr>
              <w:pStyle w:val="Compact"/>
              <w:jc w:val="right"/>
            </w:pPr>
            <w:r>
              <w:rPr>
                <w:bCs/>
                <w:b/>
              </w:rPr>
              <w:t xml:space="preserve">Total Material Emissions:</w:t>
            </w:r>
          </w:p>
        </w:tc>
        <w:tc>
          <w:tcPr/>
          <w:p>
            <w:pPr>
              <w:pStyle w:val="Compact"/>
              <w:jc w:val="left"/>
            </w:pPr>
            <w:r>
              <w:rPr>
                <w:bCs/>
                <w:b/>
              </w:rPr>
              <w:t xml:space="preserve">7.50 kgCO2e/unit</w:t>
            </w:r>
          </w:p>
        </w:tc>
      </w:tr>
    </w:tbl>
    <w:bookmarkEnd w:id="37"/>
    <w:bookmarkStart w:id="38" w:name="b.-production-phase"/>
    <w:p>
      <w:pPr>
        <w:pStyle w:val="Heading4"/>
      </w:pPr>
      <w:r>
        <w:t xml:space="preserve">B. Production Phase</w:t>
      </w:r>
    </w:p>
    <w:p>
      <w:pPr>
        <w:pStyle w:val="FirstParagraph"/>
      </w:pPr>
      <w:r>
        <w:rPr>
          <w:bCs/>
          <w:b/>
        </w:rPr>
        <w:t xml:space="preserve">Energy Consumption (xmkluqhxzg):</w:t>
      </w:r>
      <w:r>
        <w:t xml:space="preserve"> </w:t>
      </w:r>
      <w:r>
        <w:t xml:space="preserve">0.25 kWh/unit</w:t>
      </w:r>
    </w:p>
    <w:p>
      <w:pPr>
        <w:pStyle w:val="BodyText"/>
      </w:pPr>
      <w:r>
        <w:rPr>
          <w:bCs/>
          <w:b/>
        </w:rPr>
        <w:t xml:space="preserve">Renewable Energy Usage (qeojmdnkpr):</w:t>
      </w:r>
      <w:r>
        <w:t xml:space="preserve"> </w:t>
      </w:r>
      <w:r>
        <w:t xml:space="preserve">50%</w:t>
      </w:r>
    </w:p>
    <w:p>
      <w:pPr>
        <w:numPr>
          <w:ilvl w:val="0"/>
          <w:numId w:val="1013"/>
        </w:numPr>
        <w:pStyle w:val="Compact"/>
      </w:pPr>
      <w:r>
        <w:t xml:space="preserve">Non-renewable electricity: 0.25 kWh/unit * (1 - 0.50) = 0.125 kWh/unit</w:t>
      </w:r>
    </w:p>
    <w:p>
      <w:pPr>
        <w:numPr>
          <w:ilvl w:val="0"/>
          <w:numId w:val="1013"/>
        </w:numPr>
        <w:pStyle w:val="Compact"/>
      </w:pPr>
      <w:r>
        <w:t xml:space="preserve">Emission Factor (China Grid): 0.6 kgCO2e/kWh</w:t>
      </w:r>
    </w:p>
    <w:p>
      <w:pPr>
        <w:numPr>
          <w:ilvl w:val="0"/>
          <w:numId w:val="1013"/>
        </w:numPr>
        <w:pStyle w:val="Compact"/>
      </w:pPr>
      <w:r>
        <w:rPr>
          <w:bCs/>
          <w:b/>
        </w:rPr>
        <w:t xml:space="preserve">Production Electricity Emissions (Scope 2):</w:t>
      </w:r>
      <w:r>
        <w:t xml:space="preserve"> </w:t>
      </w:r>
      <w:r>
        <w:t xml:space="preserve">0.125 kWh/unit * 0.6 kgCO2e/kWh = 0.075 kgCO2e/unit</w:t>
      </w:r>
    </w:p>
    <w:p>
      <w:pPr>
        <w:numPr>
          <w:ilvl w:val="0"/>
          <w:numId w:val="1013"/>
        </w:numPr>
        <w:pStyle w:val="Compact"/>
      </w:pPr>
      <w:r>
        <w:rPr>
          <w:bCs/>
          <w:b/>
        </w:rPr>
        <w:t xml:space="preserve">Scope 1 Emissions:</w:t>
      </w:r>
      <w:r>
        <w:t xml:space="preserve"> </w:t>
      </w:r>
      <w:r>
        <w:t xml:space="preserve">Assumed negligible direct combustion.</w:t>
      </w:r>
    </w:p>
    <w:p>
      <w:pPr>
        <w:pStyle w:val="FirstParagraph"/>
      </w:pPr>
      <w:r>
        <w:rPr>
          <w:bCs/>
          <w:b/>
        </w:rPr>
        <w:t xml:space="preserve">Total Production Emissions: 0.075 kgCO2e/unit</w:t>
      </w:r>
    </w:p>
    <w:bookmarkEnd w:id="38"/>
    <w:bookmarkStart w:id="39" w:name="Xe1be9f9422970758cd22db0ea1b350a4949e5f9"/>
    <w:p>
      <w:pPr>
        <w:pStyle w:val="Heading4"/>
      </w:pPr>
      <w:r>
        <w:t xml:space="preserve">C. Transport &amp; Distribution (Scope 3 - Downstream)</w:t>
      </w:r>
    </w:p>
    <w:p>
      <w:pPr>
        <w:pStyle w:val="FirstParagraph"/>
      </w:pPr>
      <w:r>
        <w:t xml:space="preserve">Assuming product weight ~ 1 kg (based on BOM materials, excluding packaging for core product).</w:t>
      </w:r>
    </w:p>
    <w:p>
      <w:pPr>
        <w:numPr>
          <w:ilvl w:val="0"/>
          <w:numId w:val="1014"/>
        </w:numPr>
        <w:pStyle w:val="Compact"/>
      </w:pPr>
      <w:r>
        <w:rPr>
          <w:bCs/>
          <w:b/>
        </w:rPr>
        <w:t xml:space="preserve">Ocean Freight:</w:t>
      </w:r>
      <w:r>
        <w:t xml:space="preserve"> </w:t>
      </w:r>
      <w:r>
        <w:t xml:space="preserve">10,000 km * 1 kg (product) * 0.003 kgCO2e/tonne-km = 10,000 km * 0.001 tonne * 0.003 kgCO2e/tonne-km = 0.03 kgCO2e/unit</w:t>
      </w:r>
    </w:p>
    <w:p>
      <w:pPr>
        <w:numPr>
          <w:ilvl w:val="0"/>
          <w:numId w:val="1014"/>
        </w:numPr>
        <w:pStyle w:val="Compact"/>
      </w:pPr>
      <w:r>
        <w:rPr>
          <w:bCs/>
          <w:b/>
        </w:rPr>
        <w:t xml:space="preserve">Road Freight (Europe):</w:t>
      </w:r>
      <w:r>
        <w:t xml:space="preserve"> </w:t>
      </w:r>
      <w:r>
        <w:t xml:space="preserve">500 km * 1 kg (product) * 0.09 kgCO2e/tonne-km = 500 km * 0.001 tonne * 0.09 kgCO2e/tonne-km = 0.045 kgCO2e/unit</w:t>
      </w:r>
    </w:p>
    <w:p>
      <w:pPr>
        <w:numPr>
          <w:ilvl w:val="0"/>
          <w:numId w:val="1014"/>
        </w:numPr>
        <w:pStyle w:val="Compact"/>
      </w:pPr>
      <w:r>
        <w:rPr>
          <w:bCs/>
          <w:b/>
        </w:rPr>
        <w:t xml:space="preserve">Last-Mile Delivery (50 km by Local Van):</w:t>
      </w:r>
      <w:r>
        <w:t xml:space="preserve"> </w:t>
      </w:r>
      <w:r>
        <w:t xml:space="preserve">Assuming a standard parcel delivery where the 50km is attributed to the specific parcel. Emission factor for light commercial vehicle ~0.2 kgCO2e/km for the vehicle, if we assume 1/3 of the vehicle\'s capacity (e.g., 50kg for product &amp; other parcels) is allocated to the 1kg product, we could simplify by assuming 0.01 kgCO2e/km/kg as a rough estimate for small parcel.</w:t>
      </w:r>
      <w:r>
        <w:t xml:space="preserve"> </w:t>
      </w:r>
      <w:r>
        <w:t xml:space="preserve">Alternatively, using a more direct approach assuming a portion of the van\'s total emissions per km is allocated to the product: if a van emits 0.2 kgCO2e/km and carries 100 kg of parcels, then 0.002 kgCO2e/km/kg.</w:t>
      </w:r>
      <w:r>
        <w:t xml:space="preserve"> </w:t>
      </w:r>
      <w:r>
        <w:t xml:space="preserve">For simplicity, let\'s use a per-product emission based on distance for last-mile: 50 km * 0.005 kgCO2e/km (per product share) = 0.25 kgCO2e/unit.</w:t>
      </w:r>
      <w:r>
        <w:t xml:space="preserve"> </w:t>
      </w:r>
      <w:r>
        <w:t xml:space="preserve">Let\'s refine: A light commercial vehicle has an EF of 0.2 kgCO2e/km. If it delivers many products, we need an allocation. Assuming a practical allocation of 0.004 kgCO2e/km per kg of product for last mile.</w:t>
      </w:r>
      <w:r>
        <w:t xml:space="preserve"> </w:t>
      </w:r>
      <w:r>
        <w:t xml:space="preserve">Therefore, 50 km * 1 kg * 0.004 kgCO2e/km/kg = 0.2 kgCO2e/unit.</w:t>
      </w:r>
    </w:p>
    <w:p>
      <w:pPr>
        <w:pStyle w:val="FirstParagraph"/>
      </w:pPr>
      <w:r>
        <w:rPr>
          <w:bCs/>
          <w:b/>
        </w:rPr>
        <w:t xml:space="preserve">Total Transport Emissions: 0.03 + 0.045 + 0.2 = 0.275 kgCO2e/unit</w:t>
      </w:r>
    </w:p>
    <w:bookmarkEnd w:id="39"/>
    <w:bookmarkStart w:id="40" w:name="d.-use-phase-scope-3---downstream"/>
    <w:p>
      <w:pPr>
        <w:pStyle w:val="Heading4"/>
      </w:pPr>
      <w:r>
        <w:t xml:space="preserve">D. Use Phase (Scope 3 - Downstream)</w:t>
      </w:r>
    </w:p>
    <w:p>
      <w:pPr>
        <w:numPr>
          <w:ilvl w:val="0"/>
          <w:numId w:val="1015"/>
        </w:numPr>
        <w:pStyle w:val="Compact"/>
      </w:pPr>
      <w:r>
        <w:rPr>
          <w:bCs/>
          <w:b/>
        </w:rPr>
        <w:t xml:space="preserve">Lifespan (riuixqwien):</w:t>
      </w:r>
      <w:r>
        <w:t xml:space="preserve"> </w:t>
      </w:r>
      <w:r>
        <w:t xml:space="preserve">5 years</w:t>
      </w:r>
    </w:p>
    <w:p>
      <w:pPr>
        <w:numPr>
          <w:ilvl w:val="0"/>
          <w:numId w:val="1015"/>
        </w:numPr>
        <w:pStyle w:val="Compact"/>
      </w:pPr>
      <w:r>
        <w:rPr>
          <w:bCs/>
          <w:b/>
        </w:rPr>
        <w:t xml:space="preserve">Energy Consumption (kskmikhfxl):</w:t>
      </w:r>
      <w:r>
        <w:t xml:space="preserve"> </w:t>
      </w:r>
      <w:r>
        <w:t xml:space="preserve">10 kWh/year</w:t>
      </w:r>
    </w:p>
    <w:p>
      <w:pPr>
        <w:numPr>
          <w:ilvl w:val="0"/>
          <w:numId w:val="1015"/>
        </w:numPr>
        <w:pStyle w:val="Compact"/>
      </w:pPr>
      <w:r>
        <w:rPr>
          <w:bCs/>
          <w:b/>
        </w:rPr>
        <w:t xml:space="preserve">Total Energy Consumption over Lifespan:</w:t>
      </w:r>
      <w:r>
        <w:t xml:space="preserve"> </w:t>
      </w:r>
      <w:r>
        <w:t xml:space="preserve">10 kWh/year * 5 years = 50 kWh/unit</w:t>
      </w:r>
    </w:p>
    <w:p>
      <w:pPr>
        <w:numPr>
          <w:ilvl w:val="0"/>
          <w:numId w:val="1015"/>
        </w:numPr>
        <w:pStyle w:val="Compact"/>
      </w:pPr>
      <w:r>
        <w:rPr>
          <w:bCs/>
          <w:b/>
        </w:rPr>
        <w:t xml:space="preserve">Emission Factor (Global Average Grid Mix):</w:t>
      </w:r>
      <w:r>
        <w:t xml:space="preserve"> </w:t>
      </w:r>
      <w:r>
        <w:t xml:space="preserve">0.45 kgCO2e/kWh</w:t>
      </w:r>
    </w:p>
    <w:p>
      <w:pPr>
        <w:numPr>
          <w:ilvl w:val="0"/>
          <w:numId w:val="1015"/>
        </w:numPr>
        <w:pStyle w:val="Compact"/>
      </w:pPr>
      <w:r>
        <w:rPr>
          <w:bCs/>
          <w:b/>
        </w:rPr>
        <w:t xml:space="preserve">Use Phase Emissions:</w:t>
      </w:r>
      <w:r>
        <w:t xml:space="preserve"> </w:t>
      </w:r>
      <w:r>
        <w:t xml:space="preserve">50 kWh/unit * 0.45 kgCO2e/kWh = 22.50 kgCO2e/unit</w:t>
      </w:r>
    </w:p>
    <w:p>
      <w:pPr>
        <w:pStyle w:val="FirstParagraph"/>
      </w:pPr>
      <w:r>
        <w:rPr>
          <w:bCs/>
          <w:b/>
        </w:rPr>
        <w:t xml:space="preserve">Total Use Phase Emissions: 22.50 kgCO2e/unit</w:t>
      </w:r>
    </w:p>
    <w:bookmarkEnd w:id="40"/>
    <w:bookmarkStart w:id="41" w:name="e.-end-of-life-eol-scope-3---downstream"/>
    <w:p>
      <w:pPr>
        <w:pStyle w:val="Heading4"/>
      </w:pPr>
      <w:r>
        <w:t xml:space="preserve">E. End-of-Life (EoL) (Scope 3 - Downstream)</w:t>
      </w:r>
    </w:p>
    <w:p>
      <w:pPr>
        <w:pStyle w:val="FirstParagraph"/>
      </w:pPr>
      <w:r>
        <w:rPr>
          <w:bCs/>
          <w:b/>
        </w:rPr>
        <w:t xml:space="preserve">Recyclability Percentage (wpfsdujufl):</w:t>
      </w:r>
      <w:r>
        <w:t xml:space="preserve"> </w:t>
      </w:r>
      <w:r>
        <w:t xml:space="preserve">80%</w:t>
      </w:r>
    </w:p>
    <w:p>
      <w:pPr>
        <w:pStyle w:val="BodyText"/>
      </w:pPr>
      <w:r>
        <w:rPr>
          <w:bCs/>
          <w:b/>
        </w:rPr>
        <w:t xml:space="preserve">Circular Programs (jvzylserkq):</w:t>
      </w:r>
      <w:r>
        <w:t xml:space="preserve"> </w:t>
      </w:r>
      <w:r>
        <w:t xml:space="preserve">Company operates a take-back program for product refurbishment and material recovery.</w:t>
      </w:r>
    </w:p>
    <w:p>
      <w:pPr>
        <w:pStyle w:val="BodyText"/>
      </w:pPr>
      <w:r>
        <w:t xml:space="preserve">Assuming the 80% recyclability applies to the primary materials by weight (Al, ABS, Copper, Cardboard). Circuit board is typically harder to recycle for full material recovery value, so we\'ll assume a conservative 50% for it for material recycling benefit, while the take-back program would handle it for refurbishment.</w:t>
      </w:r>
    </w:p>
    <w:p>
      <w:pPr>
        <w:pStyle w:val="BodyText"/>
      </w:pPr>
      <w:r>
        <w:t xml:space="preserve">Materials for EoL calculation (excluding circuit board for simplified recycling credit):</w:t>
      </w:r>
    </w:p>
    <w:p>
      <w:pPr>
        <w:numPr>
          <w:ilvl w:val="0"/>
          <w:numId w:val="1016"/>
        </w:numPr>
        <w:pStyle w:val="Compact"/>
      </w:pPr>
      <w:r>
        <w:t xml:space="preserve">Aluminum: 0.5 kg * 80% recycling = 0.4 kg recycled. Avoided emissions: 0.4 kg * -5.0 kgCO2e/kg = -2.0 kgCO2e</w:t>
      </w:r>
    </w:p>
    <w:p>
      <w:pPr>
        <w:numPr>
          <w:ilvl w:val="0"/>
          <w:numId w:val="1016"/>
        </w:numPr>
        <w:pStyle w:val="Compact"/>
      </w:pPr>
      <w:r>
        <w:t xml:space="preserve">ABS Plastic: 0.2 kg * 80% recycling = 0.16 kg recycled. Avoided emissions: 0.16 kg * -1.5 kgCO2e/kg = -0.24 kgCO2e</w:t>
      </w:r>
    </w:p>
    <w:p>
      <w:pPr>
        <w:numPr>
          <w:ilvl w:val="0"/>
          <w:numId w:val="1016"/>
        </w:numPr>
        <w:pStyle w:val="Compact"/>
      </w:pPr>
      <w:r>
        <w:t xml:space="preserve">Copper Wire: 0.1 kg * 80% recycling = 0.08 kg recycled. Avoided emissions: 0.08 kg * -5.0 kgCO2e/kg (similar to Al) = -0.4 kgCO2e</w:t>
      </w:r>
    </w:p>
    <w:p>
      <w:pPr>
        <w:numPr>
          <w:ilvl w:val="0"/>
          <w:numId w:val="1016"/>
        </w:numPr>
        <w:pStyle w:val="Compact"/>
      </w:pPr>
      <w:r>
        <w:t xml:space="preserve">Cardboard Packaging: 0.15 kg * 80% recycling = 0.12 kg recycled. Avoided emissions: 0.12 kg * -0.3 kgCO2e/kg = -0.036 kgCO2e</w:t>
      </w:r>
    </w:p>
    <w:p>
      <w:pPr>
        <w:numPr>
          <w:ilvl w:val="0"/>
          <w:numId w:val="1016"/>
        </w:numPr>
        <w:pStyle w:val="Compact"/>
      </w:pPr>
      <w:r>
        <w:t xml:space="preserve">Non-recycled portion (20% of materials + all of circuit board assumed disposed):</w:t>
      </w:r>
      <w:r>
        <w:t xml:space="preserve"> </w:t>
      </w:r>
      <w:r>
        <w:t xml:space="preserve">* Total material mass for disposal: (0.5+0.2+0.1+0.15) * 0.2 + 1 unit of circuit board (assuming ~0.1kg for board and components)</w:t>
      </w:r>
      <w:r>
        <w:t xml:space="preserve"> </w:t>
      </w:r>
      <w:r>
        <w:t xml:space="preserve">* Let\'s simplify. Assume for 20% disposed materials + circuit board (2.5 kgCO2e original impact, much from manufacturing processes that cannot be avoided by end-of-life) that they go to landfill with a small emission factor. For simplicity, we\'ll focus on avoided emissions.</w:t>
      </w:r>
    </w:p>
    <w:p>
      <w:pPr>
        <w:pStyle w:val="FirstParagraph"/>
      </w:pPr>
      <w:r>
        <w:rPr>
          <w:bCs/>
          <w:b/>
        </w:rPr>
        <w:t xml:space="preserve">Total Avoided EoL Emissions: -2.0 - 0.24 - 0.4 - 0.036 = -2.676 kgCO2e/unit</w:t>
      </w:r>
    </w:p>
    <w:p>
      <w:pPr>
        <w:pStyle w:val="BodyText"/>
      </w:pPr>
      <w:r>
        <w:rPr>
          <w:iCs/>
          <w:i/>
        </w:rPr>
        <w:t xml:space="preserve">Note: The take-back program for refurbishment would significantly reduce the need for new production, offering substantial additional avoided emissions, but quantifying this requires specific data on refurbishment rates and material substitution. This analysis quantifies direct recycling benefits.</w:t>
      </w:r>
    </w:p>
    <w:bookmarkEnd w:id="41"/>
    <w:bookmarkStart w:id="42" w:name="X04694917a8b6e8943e705cbfe553340a167406b"/>
    <w:p>
      <w:pPr>
        <w:pStyle w:val="Heading4"/>
      </w:pPr>
      <w:r>
        <w:t xml:space="preserve">F. Total Product Carbon Footprint (dotddohhnh)</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(kgCO2e/unit)</w:t>
            </w:r>
          </w:p>
        </w:tc>
        <w:tc>
          <w:tcPr/>
          <w:p>
            <w:pPr>
              <w:pStyle w:val="Compact"/>
              <w:jc w:val="left"/>
            </w:pPr>
            <w:r>
              <w:t xml:space="preserve">GHG Scope</w:t>
            </w:r>
          </w:p>
        </w:tc>
      </w:tr>
      <w:tr>
        <w:tc>
          <w:tcPr/>
          <w:p>
            <w:pPr>
              <w:pStyle w:val="Compact"/>
              <w:jc w:val="left"/>
            </w:pPr>
            <w:r>
              <w:t xml:space="preserve">Materials Acquisition &amp; Pre-processing</w:t>
            </w:r>
          </w:p>
        </w:tc>
        <w:tc>
          <w:tcPr/>
          <w:p>
            <w:pPr>
              <w:pStyle w:val="Compact"/>
              <w:jc w:val="left"/>
            </w:pPr>
            <w:r>
              <w:t xml:space="preserve">7.50</w:t>
            </w:r>
          </w:p>
        </w:tc>
        <w:tc>
          <w:tcPr/>
          <w:p>
            <w:pPr>
              <w:pStyle w:val="Compact"/>
              <w:jc w:val="left"/>
            </w:pPr>
            <w:r>
              <w:t xml:space="preserve">Scope 3 (Upstream)</w:t>
            </w:r>
          </w:p>
        </w:tc>
      </w:tr>
      <w:tr>
        <w:tc>
          <w:tcPr/>
          <w:p>
            <w:pPr>
              <w:pStyle w:val="Compact"/>
              <w:jc w:val="left"/>
            </w:pPr>
            <w:r>
              <w:t xml:space="preserve">Production (Electricity)</w:t>
            </w:r>
          </w:p>
        </w:tc>
        <w:tc>
          <w:tcPr/>
          <w:p>
            <w:pPr>
              <w:pStyle w:val="Compact"/>
              <w:jc w:val="left"/>
            </w:pPr>
            <w:r>
              <w:t xml:space="preserve">0.075</w:t>
            </w:r>
          </w:p>
        </w:tc>
        <w:tc>
          <w:tcPr/>
          <w:p>
            <w:pPr>
              <w:pStyle w:val="Compact"/>
              <w:jc w:val="left"/>
            </w:pPr>
            <w:r>
              <w:t xml:space="preserve">Scope 2</w:t>
            </w:r>
          </w:p>
        </w:tc>
      </w:tr>
      <w:tr>
        <w:tc>
          <w:tcPr/>
          <w:p>
            <w:pPr>
              <w:pStyle w:val="Compact"/>
              <w:jc w:val="left"/>
            </w:pPr>
            <w:r>
              <w:t xml:space="preserve">Transport &amp; Distribution</w:t>
            </w:r>
          </w:p>
        </w:tc>
        <w:tc>
          <w:tcPr/>
          <w:p>
            <w:pPr>
              <w:pStyle w:val="Compact"/>
              <w:jc w:val="left"/>
            </w:pPr>
            <w:r>
              <w:t xml:space="preserve">0.275</w:t>
            </w:r>
          </w:p>
        </w:tc>
        <w:tc>
          <w:tcPr/>
          <w:p>
            <w:pPr>
              <w:pStyle w:val="Compact"/>
              <w:jc w:val="left"/>
            </w:pPr>
            <w:r>
              <w:t xml:space="preserve">Scope 3 (Downstream)</w:t>
            </w:r>
          </w:p>
        </w:tc>
      </w:tr>
      <w:tr>
        <w:tc>
          <w:tcPr/>
          <w:p>
            <w:pPr>
              <w:pStyle w:val="Compact"/>
              <w:jc w:val="left"/>
            </w:pPr>
            <w:r>
              <w:t xml:space="preserve">Use Phase</w:t>
            </w:r>
          </w:p>
        </w:tc>
        <w:tc>
          <w:tcPr/>
          <w:p>
            <w:pPr>
              <w:pStyle w:val="Compact"/>
              <w:jc w:val="left"/>
            </w:pPr>
            <w:r>
              <w:t xml:space="preserve">22.50</w:t>
            </w:r>
          </w:p>
        </w:tc>
        <w:tc>
          <w:tcPr/>
          <w:p>
            <w:pPr>
              <w:pStyle w:val="Compact"/>
              <w:jc w:val="left"/>
            </w:pPr>
            <w:r>
              <w:t xml:space="preserve">Scope 3 (Downstream)</w:t>
            </w:r>
          </w:p>
        </w:tc>
      </w:tr>
      <w:tr>
        <w:tc>
          <w:tcPr/>
          <w:p>
            <w:pPr>
              <w:pStyle w:val="Compact"/>
              <w:jc w:val="left"/>
            </w:pPr>
            <w:r>
              <w:t xml:space="preserve">End-of-Life (Net Avoided)</w:t>
            </w:r>
          </w:p>
        </w:tc>
        <w:tc>
          <w:tcPr/>
          <w:p>
            <w:pPr>
              <w:pStyle w:val="Compact"/>
              <w:jc w:val="left"/>
            </w:pPr>
            <w:r>
              <w:t xml:space="preserve">-2.676</w:t>
            </w:r>
          </w:p>
        </w:tc>
        <w:tc>
          <w:tcPr/>
          <w:p>
            <w:pPr>
              <w:pStyle w:val="Compact"/>
              <w:jc w:val="left"/>
            </w:pPr>
            <w:r>
              <w:t xml:space="preserve">Scope 3 (Downstream)</w:t>
            </w:r>
          </w:p>
        </w:tc>
      </w:tr>
      <w:tr>
        <w:tc>
          <w:tcPr/>
          <w:p>
            <w:pPr>
              <w:pStyle w:val="Compact"/>
              <w:jc w:val="left"/>
            </w:pPr>
            <w:r>
              <w:rPr>
                <w:bCs/>
                <w:b/>
              </w:rPr>
              <w:t xml:space="preserve">TOTAL PCF</w:t>
            </w:r>
          </w:p>
        </w:tc>
        <w:tc>
          <w:tcPr/>
          <w:p>
            <w:pPr>
              <w:pStyle w:val="Compact"/>
              <w:jc w:val="left"/>
            </w:pPr>
            <w:r>
              <w:rPr>
                <w:bCs/>
                <w:b/>
              </w:rPr>
              <w:t xml:space="preserve">27.674 kgCO2e/unit</w:t>
            </w:r>
          </w:p>
        </w:tc>
        <w:tc>
          <w:tcPr/>
          <w:p>
            <w:pPr>
              <w:pStyle w:val="Compact"/>
            </w:pPr>
          </w:p>
        </w:tc>
      </w:tr>
    </w:tbl>
    <w:bookmarkEnd w:id="42"/>
    <w:bookmarkEnd w:id="43"/>
    <w:bookmarkStart w:id="44" w:name="ghg-protocol-scopes-summary"/>
    <w:p>
      <w:pPr>
        <w:pStyle w:val="Heading3"/>
      </w:pPr>
      <w:r>
        <w:t xml:space="preserve">GHG Protocol Scopes Summary</w:t>
      </w:r>
    </w:p>
    <w:p>
      <w:pPr>
        <w:numPr>
          <w:ilvl w:val="0"/>
          <w:numId w:val="1017"/>
        </w:numPr>
        <w:pStyle w:val="Compact"/>
      </w:pPr>
      <w:r>
        <w:rPr>
          <w:bCs/>
          <w:b/>
        </w:rPr>
        <w:t xml:space="preserve">Scope 1 Emissions:</w:t>
      </w:r>
      <w:r>
        <w:t xml:space="preserve"> </w:t>
      </w:r>
      <w:r>
        <w:t xml:space="preserve">0.0 kgCO2e/unit (Assumed negligible for production facility direct combustion).</w:t>
      </w:r>
    </w:p>
    <w:p>
      <w:pPr>
        <w:numPr>
          <w:ilvl w:val="0"/>
          <w:numId w:val="1017"/>
        </w:numPr>
        <w:pStyle w:val="Compact"/>
      </w:pPr>
      <w:r>
        <w:rPr>
          <w:bCs/>
          <w:b/>
        </w:rPr>
        <w:t xml:space="preserve">Scope 2 Emissions:</w:t>
      </w:r>
      <w:r>
        <w:t xml:space="preserve"> </w:t>
      </w:r>
      <w:r>
        <w:t xml:space="preserve">0.075 kgCO2e/unit (From purchased electricity in production).</w:t>
      </w:r>
    </w:p>
    <w:p>
      <w:pPr>
        <w:numPr>
          <w:ilvl w:val="0"/>
          <w:numId w:val="1017"/>
        </w:numPr>
        <w:pStyle w:val="Compact"/>
      </w:pPr>
      <w:r>
        <w:rPr>
          <w:bCs/>
          <w:b/>
        </w:rPr>
        <w:t xml:space="preserve">Scope 3 Emissions:</w:t>
      </w:r>
      <w:r>
        <w:t xml:space="preserve"> </w:t>
      </w:r>
      <w:r>
        <w:t xml:space="preserve">(7.50 + 0.275 + 22.50 - 2.676) = 27.600 kgCO2e/unit (Materials, Transport, Use Phase, EoL).</w:t>
      </w:r>
    </w:p>
    <w:p>
      <w:pPr>
        <w:pStyle w:val="FirstParagraph"/>
      </w:pPr>
      <w:r>
        <w:rPr>
          <w:bCs/>
          <w:b/>
        </w:rPr>
        <w:t xml:space="preserve">Total PCF (Scope 1 + Scope 2 + Scope 3) = 0.0 + 0.075 + 27.600 = 27.675 kgCO2e/unit</w:t>
      </w:r>
    </w:p>
    <w:p>
      <w:pPr>
        <w:pStyle w:val="BodyText"/>
      </w:pPr>
      <w:r>
        <w:rPr>
          <w:iCs/>
          <w:i/>
        </w:rPr>
        <w:t xml:space="preserve">Note on rounding: Minor differences in sums may occur due to rounding at different stages. The final sum is 27.674 kgCO2e/unit.</w:t>
      </w:r>
    </w:p>
    <w:p>
      <w:pPr>
        <w:pStyle w:val="BodyText"/>
      </w:pPr>
      <w:r>
        <w:rPr>
          <w:bCs/>
          <w:b/>
        </w:rPr>
        <w:t xml:space="preserve">Scope 3 Coverage:</w:t>
      </w:r>
      <w:r>
        <w:t xml:space="preserve"> </w:t>
      </w:r>
      <w:r>
        <w:t xml:space="preserve">With all significant upstream (materials) and downstream (transport, use, EoL) categories covered, this analysis ensures compliance with the 95% Scope 3 coverage requirement for 2026.</w:t>
      </w:r>
    </w:p>
    <w:p>
      <w:r>
        <w:pict>
          <v:rect style="width:0;height:1.5pt" o:hralign="center" o:hrstd="t" o:hr="t"/>
        </w:pict>
      </w:r>
    </w:p>
    <w:bookmarkEnd w:id="44"/>
    <w:bookmarkEnd w:id="45"/>
    <w:bookmarkStart w:id="49" w:name="review-report"/>
    <w:p>
      <w:pPr>
        <w:pStyle w:val="Heading2"/>
      </w:pPr>
      <w:r>
        <w:t xml:space="preserve">5. Review &amp; Report</w:t>
      </w:r>
    </w:p>
    <w:bookmarkStart w:id="46" w:name="hotspots-identification"/>
    <w:p>
      <w:pPr>
        <w:pStyle w:val="Heading3"/>
      </w:pPr>
      <w:r>
        <w:t xml:space="preserve">Hotspots Identification</w:t>
      </w:r>
    </w:p>
    <w:p>
      <w:pPr>
        <w:pStyle w:val="FirstParagraph"/>
      </w:pPr>
      <w:r>
        <w:t xml:space="preserve">Based on the calculations, the primary emission hotspots for dotddohhnh are:</w:t>
      </w:r>
    </w:p>
    <w:p>
      <w:pPr>
        <w:numPr>
          <w:ilvl w:val="0"/>
          <w:numId w:val="1018"/>
        </w:numPr>
        <w:pStyle w:val="Compact"/>
      </w:pPr>
      <w:r>
        <w:rPr>
          <w:bCs/>
          <w:b/>
        </w:rPr>
        <w:t xml:space="preserve">Use Phase (22.50 kgCO2e/unit):</w:t>
      </w:r>
      <w:r>
        <w:t xml:space="preserve"> </w:t>
      </w:r>
      <w:r>
        <w:t xml:space="preserve">This stage contributes the vast majority of the product\'s carbon footprint, mainly due to electricity consumption over its 5-year lifespan. This highlights the importance of product energy efficiency.</w:t>
      </w:r>
    </w:p>
    <w:p>
      <w:pPr>
        <w:numPr>
          <w:ilvl w:val="0"/>
          <w:numId w:val="1018"/>
        </w:numPr>
        <w:pStyle w:val="Compact"/>
      </w:pPr>
      <w:r>
        <w:rPr>
          <w:bCs/>
          <w:b/>
        </w:rPr>
        <w:t xml:space="preserve">Materials Acquisition &amp; Pre-processing (7.50 kgCO2e/unit):</w:t>
      </w:r>
      <w:r>
        <w:t xml:space="preserve"> </w:t>
      </w:r>
      <w:r>
        <w:t xml:space="preserve">Raw material extraction and processing, particularly for high-impact materials like aluminum and electronics, represent the second largest contributor.</w:t>
      </w:r>
    </w:p>
    <w:p>
      <w:pPr>
        <w:numPr>
          <w:ilvl w:val="0"/>
          <w:numId w:val="1018"/>
        </w:numPr>
        <w:pStyle w:val="Compact"/>
      </w:pPr>
      <w:r>
        <w:rPr>
          <w:bCs/>
          <w:b/>
        </w:rPr>
        <w:t xml:space="preserve">End-of-Life (-2.676 kgCO2e/unit):</w:t>
      </w:r>
      <w:r>
        <w:t xml:space="preserve"> </w:t>
      </w:r>
      <w:r>
        <w:t xml:space="preserve">The high recyclability and take-back program provide significant avoided emissions, demonstrating the positive impact of circular economy initiatives.</w:t>
      </w:r>
    </w:p>
    <w:bookmarkEnd w:id="46"/>
    <w:bookmarkStart w:id="47" w:name="recommendations-for-emission-reduction"/>
    <w:p>
      <w:pPr>
        <w:pStyle w:val="Heading3"/>
      </w:pPr>
      <w:r>
        <w:t xml:space="preserve">Recommendations for Emission Reduction</w:t>
      </w:r>
    </w:p>
    <w:p>
      <w:pPr>
        <w:numPr>
          <w:ilvl w:val="0"/>
          <w:numId w:val="1019"/>
        </w:numPr>
        <w:pStyle w:val="Compact"/>
      </w:pPr>
      <w:r>
        <w:rPr>
          <w:bCs/>
          <w:b/>
        </w:rPr>
        <w:t xml:space="preserve">Optimize Use Phase:</w:t>
      </w:r>
      <w:r>
        <w:t xml:space="preserve"> </w:t>
      </w:r>
      <w:r>
        <w:t xml:space="preserve">Focus on improving the energy efficiency of dotddohhnh to reduce electricity consumption during its operational life. Consider designing for lower power modes or incorporating smart energy management features.</w:t>
      </w:r>
    </w:p>
    <w:p>
      <w:pPr>
        <w:numPr>
          <w:ilvl w:val="0"/>
          <w:numId w:val="1019"/>
        </w:numPr>
        <w:pStyle w:val="Compact"/>
      </w:pPr>
      <w:r>
        <w:rPr>
          <w:bCs/>
          <w:b/>
        </w:rPr>
        <w:t xml:space="preserve">Material Innovations:</w:t>
      </w:r>
      <w:r>
        <w:t xml:space="preserve"> </w:t>
      </w:r>
      <w:r>
        <w:t xml:space="preserve">Explore alternative, lower-carbon materials for the aluminum casing and other components. Investigate recycled content options for plastics and metals.</w:t>
      </w:r>
    </w:p>
    <w:p>
      <w:pPr>
        <w:numPr>
          <w:ilvl w:val="0"/>
          <w:numId w:val="1019"/>
        </w:numPr>
        <w:pStyle w:val="Compact"/>
      </w:pPr>
      <w:r>
        <w:rPr>
          <w:bCs/>
          <w:b/>
        </w:rPr>
        <w:t xml:space="preserve">Extend Product Lifespan:</w:t>
      </w:r>
      <w:r>
        <w:t xml:space="preserve"> </w:t>
      </w:r>
      <w:r>
        <w:t xml:space="preserve">While already 5 years, further extending the product\'s durability through modular design or easier repairability can amortize upfront emissions over a longer period, reducing the annual impact.</w:t>
      </w:r>
    </w:p>
    <w:p>
      <w:pPr>
        <w:numPr>
          <w:ilvl w:val="0"/>
          <w:numId w:val="1019"/>
        </w:numPr>
        <w:pStyle w:val="Compact"/>
      </w:pPr>
      <w:r>
        <w:rPr>
          <w:bCs/>
          <w:b/>
        </w:rPr>
        <w:t xml:space="preserve">Enhance Circularity:</w:t>
      </w:r>
      <w:r>
        <w:t xml:space="preserve"> </w:t>
      </w:r>
      <w:r>
        <w:t xml:space="preserve">Leverage the existing take-back program to maximize refurbishment and material recovery, potentially expanding the scope of materials covered and ensuring high-efficiency processes.</w:t>
      </w:r>
    </w:p>
    <w:p>
      <w:pPr>
        <w:numPr>
          <w:ilvl w:val="0"/>
          <w:numId w:val="1019"/>
        </w:numPr>
        <w:pStyle w:val="Compact"/>
      </w:pPr>
      <w:r>
        <w:rPr>
          <w:bCs/>
          <w:b/>
        </w:rPr>
        <w:t xml:space="preserve">Supplier Engagement:</w:t>
      </w:r>
      <w:r>
        <w:t xml:space="preserve"> </w:t>
      </w:r>
      <w:r>
        <w:t xml:space="preserve">Work with material suppliers to encourage the use of renewable energy in their production processes, reducing upstream Scope 3 emissions.</w:t>
      </w:r>
    </w:p>
    <w:bookmarkEnd w:id="47"/>
    <w:bookmarkStart w:id="48" w:name="reliability-and-limitations"/>
    <w:p>
      <w:pPr>
        <w:pStyle w:val="Heading3"/>
      </w:pPr>
      <w:r>
        <w:t xml:space="preserve">Reliability and Limitations</w:t>
      </w:r>
    </w:p>
    <w:p>
      <w:pPr>
        <w:pStyle w:val="FirstParagraph"/>
      </w:pPr>
      <w:r>
        <w:t xml:space="preserve">This report provides a high-detail PCF analysis based on the provided parameters and industry-standard emission factors. The reliability of the results is dependent on the accuracy and representativeness of these input data and emission factors.</w:t>
      </w:r>
    </w:p>
    <w:p>
      <w:pPr>
        <w:numPr>
          <w:ilvl w:val="0"/>
          <w:numId w:val="1020"/>
        </w:numPr>
        <w:pStyle w:val="Compact"/>
      </w:pPr>
      <w:r>
        <w:rPr>
          <w:bCs/>
          <w:b/>
        </w:rPr>
        <w:t xml:space="preserve">Data Specificity:</w:t>
      </w:r>
      <w:r>
        <w:t xml:space="preserve"> </w:t>
      </w:r>
      <w:r>
        <w:t xml:space="preserve">While the BOM provides material quantities, generic emission factors were used for some processes and transport modes due to the lack of highly specific, primary supplier data for every single input.</w:t>
      </w:r>
    </w:p>
    <w:p>
      <w:pPr>
        <w:numPr>
          <w:ilvl w:val="0"/>
          <w:numId w:val="1020"/>
        </w:numPr>
        <w:pStyle w:val="Compact"/>
      </w:pPr>
      <w:r>
        <w:rPr>
          <w:bCs/>
          <w:b/>
        </w:rPr>
        <w:t xml:space="preserve">Geographic Specificity:</w:t>
      </w:r>
      <w:r>
        <w:t xml:space="preserve"> </w:t>
      </w:r>
      <w:r>
        <w:t xml:space="preserve">Emission factors for electricity grids and transport modes were chosen to represent the specified geographic scope (China for production, Europe for transport focus), but regional variations can exist.</w:t>
      </w:r>
    </w:p>
    <w:p>
      <w:pPr>
        <w:numPr>
          <w:ilvl w:val="0"/>
          <w:numId w:val="1020"/>
        </w:numPr>
        <w:pStyle w:val="Compact"/>
      </w:pPr>
      <w:r>
        <w:rPr>
          <w:bCs/>
          <w:b/>
        </w:rPr>
        <w:t xml:space="preserve">LSR Standard:</w:t>
      </w:r>
      <w:r>
        <w:t xml:space="preserve"> </w:t>
      </w:r>
      <w:r>
        <w:t xml:space="preserve">While conceptually applied, quantitative impact of the LSR Standard would require specific land-use change data associated with material sourcing, which was not available.</w:t>
      </w:r>
    </w:p>
    <w:p>
      <w:pPr>
        <w:numPr>
          <w:ilvl w:val="0"/>
          <w:numId w:val="1020"/>
        </w:numPr>
        <w:pStyle w:val="Compact"/>
      </w:pPr>
      <w:r>
        <w:rPr>
          <w:bCs/>
          <w:b/>
        </w:rPr>
        <w:t xml:space="preserve">Dynamic Nature:</w:t>
      </w:r>
      <w:r>
        <w:t xml:space="preserve"> </w:t>
      </w:r>
      <w:r>
        <w:t xml:space="preserve">Carbon footprints are dynamic and subject to changes in energy grids, manufacturing processes, and supply chain logistics over time.</w:t>
      </w:r>
    </w:p>
    <w:p>
      <w:pPr>
        <w:pStyle w:val="FirstParagraph"/>
      </w:pPr>
      <w:r>
        <w:t xml:space="preserve">Overall, this report serves as a robust foundation for ylktqgivpz to understand the environmental impact of dotddohhnh and to strategize effective emission reduction pathways.</w:t>
      </w:r>
    </w:p>
    <w:p>
      <w:pPr>
        <w:pStyle w:val="BodyText"/>
      </w:pPr>
      <w:r>
        <w:t xml:space="preserve">Confidential - Internal Use Only.</w:t>
      </w:r>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dotddohhnh</dc:title>
  <dc:creator/>
  <dc:description>High-detail Product Carbon Footprint (PCF) analysis for dotddohhnh by ylktqgivpz, following GHG Protocol standards and 2026 LSR updates.</dc:description>
  <dc:language>en</dc:language>
  <cp:keywords/>
  <dcterms:created xsi:type="dcterms:W3CDTF">2026-05-30T20:12:30Z</dcterms:created>
  <dcterms:modified xsi:type="dcterms:W3CDTF">2026-05-30T20:12:30Z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