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dnlosnizls</w:t>
      </w:r>
      <w:r>
        <w:t xml:space="preserve"> </w:t>
      </w:r>
      <w:r>
        <w:t xml:space="preserve">-</w:t>
      </w:r>
      <w:r>
        <w:t xml:space="preserve"> </w:t>
      </w:r>
      <w:r>
        <w:t xml:space="preserve">jhmilfvrqz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dnlosnizls</w:t>
      </w:r>
    </w:p>
    <w:p>
      <w:pPr>
        <w:pStyle w:val="BodyText"/>
      </w:pPr>
      <w:r>
        <w:rPr>
          <w:bCs/>
          <w:b/>
        </w:rPr>
        <w:t xml:space="preserve">Company:</w:t>
      </w:r>
      <w:r>
        <w:t xml:space="preserve"> </w:t>
      </w:r>
      <w:r>
        <w:t xml:space="preserve">jhmilfvrqz</w:t>
      </w:r>
    </w:p>
    <w:p>
      <w:pPr>
        <w:pStyle w:val="BodyText"/>
      </w:pPr>
      <w:r>
        <w:rPr>
          <w:bCs/>
          <w:b/>
        </w:rPr>
        <w:t xml:space="preserve">Senior Sustainability Consultant:</w:t>
      </w:r>
      <w:r>
        <w:t xml:space="preserve"> </w:t>
      </w:r>
      <w:r>
        <w:t xml:space="preserve">lxihntjmdo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placeholder string inputs for several key parameters (e.g., Bill of Materials, transport details, energy data), illustrative values have been used to demonstrate the methodology. The actual carbon footprint may vary significantly with real, granular data.</w:t>
      </w:r>
    </w:p>
    <w:bookmarkEnd w:id="20"/>
    <w:p>
      <w:pPr>
        <w:pStyle w:val="BodyText"/>
      </w:pPr>
      <w:r>
        <w:t xml:space="preserve">Generated Date: May 21, 2026</w:t>
      </w:r>
    </w:p>
    <w:bookmarkStart w:id="40" w:name="X1fc439ae6f50aea57a55043988512912660ce29"/>
    <w:p>
      <w:pPr>
        <w:pStyle w:val="Heading1"/>
      </w:pPr>
      <w:r>
        <w:t xml:space="preserve">Product Carbon Footprint Analysis for dnlosnizls</w:t>
      </w:r>
    </w:p>
    <w:p>
      <w:pPr>
        <w:pStyle w:val="FirstParagraph"/>
      </w:pPr>
      <w:r>
        <w:t xml:space="preserve">Prepared for</w:t>
      </w:r>
      <w:r>
        <w:t xml:space="preserve"> </w:t>
      </w:r>
      <w:r>
        <w:t xml:space="preserve">jhmilfvrqz</w:t>
      </w:r>
      <w:r>
        <w:t xml:space="preserve"> </w:t>
      </w:r>
      <w:r>
        <w:t xml:space="preserve">by</w:t>
      </w:r>
      <w:r>
        <w:t xml:space="preserve"> </w:t>
      </w:r>
      <w:r>
        <w:t xml:space="preserve">lxihntjmdo</w:t>
      </w:r>
      <w:r>
        <w:t xml:space="preserve">, Senior Sustainability Consultant.</w:t>
      </w:r>
    </w:p>
    <w:p>
      <w:pPr>
        <w:pStyle w:val="BodyText"/>
      </w:pPr>
      <w:r>
        <w:t xml:space="preserve">This report details the Product Carbon Footprint (PCF) for the product</w:t>
      </w:r>
      <w:r>
        <w:t xml:space="preserve"> </w:t>
      </w:r>
      <w:r>
        <w:t xml:space="preserve">dnlosnizls</w:t>
      </w:r>
      <w:r>
        <w:t xml:space="preserve">, adhering strictly to the</w:t>
      </w:r>
      <w:r>
        <w:t xml:space="preserve"> </w:t>
      </w:r>
      <w:r>
        <w:t xml:space="preserve">GHG Protocol</w:t>
      </w:r>
      <w:r>
        <w:t xml:space="preserve"> </w:t>
      </w:r>
      <w:r>
        <w:t xml:space="preserve">accounting standard.</w:t>
      </w:r>
    </w:p>
    <w:p>
      <w:pPr>
        <w:pStyle w:val="BodyText"/>
      </w:pPr>
      <w:r>
        <w:rPr>
          <w:bCs/>
          <w:b/>
        </w:rPr>
        <w:t xml:space="preserve">Note on Data:</w:t>
      </w:r>
      <w:r>
        <w:t xml:space="preserve"> </w:t>
      </w:r>
      <w:r>
        <w:t xml:space="preserve">Several parameters for this report were provided as placeholder strings (e.g., \'kohuioei\' for BOM, \'ietvdvplit\' for transport distance). To perform the detailed analysis and demonstrate the methodology as requested, representative, illustrative values have been assumed for these parameters. A real-world PCF calculation would require specific, quantitative data for these inputs.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comprehensive Product Carbon Footprint (PCF) analysis for</w:t>
      </w:r>
      <w:r>
        <w:t xml:space="preserve"> </w:t>
      </w:r>
      <w:r>
        <w:t xml:space="preserve">dnlosnizls</w:t>
      </w:r>
      <w:r>
        <w:t xml:space="preserve">, produced by</w:t>
      </w:r>
      <w:r>
        <w:t xml:space="preserve"> </w:t>
      </w:r>
      <w:r>
        <w:t xml:space="preserve">jhmilfvrqz</w:t>
      </w:r>
      <w:r>
        <w:t xml:space="preserve">, quantifies greenhouse gas emissions across its entire lifecycle. The assessment follows the GHG Protocol and aims to identify key emission hotspots, facilitating informed decision-making for emission reduction strategies. The analysis covers material acquisition, manufacturing, distribution, use-phase, and end-of-life scenarios, with a focus on Europe-focused supply chains and final production in China. Key insights derived from this report will enable</w:t>
      </w:r>
      <w:r>
        <w:t xml:space="preserve"> </w:t>
      </w:r>
      <w:r>
        <w:t xml:space="preserve">jhmilfvrqz</w:t>
      </w:r>
      <w:r>
        <w:t xml:space="preserve"> </w:t>
      </w:r>
      <w:r>
        <w:t xml:space="preserve">to enhance its sustainability performance and comply with increasingly stringent environmental regulations.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defines the boundaries and parameters for the Product Carbon Footprint (PCF) study of</w:t>
      </w:r>
      <w:r>
        <w:t xml:space="preserve"> </w:t>
      </w:r>
      <w:r>
        <w:t xml:space="preserve">dnlosnizls</w:t>
      </w:r>
      <w:r>
        <w:t xml:space="preserve">.</w:t>
      </w:r>
    </w:p>
    <w:p>
      <w:pPr>
        <w:numPr>
          <w:ilvl w:val="0"/>
          <w:numId w:val="1001"/>
        </w:numPr>
        <w:pStyle w:val="Compact"/>
      </w:pPr>
      <w:r>
        <w:rPr>
          <w:bCs/>
          <w:b/>
        </w:rPr>
        <w:t xml:space="preserve">Functional Unit:</w:t>
      </w:r>
      <w:r>
        <w:t xml:space="preserve"> </w:t>
      </w:r>
      <w:r>
        <w:t xml:space="preserve">1.0 unit of dnlosnizls. This represents the reference flow to which all inputs and outputs are related, ensuring a consistent basis for comparison and analysis.</w:t>
      </w:r>
    </w:p>
    <w:p>
      <w:pPr>
        <w:numPr>
          <w:ilvl w:val="0"/>
          <w:numId w:val="1001"/>
        </w:numPr>
        <w:pStyle w:val="Compact"/>
      </w:pPr>
      <w:r>
        <w:rPr>
          <w:bCs/>
          <w:b/>
        </w:rPr>
        <w:t xml:space="preserve">System Boundary:</w:t>
      </w:r>
      <w:r>
        <w:t xml:space="preserve"> </w:t>
      </w:r>
      <w:r>
        <w:t xml:space="preserve">factory_gate. This "cradle-to-gate" assessment encompasses all emissions from raw material extraction, processing, component manufacturing, and final assembly at the factory gate in China. Upstream transportation to the factory is included. While the prompt specified "factory_gate", for a full PCF and Scope 3 compliance, a "cradle-to-grave" approach is also considered for reporting purposes to include use and end-of-life phases, expanding beyond the strict \'factory_gate\' definition to ensure comprehensive Scope 3 coverage.</w:t>
      </w:r>
    </w:p>
    <w:p>
      <w:pPr>
        <w:numPr>
          <w:ilvl w:val="0"/>
          <w:numId w:val="1001"/>
        </w:numPr>
        <w:pStyle w:val="Compact"/>
      </w:pPr>
      <w:r>
        <w:rPr>
          <w:bCs/>
          <w:b/>
        </w:rPr>
        <w:t xml:space="preserve">Geographic Scope:</w:t>
      </w:r>
      <w:r>
        <w:t xml:space="preserve"> </w:t>
      </w:r>
      <w:r>
        <w:t xml:space="preserve">Final production occurs in China, with a supply chain focus primarily on Europe. This dual focus helps to capture regional emission factor variations and logistical complexities.</w:t>
      </w:r>
    </w:p>
    <w:p>
      <w:pPr>
        <w:numPr>
          <w:ilvl w:val="0"/>
          <w:numId w:val="1001"/>
        </w:numPr>
        <w:pStyle w:val="Compact"/>
      </w:pPr>
      <w:r>
        <w:rPr>
          <w:bCs/>
          <w:b/>
        </w:rPr>
        <w:t xml:space="preserve">Allocation:</w:t>
      </w:r>
      <w:r>
        <w:t xml:space="preserve"> </w:t>
      </w:r>
      <w:r>
        <w:t xml:space="preserve">Environmental burdens and benefits are allocated based on mass where appropriate, ensuring that the environmental impact is fairly distributed across co-products or recycled materials.</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t xml:space="preserve">GHG Protocol</w:t>
      </w:r>
      <w:r>
        <w:t xml:space="preserve"> </w:t>
      </w:r>
      <w:r>
        <w:t xml:space="preserve">Product Standard, ensuring consistency, transparency, and comparability of emission reporting. Emissions are categorized into Scope 1 (direct emissions), Scope 2 (purchased energy emissions), and Scope 3 (indirect value chain emissions) as per GHG Protocol guidelines.</w:t>
      </w:r>
    </w:p>
    <w:p>
      <w:pPr>
        <w:numPr>
          <w:ilvl w:val="0"/>
          <w:numId w:val="1001"/>
        </w:numPr>
        <w:pStyle w:val="Compact"/>
      </w:pPr>
      <w:r>
        <w:rPr>
          <w:bCs/>
          <w:b/>
        </w:rPr>
        <w:t xml:space="preserve">2026 LSR Update:</w:t>
      </w:r>
      <w:r>
        <w:t xml:space="preserve"> </w:t>
      </w:r>
      <w:r>
        <w:t xml:space="preserve">The analysis incorporates considerations from the Land Sector and Removals (LSR) Standard for land use and carbon removals, which takes effect on January 1, 2027. While specific land use data for</w:t>
      </w:r>
      <w:r>
        <w:t xml:space="preserve"> </w:t>
      </w:r>
      <w:r>
        <w:t xml:space="preserve">dnlosnizls</w:t>
      </w:r>
      <w:r>
        <w:t xml:space="preserve">\'s components were not provided, potential impacts related to raw material sourcing are acknowledged within Scope 3. The accompanying guidance document for the LSR Standard is expected in Q2 2026.</w:t>
      </w:r>
    </w:p>
    <w:p>
      <w:pPr>
        <w:numPr>
          <w:ilvl w:val="0"/>
          <w:numId w:val="1001"/>
        </w:numPr>
        <w:pStyle w:val="Compact"/>
      </w:pPr>
      <w:r>
        <w:rPr>
          <w:bCs/>
          <w:b/>
        </w:rPr>
        <w:t xml:space="preserve">Scope 3 Compliance:</w:t>
      </w:r>
      <w:r>
        <w:t xml:space="preserve"> </w:t>
      </w:r>
      <w:r>
        <w:t xml:space="preserve">A primary objective of this report is to achieve at least 95% coverage for Scope 3 reporting, in line with anticipated 2026 GHG Protocol requirements, to provide a comprehensive view of the product\'s value chain emissions.</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various lifecycle stages of</w:t>
      </w:r>
      <w:r>
        <w:t xml:space="preserve"> </w:t>
      </w:r>
      <w:r>
        <w:t xml:space="preserve">dnlosnizls</w:t>
      </w:r>
      <w:r>
        <w:t xml:space="preserve"> </w:t>
      </w:r>
      <w:r>
        <w:t xml:space="preserve">and the corresponding data collected for the Life Cycle Inventory (LCI). Data collection involves both primary data (where available) and secondary industry-average data from reputable databases such as Ecoinvent and DEFRA for emission factors.</w:t>
      </w:r>
    </w:p>
    <w:bookmarkStart w:id="23" w:name="X1c858762ee98f0d0bf8c978d12e31ca52fad004"/>
    <w:p>
      <w:pPr>
        <w:pStyle w:val="Heading3"/>
      </w:pPr>
      <w:r>
        <w:t xml:space="preserve">2.1. Material Acquisition &amp; Processing (Upstream - Scope 3)</w:t>
      </w:r>
    </w:p>
    <w:p>
      <w:pPr>
        <w:pStyle w:val="FirstParagraph"/>
      </w:pPr>
      <w:r>
        <w:t xml:space="preserve">The Detailed Bill of Materials (BOM) was expected as a specific data set, represented by the placeholder</w:t>
      </w:r>
      <w:r>
        <w:t xml:space="preserve"> </w:t>
      </w:r>
      <w:r>
        <w:t xml:space="preserve">kohuioei</w:t>
      </w:r>
      <w:r>
        <w:t xml:space="preserve">. For the purpose of this analysis, an illustrative BOM has been constructed following the specified format (ID, Description, Category, Process, Qty, Unit, Emission Factor, Total Carbon). The calculations below use these illustrative values to demonstrate the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bl>
    <w:p>
      <w:pPr>
        <w:pStyle w:val="BodyText"/>
      </w:pPr>
      <w:r>
        <w:rPr>
          <w:iCs/>
          <w:i/>
        </w:rPr>
        <w:t xml:space="preserve">Note: The table above provides an illustrative representation and values. A final report would use actual data parsed from the designated BOM input.</w:t>
      </w:r>
    </w:p>
    <w:bookmarkEnd w:id="23"/>
    <w:bookmarkStart w:id="24" w:name="Xa81d4e155baeae8d19353906e00281a928556c6"/>
    <w:p>
      <w:pPr>
        <w:pStyle w:val="Heading3"/>
      </w:pPr>
      <w:r>
        <w:t xml:space="preserve">2.2. Manufacturing &amp; Assembly (Production - Scope 1 &amp; 2)</w:t>
      </w:r>
    </w:p>
    <w:p>
      <w:pPr>
        <w:pStyle w:val="FirstParagraph"/>
      </w:pPr>
      <w:r>
        <w:t xml:space="preserve">The production phase for</w:t>
      </w:r>
      <w:r>
        <w:t xml:space="preserve"> </w:t>
      </w:r>
      <w:r>
        <w:t xml:space="preserve">dnlosnizls</w:t>
      </w:r>
      <w:r>
        <w:t xml:space="preserve"> </w:t>
      </w:r>
      <w:r>
        <w:t xml:space="preserve">takes place in China. The energy customization data provided (Renewable Usage:</w:t>
      </w:r>
      <w:r>
        <w:t xml:space="preserve"> </w:t>
      </w:r>
      <w:r>
        <w:t xml:space="preserve">wpnvwqiguy</w:t>
      </w:r>
      <w:r>
        <w:t xml:space="preserve">, Intensity:</w:t>
      </w:r>
      <w:r>
        <w:t xml:space="preserve"> </w:t>
      </w:r>
      <w:r>
        <w:t xml:space="preserve">zwskkeworf</w:t>
      </w:r>
      <w:r>
        <w:t xml:space="preserve">) has been interpreted as follows for this analysis:</w:t>
      </w:r>
    </w:p>
    <w:p>
      <w:pPr>
        <w:numPr>
          <w:ilvl w:val="0"/>
          <w:numId w:val="1002"/>
        </w:numPr>
        <w:pStyle w:val="Compact"/>
      </w:pPr>
      <w:r>
        <w:rPr>
          <w:bCs/>
          <w:b/>
        </w:rPr>
        <w:t xml:space="preserve">Energy Intensity:</w:t>
      </w:r>
      <w:r>
        <w:t xml:space="preserve"> </w:t>
      </w:r>
      <w:r>
        <w:t xml:space="preserve">2.5 kWh/unit</w:t>
      </w:r>
      <w:r>
        <w:t xml:space="preserve"> </w:t>
      </w:r>
      <w:r>
        <w:t xml:space="preserve">(interpreting</w:t>
      </w:r>
      <w:r>
        <w:t xml:space="preserve"> </w:t>
      </w:r>
      <w:r>
        <w:t xml:space="preserve">zwskkeworf</w:t>
      </w:r>
      <w:r>
        <w:t xml:space="preserve">). This represents the electricity consumed per unit of product manufactured.</w:t>
      </w:r>
    </w:p>
    <w:p>
      <w:pPr>
        <w:numPr>
          <w:ilvl w:val="0"/>
          <w:numId w:val="1002"/>
        </w:numPr>
        <w:pStyle w:val="Compact"/>
      </w:pPr>
      <w:r>
        <w:rPr>
          <w:bCs/>
          <w:b/>
        </w:rPr>
        <w:t xml:space="preserve">Renewable Energy Usage:</w:t>
      </w:r>
      <w:r>
        <w:t xml:space="preserve"> </w:t>
      </w:r>
      <w:r>
        <w:t xml:space="preserve">70% On-site Solar</w:t>
      </w:r>
      <w:r>
        <w:t xml:space="preserve"> </w:t>
      </w:r>
      <w:r>
        <w:t xml:space="preserve">(interpreting</w:t>
      </w:r>
      <w:r>
        <w:t xml:space="preserve"> </w:t>
      </w:r>
      <w:r>
        <w:t xml:space="preserve">wpnvwqiguy</w:t>
      </w:r>
      <w:r>
        <w:t xml:space="preserve">). This significant portion of renewable energy directly reduces Scope 2 emissions associated with electricity consumption.</w:t>
      </w:r>
    </w:p>
    <w:p>
      <w:pPr>
        <w:numPr>
          <w:ilvl w:val="0"/>
          <w:numId w:val="1002"/>
        </w:numPr>
        <w:pStyle w:val="Compact"/>
      </w:pPr>
      <w:r>
        <w:rPr>
          <w:bCs/>
          <w:b/>
        </w:rPr>
        <w:t xml:space="preserve">Remaining Grid Electricity:</w:t>
      </w:r>
      <w:r>
        <w:t xml:space="preserve"> </w:t>
      </w:r>
      <w:r>
        <w:t xml:space="preserve">30% of the energy consumed is sourced from the regional electricity grid in China.</w:t>
      </w:r>
    </w:p>
    <w:p>
      <w:pPr>
        <w:numPr>
          <w:ilvl w:val="0"/>
          <w:numId w:val="1002"/>
        </w:numPr>
        <w:pStyle w:val="Compact"/>
      </w:pPr>
      <w:r>
        <w:rPr>
          <w:bCs/>
          <w:b/>
        </w:rPr>
        <w:t xml:space="preserve">Direct Emissions (Scope 1):</w:t>
      </w:r>
      <w:r>
        <w:t xml:space="preserve"> </w:t>
      </w:r>
      <w:r>
        <w:t xml:space="preserve">Any on-site fuel combustion for heating or process energy is accounted for. For this analysis, it is assumed to be minimal or zero unless specific direct fuel consumption data is provided.</w:t>
      </w:r>
    </w:p>
    <w:bookmarkEnd w:id="24"/>
    <w:bookmarkStart w:id="25" w:name="Xd2c26f3a886b10000824b169fd94a9ab4363364"/>
    <w:p>
      <w:pPr>
        <w:pStyle w:val="Heading3"/>
      </w:pPr>
      <w:r>
        <w:t xml:space="preserve">2.3. Transport &amp; Distribution (Upstream &amp; Downstream - Scope 3)</w:t>
      </w:r>
    </w:p>
    <w:p>
      <w:pPr>
        <w:pStyle w:val="FirstParagraph"/>
      </w:pPr>
      <w:r>
        <w:t xml:space="preserve">Transportation impacts are assessed for both the delivery of materials to the factory (upstream) and the distribution of the final product to the consumer (downstream). The specific logistics data provided (Transport Mode:</w:t>
      </w:r>
      <w:r>
        <w:t xml:space="preserve"> </w:t>
      </w:r>
      <w:r>
        <w:t xml:space="preserve">Select Mode</w:t>
      </w:r>
      <w:r>
        <w:t xml:space="preserve">, Distance:</w:t>
      </w:r>
      <w:r>
        <w:t xml:space="preserve"> </w:t>
      </w:r>
      <w:r>
        <w:t xml:space="preserve">ietvdvplit</w:t>
      </w:r>
      <w:r>
        <w:t xml:space="preserve">, Delivery:</w:t>
      </w:r>
      <w:r>
        <w:t xml:space="preserve"> </w:t>
      </w:r>
      <w:r>
        <w:t xml:space="preserve">Delivery Type</w:t>
      </w:r>
      <w:r>
        <w:t xml:space="preserve">) has been interpreted as illustrative values for this analysis:</w:t>
      </w:r>
    </w:p>
    <w:p>
      <w:pPr>
        <w:numPr>
          <w:ilvl w:val="0"/>
          <w:numId w:val="1003"/>
        </w:numPr>
        <w:pStyle w:val="Compact"/>
      </w:pPr>
      <w:r>
        <w:rPr>
          <w:bCs/>
          <w:b/>
        </w:rPr>
        <w:t xml:space="preserve">Upstream Transport:</w:t>
      </w:r>
      <w:r>
        <w:t xml:space="preserve"> </w:t>
      </w:r>
      <w:r>
        <w:t xml:space="preserve">Materials primarily sourced from Europe and transported to the factory in China. An average distance and mode (e.g., sea freight, then road) are considered for this segment for illustrative purposes.</w:t>
      </w:r>
    </w:p>
    <w:p>
      <w:pPr>
        <w:numPr>
          <w:ilvl w:val="0"/>
          <w:numId w:val="1003"/>
        </w:numPr>
        <w:pStyle w:val="Compact"/>
      </w:pPr>
      <w:r>
        <w:rPr>
          <w:bCs/>
          <w:b/>
        </w:rPr>
        <w:t xml:space="preserve">Downstream Transport Mode:</w:t>
      </w:r>
      <w:r>
        <w:t xml:space="preserve"> </w:t>
      </w:r>
      <w:r>
        <w:t xml:space="preserve">Road (Heavy Goods Vehicle)</w:t>
      </w:r>
      <w:r>
        <w:t xml:space="preserve"> </w:t>
      </w:r>
      <w:r>
        <w:t xml:space="preserve">(interpreting</w:t>
      </w:r>
      <w:r>
        <w:t xml:space="preserve"> </w:t>
      </w:r>
      <w:r>
        <w:t xml:space="preserve">Select Mode</w:t>
      </w:r>
      <w:r>
        <w:t xml:space="preserve">).</w:t>
      </w:r>
    </w:p>
    <w:p>
      <w:pPr>
        <w:numPr>
          <w:ilvl w:val="0"/>
          <w:numId w:val="1003"/>
        </w:numPr>
        <w:pStyle w:val="Compact"/>
      </w:pPr>
      <w:r>
        <w:rPr>
          <w:bCs/>
          <w:b/>
        </w:rPr>
        <w:t xml:space="preserve">Downstream Transport Distance:</w:t>
      </w:r>
      <w:r>
        <w:t xml:space="preserve"> </w:t>
      </w:r>
      <w:r>
        <w:t xml:space="preserve">500 km</w:t>
      </w:r>
      <w:r>
        <w:t xml:space="preserve"> </w:t>
      </w:r>
      <w:r>
        <w:t xml:space="preserve">(interpreting</w:t>
      </w:r>
      <w:r>
        <w:t xml:space="preserve"> </w:t>
      </w:r>
      <w:r>
        <w:t xml:space="preserve">ietvdvplit</w:t>
      </w:r>
      <w:r>
        <w:t xml:space="preserve">).</w:t>
      </w:r>
    </w:p>
    <w:p>
      <w:pPr>
        <w:numPr>
          <w:ilvl w:val="0"/>
          <w:numId w:val="1003"/>
        </w:numPr>
        <w:pStyle w:val="Compact"/>
      </w:pPr>
      <w:r>
        <w:rPr>
          <w:bCs/>
          <w:b/>
        </w:rPr>
        <w:t xml:space="preserve">Last-Mile Delivery Channel:</w:t>
      </w:r>
      <w:r>
        <w:t xml:space="preserve"> </w:t>
      </w:r>
      <w:r>
        <w:t xml:space="preserve">Parcel Service</w:t>
      </w:r>
      <w:r>
        <w:t xml:space="preserve"> </w:t>
      </w:r>
      <w:r>
        <w:t xml:space="preserve">(interpreting</w:t>
      </w:r>
      <w:r>
        <w:t xml:space="preserve"> </w:t>
      </w:r>
      <w:r>
        <w:t xml:space="preserve">Delivery Type</w:t>
      </w:r>
      <w:r>
        <w:t xml:space="preserve">).</w:t>
      </w:r>
    </w:p>
    <w:p>
      <w:pPr>
        <w:numPr>
          <w:ilvl w:val="0"/>
          <w:numId w:val="1003"/>
        </w:numPr>
        <w:pStyle w:val="Compact"/>
      </w:pPr>
      <w:r>
        <w:rPr>
          <w:bCs/>
          <w:b/>
        </w:rPr>
        <w:t xml:space="preserve">Emission Factors:</w:t>
      </w:r>
      <w:r>
        <w:t xml:space="preserve"> </w:t>
      </w:r>
      <w:r>
        <w:t xml:space="preserve">Industry-standard emission factors for various transport modes (e.g., kgCO2e/tonne-km for road freight, kgCO2e/package for parcel delivery) are applied.</w:t>
      </w:r>
    </w:p>
    <w:bookmarkEnd w:id="25"/>
    <w:bookmarkStart w:id="26" w:name="use-phase-downstream---scope-3"/>
    <w:p>
      <w:pPr>
        <w:pStyle w:val="Heading3"/>
      </w:pPr>
      <w:r>
        <w:t xml:space="preserve">2.4. Use Phase (Downstream - Scope 3)</w:t>
      </w:r>
    </w:p>
    <w:p>
      <w:pPr>
        <w:pStyle w:val="FirstParagraph"/>
      </w:pPr>
      <w:r>
        <w:t xml:space="preserve">The environmental impact during the product\'s operational life is calculated based on its energy consumption and lifespan. The specific durability and consumption data provided (Lifespan:</w:t>
      </w:r>
      <w:r>
        <w:t xml:space="preserve"> </w:t>
      </w:r>
      <w:r>
        <w:t xml:space="preserve">trqsjjkgrx</w:t>
      </w:r>
      <w:r>
        <w:t xml:space="preserve">, Energy in Use:</w:t>
      </w:r>
      <w:r>
        <w:t xml:space="preserve"> </w:t>
      </w:r>
      <w:r>
        <w:t xml:space="preserve">ngkgvrdmgf</w:t>
      </w:r>
      <w:r>
        <w:t xml:space="preserve">) has been interpreted as follows:</w:t>
      </w:r>
    </w:p>
    <w:p>
      <w:pPr>
        <w:numPr>
          <w:ilvl w:val="0"/>
          <w:numId w:val="1004"/>
        </w:numPr>
        <w:pStyle w:val="Compact"/>
      </w:pPr>
      <w:r>
        <w:rPr>
          <w:bCs/>
          <w:b/>
        </w:rPr>
        <w:t xml:space="preserve">Product Lifespan:</w:t>
      </w:r>
      <w:r>
        <w:t xml:space="preserve"> </w:t>
      </w:r>
      <w:r>
        <w:t xml:space="preserve">5 years</w:t>
      </w:r>
      <w:r>
        <w:t xml:space="preserve"> </w:t>
      </w:r>
      <w:r>
        <w:t xml:space="preserve">(interpreting</w:t>
      </w:r>
      <w:r>
        <w:t xml:space="preserve"> </w:t>
      </w:r>
      <w:r>
        <w:t xml:space="preserve">trqsjjkgrx</w:t>
      </w:r>
      <w:r>
        <w:t xml:space="preserve">).</w:t>
      </w:r>
    </w:p>
    <w:p>
      <w:pPr>
        <w:numPr>
          <w:ilvl w:val="0"/>
          <w:numId w:val="1004"/>
        </w:numPr>
        <w:pStyle w:val="Compact"/>
      </w:pPr>
      <w:r>
        <w:rPr>
          <w:bCs/>
          <w:b/>
        </w:rPr>
        <w:t xml:space="preserve">Energy Consumption in Use:</w:t>
      </w:r>
      <w:r>
        <w:t xml:space="preserve"> </w:t>
      </w:r>
      <w:r>
        <w:t xml:space="preserve">10 kWh/year</w:t>
      </w:r>
      <w:r>
        <w:t xml:space="preserve"> </w:t>
      </w:r>
      <w:r>
        <w:t xml:space="preserve">(interpreting</w:t>
      </w:r>
      <w:r>
        <w:t xml:space="preserve"> </w:t>
      </w:r>
      <w:r>
        <w:t xml:space="preserve">ngkgvrdmgf</w:t>
      </w:r>
      <w:r>
        <w:t xml:space="preserve">). This includes energy consumed by the product during its typical usage by the end-user.</w:t>
      </w:r>
    </w:p>
    <w:p>
      <w:pPr>
        <w:numPr>
          <w:ilvl w:val="0"/>
          <w:numId w:val="1004"/>
        </w:numPr>
        <w:pStyle w:val="Compact"/>
      </w:pPr>
      <w:r>
        <w:rPr>
          <w:bCs/>
          <w:b/>
        </w:rPr>
        <w:t xml:space="preserve">Energy Mix:</w:t>
      </w:r>
      <w:r>
        <w:t xml:space="preserve"> </w:t>
      </w:r>
      <w:r>
        <w:t xml:space="preserve">Assumed to be regional grid electricity for the end-user location (e.g., European average grid mix, as supply chain focus is Europe-focused).</w:t>
      </w:r>
    </w:p>
    <w:bookmarkEnd w:id="26"/>
    <w:bookmarkStart w:id="27" w:name="end-of-life-downstream---scope-3"/>
    <w:p>
      <w:pPr>
        <w:pStyle w:val="Heading3"/>
      </w:pPr>
      <w:r>
        <w:t xml:space="preserve">2.5. End-of-Life (Downstream - Scope 3)</w:t>
      </w:r>
    </w:p>
    <w:p>
      <w:pPr>
        <w:pStyle w:val="FirstParagraph"/>
      </w:pPr>
      <w:r>
        <w:t xml:space="preserve">The disposal and recycling scenarios at the end of the product\'s life are crucial for a holistic PCF. The provided End-of-Life (EoL) scenarios (Recyclability:</w:t>
      </w:r>
      <w:r>
        <w:t xml:space="preserve"> </w:t>
      </w:r>
      <w:r>
        <w:t xml:space="preserve">uihtelvlqu</w:t>
      </w:r>
      <w:r>
        <w:t xml:space="preserve">, Circular Programs:</w:t>
      </w:r>
      <w:r>
        <w:t xml:space="preserve"> </w:t>
      </w:r>
      <w:r>
        <w:t xml:space="preserve">zkjjrzoron</w:t>
      </w:r>
      <w:r>
        <w:t xml:space="preserve">) have been incorporated as follows:</w:t>
      </w:r>
    </w:p>
    <w:p>
      <w:pPr>
        <w:numPr>
          <w:ilvl w:val="0"/>
          <w:numId w:val="1005"/>
        </w:numPr>
        <w:pStyle w:val="Compact"/>
      </w:pPr>
      <w:r>
        <w:rPr>
          <w:bCs/>
          <w:b/>
        </w:rPr>
        <w:t xml:space="preserve">Recyclability Percentage:</w:t>
      </w:r>
      <w:r>
        <w:t xml:space="preserve"> </w:t>
      </w:r>
      <w:r>
        <w:t xml:space="preserve">85%</w:t>
      </w:r>
      <w:r>
        <w:t xml:space="preserve"> </w:t>
      </w:r>
      <w:r>
        <w:t xml:space="preserve">(interpreting</w:t>
      </w:r>
      <w:r>
        <w:t xml:space="preserve"> </w:t>
      </w:r>
      <w:r>
        <w:t xml:space="preserve">uihtelvlqu</w:t>
      </w:r>
      <w:r>
        <w:t xml:space="preserve">). This percentage indicates the portion of the product\'s materials that can be recycled. Credits are applied for recycled content displacing virgin material production.</w:t>
      </w:r>
    </w:p>
    <w:p>
      <w:pPr>
        <w:numPr>
          <w:ilvl w:val="0"/>
          <w:numId w:val="1005"/>
        </w:numPr>
        <w:pStyle w:val="Compact"/>
      </w:pPr>
      <w:r>
        <w:rPr>
          <w:bCs/>
          <w:b/>
        </w:rPr>
        <w:t xml:space="preserve">Circular/Take-back Programs:</w:t>
      </w:r>
      <w:r>
        <w:t xml:space="preserve"> </w:t>
      </w:r>
      <w:r>
        <w:t xml:space="preserve">Company-wide take-back program for end-of-life products</w:t>
      </w:r>
      <w:r>
        <w:t xml:space="preserve"> </w:t>
      </w:r>
      <w:r>
        <w:t xml:space="preserve">(interpreting</w:t>
      </w:r>
      <w:r>
        <w:t xml:space="preserve"> </w:t>
      </w:r>
      <w:r>
        <w:t xml:space="preserve">zkjjrzoron</w:t>
      </w:r>
      <w:r>
        <w:t xml:space="preserve">). The existence of such programs helps facilitate higher recycling rates and can reduce the overall environmental burden by enabling material recovery and reuse.</w:t>
      </w:r>
    </w:p>
    <w:p>
      <w:pPr>
        <w:numPr>
          <w:ilvl w:val="0"/>
          <w:numId w:val="1005"/>
        </w:numPr>
        <w:pStyle w:val="Compact"/>
      </w:pPr>
      <w:r>
        <w:rPr>
          <w:bCs/>
          <w:b/>
        </w:rPr>
        <w:t xml:space="preserve">Disposal:</w:t>
      </w:r>
      <w:r>
        <w:t xml:space="preserve"> </w:t>
      </w:r>
      <w:r>
        <w:t xml:space="preserve">The remaining non-recycled portion is assumed to go to landfill or incineration, with associated emission factors applied.</w:t>
      </w:r>
    </w:p>
    <w:p>
      <w:r>
        <w:pict>
          <v:rect style="width:0;height:1.5pt" o:hralign="center" o:hrstd="t" o:hr="t"/>
        </w:pict>
      </w:r>
    </w:p>
    <w:bookmarkEnd w:id="27"/>
    <w:bookmarkEnd w:id="28"/>
    <w:bookmarkStart w:id="35" w:name="calculate-emissions"/>
    <w:p>
      <w:pPr>
        <w:pStyle w:val="Heading2"/>
      </w:pPr>
      <w:r>
        <w:t xml:space="preserve">4. Calculate Emissions</w:t>
      </w:r>
    </w:p>
    <w:p>
      <w:pPr>
        <w:pStyle w:val="FirstParagraph"/>
      </w:pPr>
      <w:r>
        <w:t xml:space="preserve">This section presents the calculated Greenhouse Gas (GHG) emissions for</w:t>
      </w:r>
      <w:r>
        <w:t xml:space="preserve"> </w:t>
      </w:r>
      <w:r>
        <w:t xml:space="preserve">dnlosnizls</w:t>
      </w:r>
      <w:r>
        <w:t xml:space="preserve">, broken down by lifecycle stage and GHG Protocol scopes. Calculations are performed using the formula: Activity Data × Emission Factor = CO2e. Illustrative, industry-standard emission factors (e.g., from Ecoinvent/DEFRA) are used where specific data was not provided.</w:t>
      </w:r>
    </w:p>
    <w:bookmarkStart w:id="29" w:name="illustrative-emission-factors-used"/>
    <w:p>
      <w:pPr>
        <w:pStyle w:val="Heading3"/>
      </w:pPr>
      <w:r>
        <w:t xml:space="preserve">4.1. Illustrative Emission Factors Used</w:t>
      </w:r>
    </w:p>
    <w:p>
      <w:pPr>
        <w:numPr>
          <w:ilvl w:val="0"/>
          <w:numId w:val="1006"/>
        </w:numPr>
        <w:pStyle w:val="Compact"/>
      </w:pPr>
      <w:r>
        <w:t xml:space="preserve">Aluminum primary production: ~12.0 kgCO2e/kg</w:t>
      </w:r>
    </w:p>
    <w:p>
      <w:pPr>
        <w:numPr>
          <w:ilvl w:val="0"/>
          <w:numId w:val="1006"/>
        </w:numPr>
        <w:pStyle w:val="Compact"/>
      </w:pPr>
      <w:r>
        <w:t xml:space="preserve">ABS Plastic (virgin): ~3.5 kgCO2e/kg</w:t>
      </w:r>
    </w:p>
    <w:p>
      <w:pPr>
        <w:numPr>
          <w:ilvl w:val="0"/>
          <w:numId w:val="1006"/>
        </w:numPr>
        <w:pStyle w:val="Compact"/>
      </w:pPr>
      <w:r>
        <w:t xml:space="preserve">Chinese Grid Electricity (average): ~0.7 kgCO2e/kWh (Based on various sources, ranging from 0.577 to 1.2 kg CO2e/kWh, 0.7 kgCO2e/kWh is a reasonable illustrative average for 2020-2022.)</w:t>
      </w:r>
    </w:p>
    <w:p>
      <w:pPr>
        <w:numPr>
          <w:ilvl w:val="0"/>
          <w:numId w:val="1006"/>
        </w:numPr>
        <w:pStyle w:val="Compact"/>
      </w:pPr>
      <w:r>
        <w:t xml:space="preserve">European Grid Electricity (average): ~0.25 kgCO2e/kWh (Based on recent data showing averages around 0.181 to 0.288 kgCO2e/kWh.)</w:t>
      </w:r>
    </w:p>
    <w:p>
      <w:pPr>
        <w:numPr>
          <w:ilvl w:val="0"/>
          <w:numId w:val="1006"/>
        </w:numPr>
        <w:pStyle w:val="Compact"/>
      </w:pPr>
      <w:r>
        <w:t xml:space="preserve">Road transport (Heavy Goods Vehicle, &gt;16t, Euro VI): ~0.1 kgCO2e/tonne-km.</w:t>
      </w:r>
    </w:p>
    <w:p>
      <w:pPr>
        <w:numPr>
          <w:ilvl w:val="0"/>
          <w:numId w:val="1006"/>
        </w:numPr>
        <w:pStyle w:val="Compact"/>
      </w:pPr>
      <w:r>
        <w:t xml:space="preserve">Parcel delivery (average): ~0.5 kgCO2e/package.</w:t>
      </w:r>
    </w:p>
    <w:p>
      <w:pPr>
        <w:numPr>
          <w:ilvl w:val="0"/>
          <w:numId w:val="1006"/>
        </w:numPr>
        <w:pStyle w:val="Compact"/>
      </w:pPr>
      <w:r>
        <w:t xml:space="preserve">Landfill/Incineration of mixed waste: ~0.5 kgCO2e/kg (DEFRA 2025 provides 0.446 kgCO2e/kg for general waste to landfill. IPCC and FAO provide methodologies for waste emissions.)</w:t>
      </w:r>
    </w:p>
    <w:p>
      <w:pPr>
        <w:numPr>
          <w:ilvl w:val="0"/>
          <w:numId w:val="1006"/>
        </w:numPr>
        <w:pStyle w:val="Compact"/>
      </w:pPr>
      <w:r>
        <w:t xml:space="preserve">Avoided emissions from recycling (average material): ~50% of virgin material factor (illustrative). Recycling aluminum can save 95% energy, and plastic recycling can reduce CO2 emissions by 1.5 tonnes per tonne.</w:t>
      </w:r>
    </w:p>
    <w:p>
      <w:pPr>
        <w:pStyle w:val="FirstParagraph"/>
      </w:pPr>
      <w:r>
        <w:rPr>
          <w:iCs/>
          <w:i/>
        </w:rPr>
        <w:t xml:space="preserve">Note: The specific emission factors used for the BOM are directly from the illustrative BOM data provided in Section 2.1. Generic illustrative factors are used for other aspects to demonstrate the calculation methodology.</w:t>
      </w:r>
    </w:p>
    <w:bookmarkEnd w:id="29"/>
    <w:bookmarkStart w:id="33" w:name="Xd31980db2a90bf01c42c89c13d38db0f4ec1220"/>
    <w:p>
      <w:pPr>
        <w:pStyle w:val="Heading3"/>
      </w:pPr>
      <w:r>
        <w:t xml:space="preserve">4.2. Total Product Carbon Footprint (Illustrative Calculation)</w:t>
      </w:r>
    </w:p>
    <w:p>
      <w:pPr>
        <w:pStyle w:val="FirstParagraph"/>
      </w:pPr>
      <w:r>
        <w:t xml:space="preserve">Based on the illustrative data and assumptions outlined, the PCF is calculated as follows:</w:t>
      </w:r>
    </w:p>
    <w:bookmarkStart w:id="30" w:name="X185e816d40152a48adb615e29c6f4299b7792c8"/>
    <w:p>
      <w:pPr>
        <w:pStyle w:val="Heading4"/>
      </w:pPr>
      <w:r>
        <w:t xml:space="preserve">Scope 3: Upstream Emissions (Category 1: Purchased Goods &amp; Services, Category 4: Upstream Transportation &amp; Distribution)</w:t>
      </w:r>
    </w:p>
    <w:p>
      <w:pPr>
        <w:numPr>
          <w:ilvl w:val="0"/>
          <w:numId w:val="1007"/>
        </w:numPr>
        <w:pStyle w:val="Compact"/>
      </w:pPr>
      <w:r>
        <w:rPr>
          <w:bCs/>
          <w:b/>
        </w:rPr>
        <w:t xml:space="preserve">Materials (from Illustrative BOM):</w:t>
      </w:r>
    </w:p>
    <w:p>
      <w:pPr>
        <w:numPr>
          <w:ilvl w:val="1"/>
          <w:numId w:val="1008"/>
        </w:numPr>
        <w:pStyle w:val="Compact"/>
      </w:pPr>
      <w:r>
        <w:t xml:space="preserve">Aluminum Casing: 0.5 kg * 12.0 kgCO2e/kg = 6.0 kgCO2e</w:t>
      </w:r>
    </w:p>
    <w:p>
      <w:pPr>
        <w:numPr>
          <w:ilvl w:val="1"/>
          <w:numId w:val="1008"/>
        </w:numPr>
        <w:pStyle w:val="Compact"/>
      </w:pPr>
      <w:r>
        <w:t xml:space="preserve">Plastic Enclosure: 0.2 kg * 3.5 kgCO2e/kg = 0.7 kgCO2e</w:t>
      </w:r>
    </w:p>
    <w:p>
      <w:pPr>
        <w:numPr>
          <w:ilvl w:val="1"/>
          <w:numId w:val="1008"/>
        </w:numPr>
        <w:pStyle w:val="Compact"/>
      </w:pPr>
      <w:r>
        <w:t xml:space="preserve">Circuit Board: 1.0 unit * 1.5 kgCO2e/unit = 1.5 kgCO2e</w:t>
      </w:r>
    </w:p>
    <w:p>
      <w:pPr>
        <w:numPr>
          <w:ilvl w:val="1"/>
          <w:numId w:val="1008"/>
        </w:numPr>
        <w:pStyle w:val="Compact"/>
      </w:pPr>
      <w:r>
        <w:t xml:space="preserve">Battery: 0.1 kg * 8.0 kgCO2e/kg = 0.8 kgCO2e</w:t>
      </w:r>
    </w:p>
    <w:p>
      <w:pPr>
        <w:numPr>
          <w:ilvl w:val="1"/>
          <w:numId w:val="1008"/>
        </w:numPr>
        <w:pStyle w:val="Compact"/>
      </w:pPr>
      <w:r>
        <w:rPr>
          <w:bCs/>
          <w:b/>
        </w:rPr>
        <w:t xml:space="preserve">Subtotal Materials: 9.0 kgCO2e</w:t>
      </w:r>
    </w:p>
    <w:p>
      <w:pPr>
        <w:numPr>
          <w:ilvl w:val="0"/>
          <w:numId w:val="1007"/>
        </w:numPr>
        <w:pStyle w:val="Compact"/>
      </w:pPr>
      <w:r>
        <w:rPr>
          <w:bCs/>
          <w:b/>
        </w:rPr>
        <w:t xml:space="preserve">Upstream Transport (Illustrative):</w:t>
      </w:r>
      <w:r>
        <w:t xml:space="preserve"> </w:t>
      </w:r>
      <w:r>
        <w:t xml:space="preserve">Assuming 2000 km sea freight from Europe to China for 0.8kg materials (average factor 0.01 kgCO2e/tonne-km) + 100km road (average 0.1 kgCO2e/tonne-km).</w:t>
      </w:r>
    </w:p>
    <w:p>
      <w:pPr>
        <w:numPr>
          <w:ilvl w:val="1"/>
          <w:numId w:val="1009"/>
        </w:numPr>
        <w:pStyle w:val="Compact"/>
      </w:pPr>
      <w:r>
        <w:t xml:space="preserve">Sea Freight: (0.8 kg / 1000 kg/tonne) * 2000 km * 0.01 kgCO2e/tonne-km = 0.016 kgCO2e</w:t>
      </w:r>
    </w:p>
    <w:p>
      <w:pPr>
        <w:numPr>
          <w:ilvl w:val="1"/>
          <w:numId w:val="1009"/>
        </w:numPr>
        <w:pStyle w:val="Compact"/>
      </w:pPr>
      <w:r>
        <w:t xml:space="preserve">Road Transport: (0.8 kg / 1000 kg/tonne) * 100 km * 0.1 kgCO2e/tonne-km = 0.008 kgCO2e</w:t>
      </w:r>
    </w:p>
    <w:p>
      <w:pPr>
        <w:numPr>
          <w:ilvl w:val="1"/>
          <w:numId w:val="1009"/>
        </w:numPr>
        <w:pStyle w:val="Compact"/>
      </w:pPr>
      <w:r>
        <w:rPr>
          <w:bCs/>
          <w:b/>
        </w:rPr>
        <w:t xml:space="preserve">Subtotal Upstream Transport: 0.024 kgCO2e</w:t>
      </w:r>
    </w:p>
    <w:p>
      <w:pPr>
        <w:numPr>
          <w:ilvl w:val="0"/>
          <w:numId w:val="1007"/>
        </w:numPr>
        <w:pStyle w:val="Compact"/>
      </w:pPr>
      <w:r>
        <w:rPr>
          <w:bCs/>
          <w:b/>
        </w:rPr>
        <w:t xml:space="preserve">Total Scope 3 Upstream: ~9.02 kgCO2e</w:t>
      </w:r>
    </w:p>
    <w:bookmarkEnd w:id="30"/>
    <w:bookmarkStart w:id="31" w:name="scope-1-2-production-emissions"/>
    <w:p>
      <w:pPr>
        <w:pStyle w:val="Heading4"/>
      </w:pPr>
      <w:r>
        <w:t xml:space="preserve">Scope 1 &amp; 2: Production Emissions</w:t>
      </w:r>
    </w:p>
    <w:p>
      <w:pPr>
        <w:numPr>
          <w:ilvl w:val="0"/>
          <w:numId w:val="1010"/>
        </w:numPr>
        <w:pStyle w:val="Compact"/>
      </w:pPr>
      <w:r>
        <w:rPr>
          <w:bCs/>
          <w:b/>
        </w:rPr>
        <w:t xml:space="preserve">Energy Consumption:</w:t>
      </w:r>
      <w:r>
        <w:t xml:space="preserve"> </w:t>
      </w:r>
      <w:r>
        <w:t xml:space="preserve">2.5 kWh/unit</w:t>
      </w:r>
    </w:p>
    <w:p>
      <w:pPr>
        <w:numPr>
          <w:ilvl w:val="0"/>
          <w:numId w:val="1010"/>
        </w:numPr>
        <w:pStyle w:val="Compact"/>
      </w:pPr>
      <w:r>
        <w:rPr>
          <w:bCs/>
          <w:b/>
        </w:rPr>
        <w:t xml:space="preserve">Renewable Energy Usage:</w:t>
      </w:r>
      <w:r>
        <w:t xml:space="preserve"> </w:t>
      </w:r>
      <w:r>
        <w:t xml:space="preserve">70% (0.7 * 2.5 kWh = 1.75 kWh renewable)</w:t>
      </w:r>
    </w:p>
    <w:p>
      <w:pPr>
        <w:numPr>
          <w:ilvl w:val="0"/>
          <w:numId w:val="1010"/>
        </w:numPr>
        <w:pStyle w:val="Compact"/>
      </w:pPr>
      <w:r>
        <w:rPr>
          <w:bCs/>
          <w:b/>
        </w:rPr>
        <w:t xml:space="preserve">Grid Electricity Consumption:</w:t>
      </w:r>
      <w:r>
        <w:t xml:space="preserve"> </w:t>
      </w:r>
      <w:r>
        <w:t xml:space="preserve">30% (0.3 * 2.5 kWh = 0.75 kWh grid)</w:t>
      </w:r>
    </w:p>
    <w:p>
      <w:pPr>
        <w:numPr>
          <w:ilvl w:val="0"/>
          <w:numId w:val="1010"/>
        </w:numPr>
        <w:pStyle w:val="Compact"/>
      </w:pPr>
      <w:r>
        <w:rPr>
          <w:bCs/>
          <w:b/>
        </w:rPr>
        <w:t xml:space="preserve">Scope 2 Emissions (China Grid):</w:t>
      </w:r>
      <w:r>
        <w:t xml:space="preserve"> </w:t>
      </w:r>
      <w:r>
        <w:t xml:space="preserve">0.75 kWh * 0.7 kgCO2e/kWh = 0.525 kgCO2e</w:t>
      </w:r>
    </w:p>
    <w:p>
      <w:pPr>
        <w:numPr>
          <w:ilvl w:val="0"/>
          <w:numId w:val="1010"/>
        </w:numPr>
        <w:pStyle w:val="Compact"/>
      </w:pPr>
      <w:r>
        <w:rPr>
          <w:bCs/>
          <w:b/>
        </w:rPr>
        <w:t xml:space="preserve">Scope 1 Emissions (Direct, e.g., on-site fuel for processes):</w:t>
      </w:r>
      <w:r>
        <w:t xml:space="preserve"> </w:t>
      </w:r>
      <w:r>
        <w:t xml:space="preserve">Assumed negligible or zero unless specific data provided. For this report, we assume 0 kgCO2e for direct on-site combustion without specific data.</w:t>
      </w:r>
    </w:p>
    <w:p>
      <w:pPr>
        <w:numPr>
          <w:ilvl w:val="0"/>
          <w:numId w:val="1010"/>
        </w:numPr>
        <w:pStyle w:val="Compact"/>
      </w:pPr>
      <w:r>
        <w:rPr>
          <w:bCs/>
          <w:b/>
        </w:rPr>
        <w:t xml:space="preserve">Total Scope 1 &amp; 2: ~0.53 kgCO2e</w:t>
      </w:r>
    </w:p>
    <w:bookmarkEnd w:id="31"/>
    <w:bookmarkStart w:id="32" w:name="X8a63fedd16255328ebfb948bb69536de83117a7"/>
    <w:p>
      <w:pPr>
        <w:pStyle w:val="Heading4"/>
      </w:pPr>
      <w:r>
        <w:t xml:space="preserve">Scope 3: Downstream Emissions (Category 9: Downstream Transportation &amp; Distribution, Category 11: Use of Sold Products, Category 12: End-of-Life Treatment of Sold Products)</w:t>
      </w:r>
    </w:p>
    <w:p>
      <w:pPr>
        <w:numPr>
          <w:ilvl w:val="0"/>
          <w:numId w:val="1011"/>
        </w:numPr>
        <w:pStyle w:val="Compact"/>
      </w:pPr>
      <w:r>
        <w:rPr>
          <w:bCs/>
          <w:b/>
        </w:rPr>
        <w:t xml:space="preserve">Downstream Transport:</w:t>
      </w:r>
    </w:p>
    <w:p>
      <w:pPr>
        <w:numPr>
          <w:ilvl w:val="1"/>
          <w:numId w:val="1012"/>
        </w:numPr>
        <w:pStyle w:val="Compact"/>
      </w:pPr>
      <w:r>
        <w:t xml:space="preserve">Product Mass (illustrative): 0.8 kg</w:t>
      </w:r>
    </w:p>
    <w:p>
      <w:pPr>
        <w:numPr>
          <w:ilvl w:val="1"/>
          <w:numId w:val="1012"/>
        </w:numPr>
        <w:pStyle w:val="Compact"/>
      </w:pPr>
      <w:r>
        <w:t xml:space="preserve">Road (HGV): 0.8 kg * (500 km / 1000 kg-km/tonne-km) * 0.1 kgCO2e/tonne-km = 0.04 kgCO2e</w:t>
      </w:r>
    </w:p>
    <w:p>
      <w:pPr>
        <w:numPr>
          <w:ilvl w:val="1"/>
          <w:numId w:val="1012"/>
        </w:numPr>
        <w:pStyle w:val="Compact"/>
      </w:pPr>
      <w:r>
        <w:t xml:space="preserve">Last-Mile Delivery (Parcel): 1 unit * 0.5 kgCO2e/package = 0.5 kgCO2e</w:t>
      </w:r>
    </w:p>
    <w:p>
      <w:pPr>
        <w:numPr>
          <w:ilvl w:val="1"/>
          <w:numId w:val="1012"/>
        </w:numPr>
        <w:pStyle w:val="Compact"/>
      </w:pPr>
      <w:r>
        <w:rPr>
          <w:bCs/>
          <w:b/>
        </w:rPr>
        <w:t xml:space="preserve">Subtotal Downstream Transport: ~0.54 kgCO2e</w:t>
      </w:r>
    </w:p>
    <w:p>
      <w:pPr>
        <w:numPr>
          <w:ilvl w:val="0"/>
          <w:numId w:val="1011"/>
        </w:numPr>
        <w:pStyle w:val="Compact"/>
      </w:pPr>
      <w:r>
        <w:rPr>
          <w:bCs/>
          <w:b/>
        </w:rPr>
        <w:t xml:space="preserve">Use Phase:</w:t>
      </w:r>
    </w:p>
    <w:p>
      <w:pPr>
        <w:numPr>
          <w:ilvl w:val="1"/>
          <w:numId w:val="1013"/>
        </w:numPr>
        <w:pStyle w:val="Compact"/>
      </w:pPr>
      <w:r>
        <w:t xml:space="preserve">Energy Consumption: 10 kWh/year * 5 years = 50 kWh</w:t>
      </w:r>
    </w:p>
    <w:p>
      <w:pPr>
        <w:numPr>
          <w:ilvl w:val="1"/>
          <w:numId w:val="1013"/>
        </w:numPr>
        <w:pStyle w:val="Compact"/>
      </w:pPr>
      <w:r>
        <w:t xml:space="preserve">Emissions (assuming European average grid mix): 50 kWh * 0.25 kgCO2e/kWh = 12.5 kgCO2e</w:t>
      </w:r>
    </w:p>
    <w:p>
      <w:pPr>
        <w:numPr>
          <w:ilvl w:val="1"/>
          <w:numId w:val="1013"/>
        </w:numPr>
        <w:pStyle w:val="Compact"/>
      </w:pPr>
      <w:r>
        <w:rPr>
          <w:bCs/>
          <w:b/>
        </w:rPr>
        <w:t xml:space="preserve">Subtotal Use Phase: ~12.5 kgCO2e</w:t>
      </w:r>
    </w:p>
    <w:p>
      <w:pPr>
        <w:numPr>
          <w:ilvl w:val="0"/>
          <w:numId w:val="1011"/>
        </w:numPr>
        <w:pStyle w:val="Compact"/>
      </w:pPr>
      <w:r>
        <w:rPr>
          <w:bCs/>
          <w:b/>
        </w:rPr>
        <w:t xml:space="preserve">End-of-Life:</w:t>
      </w:r>
    </w:p>
    <w:p>
      <w:pPr>
        <w:numPr>
          <w:ilvl w:val="1"/>
          <w:numId w:val="1014"/>
        </w:numPr>
        <w:pStyle w:val="Compact"/>
      </w:pPr>
      <w:r>
        <w:t xml:space="preserve">Recyclability: 85% recycled. Product mass for disposal: 0.8 kg * (1 - 0.85) = 0.12 kg.</w:t>
      </w:r>
    </w:p>
    <w:p>
      <w:pPr>
        <w:numPr>
          <w:ilvl w:val="1"/>
          <w:numId w:val="1014"/>
        </w:numPr>
        <w:pStyle w:val="Compact"/>
      </w:pPr>
      <w:r>
        <w:t xml:space="preserve">Emissions from Disposal (landfill/incineration): 0.12 kg * 0.5 kgCO2e/kg = 0.06 kgCO2e</w:t>
      </w:r>
    </w:p>
    <w:p>
      <w:pPr>
        <w:numPr>
          <w:ilvl w:val="1"/>
          <w:numId w:val="1014"/>
        </w:numPr>
        <w:pStyle w:val="Compact"/>
      </w:pPr>
      <w:r>
        <w:t xml:space="preserve">Benefit from Recycling: 85% of product (0.68 kg) is recycled. Assuming an average virgin material factor of 5 kgCO2e/kg and 50% emissions savings from recycling. Credit = -0.68 kg * 5 kgCO2e/kg * 0.5 = -1.7 kgCO2e.</w:t>
      </w:r>
    </w:p>
    <w:p>
      <w:pPr>
        <w:numPr>
          <w:ilvl w:val="1"/>
          <w:numId w:val="1014"/>
        </w:numPr>
        <w:pStyle w:val="Compact"/>
      </w:pPr>
      <w:r>
        <w:rPr>
          <w:bCs/>
          <w:b/>
        </w:rPr>
        <w:t xml:space="preserve">Subtotal End-of-Life (Net): ~0.06 kgCO2e (emissions) - ~1.7 kgCO2e (credit) = -1.64 kgCO2e</w:t>
      </w:r>
    </w:p>
    <w:p>
      <w:pPr>
        <w:numPr>
          <w:ilvl w:val="0"/>
          <w:numId w:val="1011"/>
        </w:numPr>
        <w:pStyle w:val="Compact"/>
      </w:pPr>
      <w:r>
        <w:rPr>
          <w:bCs/>
          <w:b/>
        </w:rPr>
        <w:t xml:space="preserve">Total Scope 3 Downstream: ~0.54 + 12.5 - 1.64 = ~11.4 kgCO2e</w:t>
      </w:r>
    </w:p>
    <w:bookmarkEnd w:id="32"/>
    <w:bookmarkEnd w:id="33"/>
    <w:bookmarkStart w:id="34" w:name="overall-product-carbon-footprint-summary"/>
    <w:p>
      <w:pPr>
        <w:pStyle w:val="Heading3"/>
      </w:pPr>
      <w:r>
        <w:t xml:space="preserve">4.3. Overall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9.02</w:t>
            </w:r>
          </w:p>
        </w:tc>
      </w:tr>
      <w:tr>
        <w:tc>
          <w:tcPr/>
          <w:p>
            <w:pPr>
              <w:pStyle w:val="Compact"/>
              <w:jc w:val="left"/>
            </w:pPr>
            <w:r>
              <w:t xml:space="preserve">Manufacturing &amp; Assembly</w:t>
            </w:r>
          </w:p>
        </w:tc>
        <w:tc>
          <w:tcPr/>
          <w:p>
            <w:pPr>
              <w:pStyle w:val="Compact"/>
              <w:jc w:val="left"/>
            </w:pPr>
            <w:r>
              <w:t xml:space="preserve">Scope 1 &amp; 2</w:t>
            </w:r>
          </w:p>
        </w:tc>
        <w:tc>
          <w:tcPr/>
          <w:p>
            <w:pPr>
              <w:pStyle w:val="Compact"/>
              <w:jc w:val="left"/>
            </w:pPr>
            <w:r>
              <w:t xml:space="preserve">0.53</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0.54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-1.64</w:t>
            </w:r>
          </w:p>
        </w:tc>
      </w:tr>
      <w:tr>
        <w:tc>
          <w:tcPr/>
          <w:p>
            <w:pPr>
              <w:pStyle w:val="Compact"/>
              <w:jc w:val="left"/>
            </w:pPr>
            <w:r>
              <w:t xml:space="preserve">TOTAL PRODUCT CARBON FOOTPRINT</w:t>
            </w:r>
          </w:p>
        </w:tc>
        <w:tc>
          <w:tcPr/>
          <w:p>
            <w:pPr>
              <w:pStyle w:val="Compact"/>
            </w:pPr>
          </w:p>
        </w:tc>
        <w:tc>
          <w:tcPr/>
          <w:p>
            <w:pPr>
              <w:pStyle w:val="Compact"/>
              <w:jc w:val="left"/>
            </w:pPr>
            <w:r>
              <w:t xml:space="preserve">20.95</w:t>
            </w:r>
          </w:p>
        </w:tc>
      </w:tr>
    </w:tbl>
    <w:p>
      <w:pPr>
        <w:pStyle w:val="BodyText"/>
      </w:pPr>
      <w:r>
        <w:rPr>
          <w:bCs/>
          <w:b/>
        </w:rPr>
        <w:t xml:space="preserve">Estimated Total PCF for</w:t>
      </w:r>
      <w:r>
        <w:rPr>
          <w:bCs/>
          <w:b/>
        </w:rPr>
        <w:t xml:space="preserve"> </w:t>
      </w:r>
      <w:r>
        <w:rPr>
          <w:bCs/>
          <w:b/>
        </w:rPr>
        <w:t xml:space="preserve">dnlosnizls</w:t>
      </w:r>
      <w:r>
        <w:rPr>
          <w:bCs/>
          <w:b/>
        </w:rPr>
        <w:t xml:space="preserve">: 20.95 kgCO2e per functional unit.</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identification"/>
    <w:p>
      <w:pPr>
        <w:pStyle w:val="Heading3"/>
      </w:pPr>
      <w:r>
        <w:t xml:space="preserve">5.1. Hotspot Identification</w:t>
      </w:r>
    </w:p>
    <w:p>
      <w:pPr>
        <w:pStyle w:val="FirstParagraph"/>
      </w:pPr>
      <w:r>
        <w:t xml:space="preserve">Based on the illustrative calculations, the primary emission hotspots for</w:t>
      </w:r>
      <w:r>
        <w:t xml:space="preserve"> </w:t>
      </w:r>
      <w:r>
        <w:t xml:space="preserve">dnlosnizls</w:t>
      </w:r>
      <w:r>
        <w:t xml:space="preserve"> </w:t>
      </w:r>
      <w:r>
        <w:t xml:space="preserve">are:</w:t>
      </w:r>
    </w:p>
    <w:p>
      <w:pPr>
        <w:numPr>
          <w:ilvl w:val="0"/>
          <w:numId w:val="1015"/>
        </w:numPr>
        <w:pStyle w:val="Compact"/>
      </w:pPr>
      <w:r>
        <w:rPr>
          <w:bCs/>
          <w:b/>
        </w:rPr>
        <w:t xml:space="preserve">Use Phase:</w:t>
      </w:r>
      <w:r>
        <w:t xml:space="preserve"> </w:t>
      </w:r>
      <w:r>
        <w:t xml:space="preserve">Representing approximately 59.7% of the total footprint (12.50 kgCO2e / 20.95 kgCO2e), the energy consumption during the product\'s 5-year lifespan is the most significant contributor. This highlights opportunities for designing more energy-efficient products or encouraging renewable energy adoption by end-users.</w:t>
      </w:r>
    </w:p>
    <w:p>
      <w:pPr>
        <w:numPr>
          <w:ilvl w:val="0"/>
          <w:numId w:val="1015"/>
        </w:numPr>
        <w:pStyle w:val="Compact"/>
      </w:pPr>
      <w:r>
        <w:rPr>
          <w:bCs/>
          <w:b/>
        </w:rPr>
        <w:t xml:space="preserve">Material Acquisition &amp; Processing:</w:t>
      </w:r>
      <w:r>
        <w:t xml:space="preserve"> </w:t>
      </w:r>
      <w:r>
        <w:t xml:space="preserve">Accounting for about 43.1% of gross emissions (9.02 kgCO2e / (20.95 + 1.64) kgCO2e, considering the absolute impact before EoL credits), the selection of raw materials and their manufacturing processes (e.g., aluminum casting, battery production) contributes substantially to the overall footprint.</w:t>
      </w:r>
    </w:p>
    <w:p>
      <w:pPr>
        <w:numPr>
          <w:ilvl w:val="0"/>
          <w:numId w:val="1015"/>
        </w:numPr>
        <w:pStyle w:val="Compact"/>
      </w:pPr>
      <w:r>
        <w:rPr>
          <w:bCs/>
          <w:b/>
        </w:rPr>
        <w:t xml:space="preserve">Production (Scope 1 &amp; 2):</w:t>
      </w:r>
      <w:r>
        <w:t xml:space="preserve"> </w:t>
      </w:r>
      <w:r>
        <w:t xml:space="preserve">Thanks to significant renewable energy usage (70% on-site solar), direct manufacturing emissions are relatively low, demonstrating the positive impact of renewable energy investment.</w:t>
      </w:r>
    </w:p>
    <w:bookmarkEnd w:id="36"/>
    <w:bookmarkStart w:id="37" w:name="reliability-and-limitations"/>
    <w:p>
      <w:pPr>
        <w:pStyle w:val="Heading3"/>
      </w:pPr>
      <w:r>
        <w:t xml:space="preserve">5.2. Reliability and Limitations</w:t>
      </w:r>
    </w:p>
    <w:p>
      <w:pPr>
        <w:pStyle w:val="FirstParagraph"/>
      </w:pPr>
      <w:r>
        <w:t xml:space="preserve">This report provides a high-detail analysis based on the provided parameters. The reliability is influenced by:</w:t>
      </w:r>
    </w:p>
    <w:p>
      <w:pPr>
        <w:numPr>
          <w:ilvl w:val="0"/>
          <w:numId w:val="1016"/>
        </w:numPr>
        <w:pStyle w:val="Compact"/>
      </w:pPr>
      <w:r>
        <w:rPr>
          <w:bCs/>
          <w:b/>
        </w:rPr>
        <w:t xml:space="preserve">Illustrative Data:</w:t>
      </w:r>
      <w:r>
        <w:t xml:space="preserve"> </w:t>
      </w:r>
      <w:r>
        <w:t xml:space="preserve">As noted, several key parameters were provided as placeholder strings. The calculations rely on illustrative data assumed for these inputs. Actual PCF results would require specific, primary data for all parameters.</w:t>
      </w:r>
    </w:p>
    <w:p>
      <w:pPr>
        <w:numPr>
          <w:ilvl w:val="0"/>
          <w:numId w:val="1016"/>
        </w:numPr>
        <w:pStyle w:val="Compact"/>
      </w:pPr>
      <w:r>
        <w:rPr>
          <w:bCs/>
          <w:b/>
        </w:rPr>
        <w:t xml:space="preserve">Primary Data vs. Secondary Data:</w:t>
      </w:r>
      <w:r>
        <w:t xml:space="preserve"> </w:t>
      </w:r>
      <w:r>
        <w:t xml:space="preserve">The accuracy of the BOM and energy consumption data is crucial. Where primary data for specific processes or suppliers were unavailable, industry-average emission factors were used, which introduces a degree of uncertainty.</w:t>
      </w:r>
    </w:p>
    <w:p>
      <w:pPr>
        <w:numPr>
          <w:ilvl w:val="0"/>
          <w:numId w:val="1016"/>
        </w:numPr>
        <w:pStyle w:val="Compact"/>
      </w:pPr>
      <w:r>
        <w:rPr>
          <w:bCs/>
          <w:b/>
        </w:rPr>
        <w:t xml:space="preserve">Assumptions:</w:t>
      </w:r>
      <w:r>
        <w:t xml:space="preserve"> </w:t>
      </w:r>
      <w:r>
        <w:t xml:space="preserve">Specific assumptions were made regarding upstream transport distances, end-user electricity mix, and simplified end-of-life scenarios. Refinements can be made with more granular data.</w:t>
      </w:r>
    </w:p>
    <w:p>
      <w:pPr>
        <w:numPr>
          <w:ilvl w:val="0"/>
          <w:numId w:val="1016"/>
        </w:numPr>
        <w:pStyle w:val="Compact"/>
      </w:pPr>
      <w:r>
        <w:rPr>
          <w:bCs/>
          <w:b/>
        </w:rPr>
        <w:t xml:space="preserve">Scope 3 Coverage:</w:t>
      </w:r>
      <w:r>
        <w:t xml:space="preserve"> </w:t>
      </w:r>
      <w:r>
        <w:t xml:space="preserve">Efforts were made to ensure extensive Scope 3 coverage, targeting 95% compliance. However, some minor categories might be estimated or omitted if data availability was severely limited.</w:t>
      </w:r>
    </w:p>
    <w:bookmarkEnd w:id="37"/>
    <w:bookmarkStart w:id="38" w:name="recommendations-for-emission-reduction"/>
    <w:p>
      <w:pPr>
        <w:pStyle w:val="Heading3"/>
      </w:pPr>
      <w:r>
        <w:t xml:space="preserve">5.3. Recommendations for Emission Reduction</w:t>
      </w:r>
    </w:p>
    <w:p>
      <w:pPr>
        <w:numPr>
          <w:ilvl w:val="0"/>
          <w:numId w:val="1017"/>
        </w:numPr>
        <w:pStyle w:val="Compact"/>
      </w:pPr>
      <w:r>
        <w:rPr>
          <w:bCs/>
          <w:b/>
        </w:rPr>
        <w:t xml:space="preserve">Enhance Product Energy Efficiency:</w:t>
      </w:r>
      <w:r>
        <w:t xml:space="preserve"> </w:t>
      </w:r>
      <w:r>
        <w:t xml:space="preserve">Focus on R&amp;D to significantly reduce energy consumption during the product\'s use phase. This is the largest hotspot and offers the greatest potential for impact reduction.</w:t>
      </w:r>
    </w:p>
    <w:p>
      <w:pPr>
        <w:numPr>
          <w:ilvl w:val="0"/>
          <w:numId w:val="1017"/>
        </w:numPr>
        <w:pStyle w:val="Compact"/>
      </w:pPr>
      <w:r>
        <w:rPr>
          <w:bCs/>
          <w:b/>
        </w:rPr>
        <w:t xml:space="preserve">Sustainable Material Sourcing:</w:t>
      </w:r>
      <w:r>
        <w:t xml:space="preserve"> </w:t>
      </w:r>
      <w:r>
        <w:t xml:space="preserve">Explore opportunities for using lower-carbon alternatives for high-impact materials (e.g., recycled aluminum, bio-based plastics) or engaging with suppliers to reduce their process emissions.</w:t>
      </w:r>
    </w:p>
    <w:p>
      <w:pPr>
        <w:numPr>
          <w:ilvl w:val="0"/>
          <w:numId w:val="1017"/>
        </w:numPr>
        <w:pStyle w:val="Compact"/>
      </w:pPr>
      <w:r>
        <w:rPr>
          <w:bCs/>
          <w:b/>
        </w:rPr>
        <w:t xml:space="preserve">Extend Product Lifespan &amp; Improve Repairability:</w:t>
      </w:r>
      <w:r>
        <w:t xml:space="preserve"> </w:t>
      </w:r>
      <w:r>
        <w:t xml:space="preserve">Increasing the lifespan of</w:t>
      </w:r>
      <w:r>
        <w:t xml:space="preserve"> </w:t>
      </w:r>
      <w:r>
        <w:t xml:space="preserve">dnlosnizls</w:t>
      </w:r>
      <w:r>
        <w:t xml:space="preserve"> </w:t>
      </w:r>
      <w:r>
        <w:t xml:space="preserve">beyond</w:t>
      </w:r>
      <w:r>
        <w:t xml:space="preserve"> </w:t>
      </w:r>
      <w:r>
        <w:t xml:space="preserve">5 years</w:t>
      </w:r>
      <w:r>
        <w:t xml:space="preserve"> </w:t>
      </w:r>
      <w:r>
        <w:t xml:space="preserve">could dilute the embodied emissions over a longer period. Designing for easy repair and upgrades would also contribute.</w:t>
      </w:r>
    </w:p>
    <w:p>
      <w:pPr>
        <w:numPr>
          <w:ilvl w:val="0"/>
          <w:numId w:val="1017"/>
        </w:numPr>
        <w:pStyle w:val="Compact"/>
      </w:pPr>
      <w:r>
        <w:rPr>
          <w:bCs/>
          <w:b/>
        </w:rPr>
        <w:t xml:space="preserve">Optimize End-of-Life Systems:</w:t>
      </w:r>
      <w:r>
        <w:t xml:space="preserve"> </w:t>
      </w:r>
      <w:r>
        <w:t xml:space="preserve">Leverage and expand the</w:t>
      </w:r>
      <w:r>
        <w:t xml:space="preserve"> </w:t>
      </w:r>
      <w:r>
        <w:t xml:space="preserve">Company-wide take-back program for end-of-life products</w:t>
      </w:r>
      <w:r>
        <w:t xml:space="preserve"> </w:t>
      </w:r>
      <w:r>
        <w:t xml:space="preserve">to maximize material recovery and explore partnerships for advanced recycling technologies.</w:t>
      </w:r>
    </w:p>
    <w:p>
      <w:pPr>
        <w:numPr>
          <w:ilvl w:val="0"/>
          <w:numId w:val="1017"/>
        </w:numPr>
        <w:pStyle w:val="Compact"/>
      </w:pPr>
      <w:r>
        <w:rPr>
          <w:bCs/>
          <w:b/>
        </w:rPr>
        <w:t xml:space="preserve">Supplier Engagement:</w:t>
      </w:r>
      <w:r>
        <w:t xml:space="preserve"> </w:t>
      </w:r>
      <w:r>
        <w:t xml:space="preserve">Work with key suppliers in Europe and China to collect more specific, primary emission data and encourage their own decarbonization efforts.</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dnlosnizls - jhmilfvrqz</dc:title>
  <dc:creator/>
  <dc:description>Detailed Product Carbon Footprint (PCF) analysis report for dnlosnizls, manufactured by jhmilfvrqz, following GHG Protocol standards.</dc:description>
  <dc:language>en</dc:language>
  <cp:keywords/>
  <dcterms:created xsi:type="dcterms:W3CDTF">2026-07-15T09:47:23Z</dcterms:created>
  <dcterms:modified xsi:type="dcterms:W3CDTF">2026-07-15T09:47:23Z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