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dnizoygpdp</w:t>
      </w:r>
    </w:p>
    <w:p>
      <w:pPr>
        <w:pStyle w:val="FirstParagraph"/>
      </w:pPr>
      <w:r>
        <w:t xml:space="preserve">carboncalcpcf.com</w:t>
      </w:r>
    </w:p>
    <w:bookmarkStart w:id="21" w:name="Xf2e6ab5be446359d80f42f50d41e46314dfe19d"/>
    <w:p>
      <w:pPr>
        <w:pStyle w:val="Heading1"/>
      </w:pPr>
      <w:r>
        <w:t xml:space="preserve">Product Carbon Footprint (PCF) Analysis Report</w:t>
      </w:r>
    </w:p>
    <w:bookmarkStart w:id="20" w:name="for-product-dnizoygpdp"/>
    <w:p>
      <w:pPr>
        <w:pStyle w:val="Heading2"/>
      </w:pPr>
      <w:r>
        <w:t xml:space="preserve">For Product: dnizoygpdp</w:t>
      </w:r>
    </w:p>
    <w:p>
      <w:pPr>
        <w:pStyle w:val="FirstParagraph"/>
      </w:pPr>
      <w:r>
        <w:t xml:space="preserve">**Company Name:** syxxfdsxon</w:t>
      </w:r>
    </w:p>
    <w:p>
      <w:pPr>
        <w:pStyle w:val="BodyText"/>
      </w:pPr>
      <w:r>
        <w:t xml:space="preserve">**Senior Sustainability Consultant:** mrvnfqkhkp</w:t>
      </w:r>
    </w:p>
    <w:p>
      <w:pPr>
        <w:pStyle w:val="BodyText"/>
      </w:pPr>
      <w:r>
        <w:t xml:space="preserve">**Accounting Standard:** GHG Protocol</w:t>
      </w:r>
    </w:p>
    <w:p>
      <w:pPr>
        <w:pStyle w:val="BodyText"/>
      </w:pPr>
      <w:r>
        <w:t xml:space="preserve">*Disclaimer: This report is generated based on available data and industry standards.</w:t>
      </w:r>
      <w:r>
        <w:t xml:space="preserve"> </w:t>
      </w:r>
      <w:r>
        <w:t xml:space="preserve">While every effort has been made to ensure accuracy, the actual environmental impact</w:t>
      </w:r>
      <w:r>
        <w:t xml:space="preserve"> </w:t>
      </w:r>
      <w:r>
        <w:t xml:space="preserve">may vary due to real-world complexities, data limitations, and specific operational variables.*</w:t>
      </w:r>
    </w:p>
    <w:bookmarkEnd w:id="20"/>
    <w:bookmarkEnd w:id="21"/>
    <w:bookmarkStart w:id="42" w:name="Xc62cb1f6e57bd1d43b1a5fae43a8e2877ec5c7f"/>
    <w:p>
      <w:pPr>
        <w:pStyle w:val="Heading1"/>
      </w:pPr>
      <w:r>
        <w:t xml:space="preserve">Product Carbon Footprint (PCF) Analysis Report</w:t>
      </w:r>
    </w:p>
    <w:p>
      <w:pPr>
        <w:pStyle w:val="FirstParagraph"/>
      </w:pPr>
      <w:r>
        <w:rPr>
          <w:bCs/>
          <w:b/>
        </w:rPr>
        <w:t xml:space="preserve">Generated Date:</w:t>
      </w:r>
      <w:r>
        <w:t xml:space="preserve"> </w:t>
      </w:r>
      <w:r>
        <w:t xml:space="preserve">May 26, 2026</w:t>
      </w:r>
    </w:p>
    <w:p>
      <w:pPr>
        <w:pStyle w:val="BodyText"/>
      </w:pPr>
      <w:r>
        <w:rPr>
          <w:bCs/>
          <w:b/>
        </w:rPr>
        <w:t xml:space="preserve">Senior Sustainability Consultant:</w:t>
      </w:r>
      <w:r>
        <w:t xml:space="preserve"> </w:t>
      </w:r>
      <w:r>
        <w:t xml:space="preserve">mrvnfqkhkp</w:t>
      </w:r>
    </w:p>
    <w:p>
      <w:pPr>
        <w:pStyle w:val="BodyText"/>
      </w:pPr>
      <w:r>
        <w:t xml:space="preserve">This report presents a high-detail Product Carbon Footprint (PCF) analysis for the product dnizoygpdp, manufactured by syxxfdsxon. The analysis adheres to the Greenhouse Gas (GHG) Protocol, an internationally recognized accounting standard, and incorporates the latest 2026 updates regarding the Land Sector and Removals (LSR) Standard and enhanced Scope 3 reporting requirements.</w:t>
      </w:r>
    </w:p>
    <w:p>
      <w:pPr>
        <w:pStyle w:val="BodyText"/>
      </w:pPr>
      <w:r>
        <w:t xml:space="preserve">The primary objective is to quantify the greenhouse gas emissions associated with the entire lifecycle of dnizoygpdp, from raw material extraction to end-of-life treatment, expressed in kilograms of carbon dioxide equivalent (kg CO2e).</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Product Carbon Footprint analysis provides a comprehensive overview of the environmental impact of dnizoygpdp. The assessment identifies key emission hotspots across the product\'s lifecycle, with a particular focus on material acquisition, manufacturing energy, transportation, the use phase, and end-of-life scenarios. By detailing these impacts, syxxfdsxon can pinpoint areas for strategic intervention to reduce its carbon footprint and enhance its sustainability profile in line with evolving regulatory and stakeholder expectations. The report also addresses compliance with the GHG Protocol\'s 2026 Land Sector and Removals (LSR) Standard and the mandate for at least 95% Scope 3 emissions coverage.</w:t>
      </w:r>
    </w:p>
    <w:p>
      <w:r>
        <w:pict>
          <v:rect style="width:0;height:1.5pt" o:hralign="center" o:hrstd="t" o:hr="t"/>
        </w:pict>
      </w:r>
    </w:p>
    <w:bookmarkEnd w:id="22"/>
    <w:bookmarkStart w:id="23" w:name="define-scope"/>
    <w:p>
      <w:pPr>
        <w:pStyle w:val="Heading2"/>
      </w:pPr>
      <w:r>
        <w:t xml:space="preserve">1. Define Scope</w:t>
      </w:r>
    </w:p>
    <w:p>
      <w:pPr>
        <w:pStyle w:val="FirstParagraph"/>
      </w:pPr>
      <w:r>
        <w:t xml:space="preserve">The first step in this PCF analysis is to clearly define the scope of the assessment, ensuring consistency and comparability of results.</w:t>
      </w:r>
    </w:p>
    <w:p>
      <w:pPr>
        <w:numPr>
          <w:ilvl w:val="0"/>
          <w:numId w:val="1001"/>
        </w:numPr>
        <w:pStyle w:val="Compact"/>
      </w:pPr>
      <w:r>
        <w:rPr>
          <w:bCs/>
          <w:b/>
        </w:rPr>
        <w:t xml:space="preserve">Product Name:</w:t>
      </w:r>
      <w:r>
        <w:t xml:space="preserve"> </w:t>
      </w:r>
      <w:r>
        <w:t xml:space="preserve">dnizoygpdp</w:t>
      </w:r>
    </w:p>
    <w:p>
      <w:pPr>
        <w:numPr>
          <w:ilvl w:val="0"/>
          <w:numId w:val="1001"/>
        </w:numPr>
        <w:pStyle w:val="Compact"/>
      </w:pPr>
      <w:r>
        <w:rPr>
          <w:bCs/>
          <w:b/>
        </w:rPr>
        <w:t xml:space="preserve">Company Name:</w:t>
      </w:r>
      <w:r>
        <w:t xml:space="preserve"> </w:t>
      </w:r>
      <w:r>
        <w:t xml:space="preserve">syxxfdsxon</w:t>
      </w:r>
    </w:p>
    <w:p>
      <w:pPr>
        <w:numPr>
          <w:ilvl w:val="0"/>
          <w:numId w:val="1001"/>
        </w:numPr>
        <w:pStyle w:val="Compact"/>
      </w:pPr>
      <w:r>
        <w:rPr>
          <w:bCs/>
          <w:b/>
        </w:rPr>
        <w:t xml:space="preserve">Functional Unit:</w:t>
      </w:r>
      <w:r>
        <w:t xml:space="preserve"> </w:t>
      </w:r>
      <w:r>
        <w:t xml:space="preserve">1.0 unit of dnizoygpdp. This represents the reference unit to which all inputs and outputs are normalized.</w:t>
      </w:r>
    </w:p>
    <w:p>
      <w:pPr>
        <w:numPr>
          <w:ilvl w:val="0"/>
          <w:numId w:val="1001"/>
        </w:numPr>
        <w:pStyle w:val="Compact"/>
      </w:pPr>
      <w:r>
        <w:rPr>
          <w:bCs/>
          <w:b/>
        </w:rPr>
        <w:t xml:space="preserve">System Boundary:</w:t>
      </w:r>
      <w:r>
        <w:t xml:space="preserve"> </w:t>
      </w:r>
      <w:r>
        <w:t xml:space="preserve">factory_gate. This "cradle-to-gate" boundary for initial assessment includes raw material acquisition, manufacturing, and transport to the factory gate. However, for a complete PCF, a "cradle-to-grave" approach has been adopted to include the use phase and end-of-life treatment, aligning with comprehensive product lifecycle assessments.</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(for raw material sourcing and potentially outbound distribution)</w:t>
      </w:r>
    </w:p>
    <w:p>
      <w:pPr>
        <w:numPr>
          <w:ilvl w:val="0"/>
          <w:numId w:val="1001"/>
        </w:numPr>
        <w:pStyle w:val="Compact"/>
      </w:pPr>
      <w:r>
        <w:rPr>
          <w:bCs/>
          <w:b/>
        </w:rPr>
        <w:t xml:space="preserve">Accounting Standard:</w:t>
      </w:r>
      <w:r>
        <w:t xml:space="preserve"> </w:t>
      </w:r>
      <w:r>
        <w:t xml:space="preserve">GHG Protocol. All emissions are categorized into Scope 1 (direct emissions), Scope 2 (indirect emissions from purchased energy), and Scope 3 (all other indirect emissions across the value chain).</w:t>
      </w:r>
    </w:p>
    <w:p>
      <w:pPr>
        <w:numPr>
          <w:ilvl w:val="0"/>
          <w:numId w:val="1001"/>
        </w:numPr>
        <w:pStyle w:val="Compact"/>
      </w:pPr>
      <w:r>
        <w:rPr>
          <w:bCs/>
          <w:b/>
        </w:rPr>
        <w:t xml:space="preserve">Allocation:</w:t>
      </w:r>
      <w:r>
        <w:t xml:space="preserve"> </w:t>
      </w:r>
      <w:r>
        <w:t xml:space="preserve">Emissions are directly attributed to the functional unit based on material quantities, energy consumption, and transport distances specific to dnizoygpdp. For shared processes or infrastructure, appropriate allocation methods (e.g., mass-based, economic-based) would be applied where primary data is unavailable, though direct attribution is prioritized for accuracy.</w:t>
      </w:r>
    </w:p>
    <w:p>
      <w:r>
        <w:pict>
          <v:rect style="width:0;height:1.5pt" o:hralign="center" o:hrstd="t" o:hr="t"/>
        </w:pict>
      </w:r>
    </w:p>
    <w:bookmarkEnd w:id="23"/>
    <w:bookmarkStart w:id="29" w:name="map-lifecycle-3.-collect-data"/>
    <w:p>
      <w:pPr>
        <w:pStyle w:val="Heading2"/>
      </w:pPr>
      <w:r>
        <w:t xml:space="preserve">2. Map Lifecycle &amp; 3. Collect Data</w:t>
      </w:r>
    </w:p>
    <w:p>
      <w:pPr>
        <w:pStyle w:val="FirstParagraph"/>
      </w:pPr>
      <w:r>
        <w:t xml:space="preserve">The lifecycle of dnizoygpdp is mapped into distinct stages, and relevant primary and secondary data points are collected to quantify environmental impacts. The following sections detail the data inputs for each stage.</w:t>
      </w:r>
    </w:p>
    <w:bookmarkStart w:id="24" w:name="X99534d3491f1be0f49b57acaf828e881b6d5c21"/>
    <w:p>
      <w:pPr>
        <w:pStyle w:val="Heading3"/>
      </w:pPr>
      <w:r>
        <w:t xml:space="preserve">2.1. Material Acquisition &amp; Processing (Upstream - Scope 3, Category 1)</w:t>
      </w:r>
    </w:p>
    <w:p>
      <w:pPr>
        <w:pStyle w:val="FirstParagraph"/>
      </w:pPr>
      <w:r>
        <w:t xml:space="preserve">The Bill of Materials (BOM) for dnizoygpdp, provided as `vnzoyneh`, is crucial for high-accuracy material impact calculation. Each item\'s specific quantity, emission factor, and total carbon footprint are used directly in the calculations.</w:t>
      </w:r>
    </w:p>
    <w:p>
      <w:pPr>
        <w:pStyle w:val="BodyText"/>
      </w:pPr>
      <w:r>
        <w:t xml:space="preserve">trim($parts),</w:t>
      </w:r>
      <w:r>
        <w:t xml:space="preserve"> </w:t>
      </w:r>
      <w:r>
        <w:t xml:space="preserve">\'Description\' =&gt; trim($parts),</w:t>
      </w:r>
      <w:r>
        <w:t xml:space="preserve"> </w:t>
      </w:r>
      <w:r>
        <w:t xml:space="preserve">\'Category\' =&gt; trim($parts),</w:t>
      </w:r>
      <w:r>
        <w:t xml:space="preserve"> </w:t>
      </w:r>
      <w:r>
        <w:t xml:space="preserve">\'Process\' =&gt; trim($parts),</w:t>
      </w:r>
      <w:r>
        <w:t xml:space="preserve"> </w:t>
      </w:r>
      <w:r>
        <w:t xml:space="preserve">\'Qty\' =&gt; (float)trim($parts),</w:t>
      </w:r>
      <w:r>
        <w:t xml:space="preserve"> </w:t>
      </w:r>
      <w:r>
        <w:t xml:space="preserve">\'Unit\' =&gt; trim($parts),</w:t>
      </w:r>
      <w:r>
        <w:t xml:space="preserve"> </w:t>
      </w:r>
      <w:r>
        <w:t xml:space="preserve">\'Emission Factor\' =&gt; (float)trim($parts),</w:t>
      </w:r>
      <w:r>
        <w:t xml:space="preserve"> </w:t>
      </w:r>
      <w:r>
        <w:t xml:space="preserve">\'Total Carbon\' =&gt; (float)trim($parts)</w:t>
      </w:r>
      <w:r>
        <w:t xml:space="preserve"> </w:t>
      </w:r>
      <w:r>
        <w:t xml:space="preserve">];</w:t>
      </w:r>
      <w:r>
        <w:t xml:space="preserve"> </w:t>
      </w:r>
      <w:r>
        <w:t xml:space="preserve">if (strtolower(trim($parts)) == \'kg\') {</w:t>
      </w:r>
      <w:r>
        <w:t xml:space="preserve"> </w:t>
      </w:r>
      <w:r>
        <w:t xml:space="preserve">$total_bom_mass += (float)trim($parts);</w:t>
      </w:r>
      <w:r>
        <w:t xml:space="preserve"> </w:t>
      </w:r>
      <w:r>
        <w:t xml:space="preserve">} elseif (strtolower(trim($parts)) == \'unit\' &amp;&amp; trim($parts) == \'Circuit Board\') {</w:t>
      </w:r>
      <w:r>
        <w:t xml:space="preserve"> </w:t>
      </w:r>
      <w:r>
        <w:t xml:space="preserve">// Assuming typical circuit board weight for estimation, e.g., 0.1 kg for 0.1 unit, or estimate a weight.</w:t>
      </w:r>
      <w:r>
        <w:t xml:space="preserve"> </w:t>
      </w:r>
      <w:r>
        <w:t xml:space="preserve">// For this report, we\'ll assume the \'Total Carbon\' implicitly accounts for its mass contribution.</w:t>
      </w:r>
      <w:r>
        <w:t xml:space="preserve"> </w:t>
      </w:r>
      <w:r>
        <w:t xml:space="preserve">}</w:t>
      </w:r>
      <w:r>
        <w:t xml:space="preserve"> </w:t>
      </w:r>
      <w:r>
        <w:t xml:space="preserve">}</w:t>
      </w:r>
      <w:r>
        <w:t xml:space="preserve"> </w:t>
      </w:r>
      <w:r>
        <w:t xml:space="preserve">}</w:t>
      </w:r>
      <w:r>
        <w:t xml:space="preserve"> </w:t>
      </w:r>
      <w:r>
        <w:t xml:space="preserve">// Assume average product mass for transport calculations, combining BOM mass and some overhead.</w:t>
      </w:r>
      <w:r>
        <w:t xml:space="preserve"> </w:t>
      </w:r>
      <w:r>
        <w:t xml:space="preserve">$product_weight_kg = $total_bom_mass &gt; 0 ? $total_bom_mass * 1.2 : 0.8; // If BOM has mass, add 20% for packaging/other, otherwise assume 0.8kg.</w:t>
      </w:r>
      <w:r>
        <w:t xml:space="preserve"> </w:t>
      </w:r>
      <w:r>
        <w:t xml:space="preserve">if ($product_weight_kg &lt; 0.5) $product_weight_kg = 0.8; // Ensure a reasonable weight for transport calculation</w:t>
      </w:r>
      <w:r>
        <w:t xml:space="preserve"> </w:t>
      </w:r>
      <w:r>
        <w:t xml:space="preserve">echo \'</w:t>
      </w:r>
    </w:p>
    <w:p>
      <w:pPr>
        <w:pStyle w:val="BodyText"/>
      </w:pPr>
      <w:r>
        <w:t xml:space="preserve">\';</w:t>
      </w:r>
      <w:r>
        <w:t xml:space="preserve"> </w:t>
      </w:r>
      <w:r>
        <w:t xml:space="preserve">echo \'</w:t>
      </w:r>
    </w:p>
    <w:p>
      <w:pPr>
        <w:pStyle w:val="BodyText"/>
      </w:pPr>
      <w:r>
        <w:t xml:space="preserve">ID</w:t>
      </w:r>
    </w:p>
    <w:p>
      <w:pPr>
        <w:pStyle w:val="BodyText"/>
      </w:pPr>
      <w:r>
        <w:t xml:space="preserve">Description</w:t>
      </w:r>
    </w:p>
    <w:p>
      <w:pPr>
        <w:pStyle w:val="BodyText"/>
      </w:pPr>
      <w:r>
        <w:t xml:space="preserve">Category</w:t>
      </w:r>
    </w:p>
    <w:p>
      <w:pPr>
        <w:pStyle w:val="BodyText"/>
      </w:pPr>
      <w:r>
        <w:t xml:space="preserve">Process</w:t>
      </w:r>
    </w:p>
    <w:p>
      <w:pPr>
        <w:pStyle w:val="BodyText"/>
      </w:pPr>
      <w:r>
        <w:t xml:space="preserve">Quantity</w:t>
      </w:r>
    </w:p>
    <w:p>
      <w:pPr>
        <w:pStyle w:val="BodyText"/>
      </w:pPr>
      <w:r>
        <w:t xml:space="preserve">Unit</w:t>
      </w:r>
    </w:p>
    <w:p>
      <w:pPr>
        <w:pStyle w:val="BodyText"/>
      </w:pPr>
      <w:r>
        <w:t xml:space="preserve">Emission Factor (kg CO2e/unit)</w:t>
      </w:r>
    </w:p>
    <w:p>
      <w:pPr>
        <w:pStyle w:val="BodyText"/>
      </w:pPr>
      <w:r>
        <w:t xml:space="preserve">Total Carbon (kg CO2e)</w:t>
      </w:r>
    </w:p>
    <w:p>
      <w:pPr>
        <w:pStyle w:val="BodyText"/>
      </w:pPr>
      <w:r>
        <w:t xml:space="preserve">\';</w:t>
      </w:r>
      <w:r>
        <w:t xml:space="preserve"> </w:t>
      </w:r>
      <w:r>
        <w:t xml:space="preserve">echo \'</w:t>
      </w:r>
    </w:p>
    <w:p>
      <w:pPr>
        <w:pStyle w:val="BodyText"/>
      </w:pPr>
      <w:r>
        <w:t xml:space="preserve">\';</w:t>
      </w:r>
      <w:r>
        <w:t xml:space="preserve"> </w:t>
      </w:r>
      <w:r>
        <w:t xml:space="preserve">foreach ($parsed_bom as $item) {</w:t>
      </w:r>
      <w:r>
        <w:t xml:space="preserve"> </w:t>
      </w:r>
      <w:r>
        <w:t xml:space="preserve">echo \'</w:t>
      </w:r>
    </w:p>
    <w:p>
      <w:pPr>
        <w:pStyle w:val="BodyText"/>
      </w:pPr>
      <w:r>
        <w:t xml:space="preserve">\';</w:t>
      </w:r>
      <w:r>
        <w:t xml:space="preserve"> </w:t>
      </w:r>
      <w:r>
        <w:t xml:space="preserve">echo \'</w:t>
      </w:r>
    </w:p>
    <w:p>
      <w:pPr>
        <w:pStyle w:val="BodyText"/>
      </w:pPr>
      <w:r>
        <w:t xml:space="preserve">\' . $item[\'ID\'] . \'</w:t>
      </w:r>
    </w:p>
    <w:p>
      <w:pPr>
        <w:pStyle w:val="BodyText"/>
      </w:pPr>
      <w:r>
        <w:t xml:space="preserve">\';</w:t>
      </w:r>
      <w:r>
        <w:t xml:space="preserve"> </w:t>
      </w:r>
      <w:r>
        <w:t xml:space="preserve">echo \'</w:t>
      </w:r>
    </w:p>
    <w:p>
      <w:pPr>
        <w:pStyle w:val="BodyText"/>
      </w:pPr>
      <w:r>
        <w:t xml:space="preserve">\' . $item[\'Description\'] . \'</w:t>
      </w:r>
    </w:p>
    <w:p>
      <w:pPr>
        <w:pStyle w:val="BodyText"/>
      </w:pPr>
      <w:r>
        <w:t xml:space="preserve">\';</w:t>
      </w:r>
      <w:r>
        <w:t xml:space="preserve"> </w:t>
      </w:r>
      <w:r>
        <w:t xml:space="preserve">echo \'</w:t>
      </w:r>
    </w:p>
    <w:p>
      <w:pPr>
        <w:pStyle w:val="BodyText"/>
      </w:pPr>
      <w:r>
        <w:t xml:space="preserve">\' . $item[\'Category\'] . \'</w:t>
      </w:r>
    </w:p>
    <w:p>
      <w:pPr>
        <w:pStyle w:val="BodyText"/>
      </w:pPr>
      <w:r>
        <w:t xml:space="preserve">\';</w:t>
      </w:r>
      <w:r>
        <w:t xml:space="preserve"> </w:t>
      </w:r>
      <w:r>
        <w:t xml:space="preserve">echo \'</w:t>
      </w:r>
    </w:p>
    <w:p>
      <w:pPr>
        <w:pStyle w:val="BodyText"/>
      </w:pPr>
      <w:r>
        <w:t xml:space="preserve">\' . $item[\'Process\'] . \'</w:t>
      </w:r>
    </w:p>
    <w:p>
      <w:pPr>
        <w:pStyle w:val="BodyText"/>
      </w:pPr>
      <w:r>
        <w:t xml:space="preserve">\';</w:t>
      </w:r>
      <w:r>
        <w:t xml:space="preserve"> </w:t>
      </w:r>
      <w:r>
        <w:t xml:space="preserve">echo \'</w:t>
      </w:r>
    </w:p>
    <w:p>
      <w:pPr>
        <w:pStyle w:val="BodyText"/>
      </w:pPr>
      <w:r>
        <w:t xml:space="preserve">\' . $item[\'Qty\'] . \'</w:t>
      </w:r>
    </w:p>
    <w:p>
      <w:pPr>
        <w:pStyle w:val="BodyText"/>
      </w:pPr>
      <w:r>
        <w:t xml:space="preserve">\';</w:t>
      </w:r>
      <w:r>
        <w:t xml:space="preserve"> </w:t>
      </w:r>
      <w:r>
        <w:t xml:space="preserve">echo \'</w:t>
      </w:r>
    </w:p>
    <w:p>
      <w:pPr>
        <w:pStyle w:val="BodyText"/>
      </w:pPr>
      <w:r>
        <w:t xml:space="preserve">\' . $item[\'Unit\'] . \'</w:t>
      </w:r>
    </w:p>
    <w:p>
      <w:pPr>
        <w:pStyle w:val="BodyText"/>
      </w:pPr>
      <w:r>
        <w:t xml:space="preserve">\';</w:t>
      </w:r>
      <w:r>
        <w:t xml:space="preserve"> </w:t>
      </w:r>
      <w:r>
        <w:t xml:space="preserve">echo \'</w:t>
      </w:r>
    </w:p>
    <w:p>
      <w:pPr>
        <w:pStyle w:val="BodyText"/>
      </w:pPr>
      <w:r>
        <w:t xml:space="preserve">\' . $item[\'Emission Factor\'] . \'</w:t>
      </w:r>
    </w:p>
    <w:p>
      <w:pPr>
        <w:pStyle w:val="BodyText"/>
      </w:pPr>
      <w:r>
        <w:t xml:space="preserve">\';</w:t>
      </w:r>
      <w:r>
        <w:t xml:space="preserve"> </w:t>
      </w:r>
      <w:r>
        <w:t xml:space="preserve">echo \'</w:t>
      </w:r>
    </w:p>
    <w:p>
      <w:pPr>
        <w:pStyle w:val="BodyText"/>
      </w:pPr>
      <w:r>
        <w:t xml:space="preserve">\' . $item[\'Total Carbon\'] . \'</w:t>
      </w:r>
    </w:p>
    <w:p>
      <w:pPr>
        <w:pStyle w:val="BodyText"/>
      </w:pPr>
      <w:r>
        <w:t xml:space="preserve">\';</w:t>
      </w:r>
      <w:r>
        <w:t xml:space="preserve"> </w:t>
      </w:r>
      <w:r>
        <w:t xml:space="preserve">echo \'</w:t>
      </w:r>
    </w:p>
    <w:p>
      <w:pPr>
        <w:pStyle w:val="BodyText"/>
      </w:pPr>
      <w:r>
        <w:t xml:space="preserve">\';</w:t>
      </w:r>
      <w:r>
        <w:t xml:space="preserve"> </w:t>
      </w:r>
      <w:r>
        <w:t xml:space="preserve">}</w:t>
      </w:r>
      <w:r>
        <w:t xml:space="preserve"> </w:t>
      </w:r>
      <w:r>
        <w:t xml:space="preserve">echo \'</w:t>
      </w:r>
    </w:p>
    <w:p>
      <w:pPr>
        <w:pStyle w:val="BodyText"/>
      </w:pPr>
      <w:r>
        <w:t xml:space="preserve">\';</w:t>
      </w:r>
      <w:r>
        <w:t xml:space="preserve"> </w:t>
      </w:r>
      <w:r>
        <w:t xml:space="preserve">echo \'</w:t>
      </w:r>
    </w:p>
    <w:p>
      <w:pPr>
        <w:pStyle w:val="BodyText"/>
      </w:pPr>
      <w:r>
        <w:t xml:space="preserve">\';</w:t>
      </w:r>
      <w:r>
        <w:t xml:space="preserve"> </w:t>
      </w:r>
      <w:r>
        <w:t xml:space="preserve">?&gt;</w:t>
      </w:r>
    </w:p>
    <w:bookmarkEnd w:id="24"/>
    <w:bookmarkStart w:id="25" w:name="manufacturing-phase"/>
    <w:p>
      <w:pPr>
        <w:pStyle w:val="Heading3"/>
      </w:pPr>
      <w:r>
        <w:t xml:space="preserve">2.2. Manufacturing Phase</w:t>
      </w:r>
    </w:p>
    <w:p>
      <w:pPr>
        <w:pStyle w:val="FirstParagraph"/>
      </w:pPr>
      <w:r>
        <w:t xml:space="preserve">Energy consumption during the production of dnizoygpdp is a significant factor.</w:t>
      </w:r>
    </w:p>
    <w:p>
      <w:pPr>
        <w:numPr>
          <w:ilvl w:val="0"/>
          <w:numId w:val="1003"/>
        </w:numPr>
        <w:pStyle w:val="Compact"/>
      </w:pPr>
      <w:r>
        <w:rPr>
          <w:bCs/>
          <w:b/>
        </w:rPr>
        <w:t xml:space="preserve">Energy Intensity (kWh/unit):</w:t>
      </w:r>
    </w:p>
    <w:p>
      <w:pPr>
        <w:numPr>
          <w:ilvl w:val="0"/>
          <w:numId w:val="1000"/>
        </w:numPr>
        <w:pStyle w:val="Compact"/>
      </w:pPr>
      <w:r>
        <w:t xml:space="preserve">(Assumed: 2.5 kWh/unit)</w:t>
      </w:r>
    </w:p>
    <w:p>
      <w:pPr>
        <w:numPr>
          <w:ilvl w:val="0"/>
          <w:numId w:val="1003"/>
        </w:numPr>
        <w:pStyle w:val="Compact"/>
      </w:pPr>
      <w:r>
        <w:rPr>
          <w:bCs/>
          <w:b/>
        </w:rPr>
        <w:t xml:space="preserve">Renewable Energy Usage:</w:t>
      </w:r>
    </w:p>
    <w:p>
      <w:pPr>
        <w:numPr>
          <w:ilvl w:val="0"/>
          <w:numId w:val="1000"/>
        </w:numPr>
        <w:pStyle w:val="Compact"/>
      </w:pPr>
      <w:r>
        <w:t xml:space="preserve">(Assumed: 50%)</w:t>
      </w:r>
    </w:p>
    <w:p>
      <w:pPr>
        <w:numPr>
          <w:ilvl w:val="0"/>
          <w:numId w:val="1003"/>
        </w:numPr>
        <w:pStyle w:val="Compact"/>
      </w:pPr>
      <w:r>
        <w:rPr>
          <w:bCs/>
          <w:b/>
        </w:rPr>
        <w:t xml:space="preserve">Geographic Location of Production:</w:t>
      </w:r>
      <w:r>
        <w:t xml:space="preserve"> </w:t>
      </w:r>
      <w:r>
        <w:t xml:space="preserve">China</w:t>
      </w:r>
    </w:p>
    <w:p>
      <w:pPr>
        <w:numPr>
          <w:ilvl w:val="0"/>
          <w:numId w:val="1003"/>
        </w:numPr>
        <w:pStyle w:val="Compact"/>
      </w:pPr>
      <w:r>
        <w:rPr>
          <w:bCs/>
          <w:b/>
        </w:rPr>
        <w:t xml:space="preserve">Chinese Grid Emission Factor (2025 forecast):</w:t>
      </w:r>
      <w:r>
        <w:t xml:space="preserve"> </w:t>
      </w:r>
      <w:r>
        <w:t xml:space="preserve">0.6144 kg CO2e/kWh.</w:t>
      </w:r>
    </w:p>
    <w:p>
      <w:pPr>
        <w:numPr>
          <w:ilvl w:val="0"/>
          <w:numId w:val="1003"/>
        </w:numPr>
        <w:pStyle w:val="Compact"/>
      </w:pPr>
      <w:r>
        <w:rPr>
          <w:bCs/>
          <w:b/>
        </w:rPr>
        <w:t xml:space="preserve">Renewable Energy Emission Factor:</w:t>
      </w:r>
      <w:r>
        <w:t xml:space="preserve"> </w:t>
      </w:r>
      <w:r>
        <w:t xml:space="preserve">0 kg CO2e/kWh (assuming certified renewable sources with zero upstream emissions).</w:t>
      </w:r>
    </w:p>
    <w:bookmarkEnd w:id="25"/>
    <w:bookmarkStart w:id="26" w:name="transportation-and-distribution"/>
    <w:p>
      <w:pPr>
        <w:pStyle w:val="Heading3"/>
      </w:pPr>
      <w:r>
        <w:t xml:space="preserve">2.3. Transportation and Distribution</w:t>
      </w:r>
    </w:p>
    <w:p>
      <w:pPr>
        <w:pStyle w:val="FirstParagraph"/>
      </w:pPr>
      <w:r>
        <w:t xml:space="preserve">Logistics play a critical role in the product\'s overall footprint, encompassing both inbound and outbound movements.</w:t>
      </w:r>
    </w:p>
    <w:p>
      <w:pPr>
        <w:numPr>
          <w:ilvl w:val="0"/>
          <w:numId w:val="1004"/>
        </w:numPr>
        <w:pStyle w:val="Compact"/>
      </w:pPr>
      <w:r>
        <w:rPr>
          <w:bCs/>
          <w:b/>
        </w:rPr>
        <w:t xml:space="preserve">Inbound Transport (Supply Chain Focus: Europe Focused):</w:t>
      </w:r>
    </w:p>
    <w:p>
      <w:pPr>
        <w:numPr>
          <w:ilvl w:val="1"/>
          <w:numId w:val="1005"/>
        </w:numPr>
        <w:pStyle w:val="Compact"/>
      </w:pPr>
      <w:r>
        <w:rPr>
          <w:bCs/>
          <w:b/>
        </w:rPr>
        <w:t xml:space="preserve">Transport Mode:</w:t>
      </w:r>
      <w:r>
        <w:t xml:space="preserve"> </w:t>
      </w:r>
      <w:r>
        <w:t xml:space="preserve">Select Mode (Assumed: Sea Freight for bulk materials from Europe to China)</w:t>
      </w:r>
    </w:p>
    <w:p>
      <w:pPr>
        <w:numPr>
          <w:ilvl w:val="1"/>
          <w:numId w:val="1005"/>
        </w:numPr>
        <w:pStyle w:val="Compact"/>
      </w:pPr>
      <w:r>
        <w:rPr>
          <w:bCs/>
          <w:b/>
        </w:rPr>
        <w:t xml:space="preserve">Transport Distance (`glnozmutoh`):</w:t>
      </w:r>
      <w:r>
        <w:t xml:space="preserve"> </w:t>
      </w:r>
      <w:r>
        <w:t xml:space="preserve">1500 km (Assumed)</w:t>
      </w:r>
    </w:p>
    <w:p>
      <w:pPr>
        <w:numPr>
          <w:ilvl w:val="1"/>
          <w:numId w:val="1005"/>
        </w:numPr>
        <w:pStyle w:val="Compact"/>
      </w:pPr>
      <w:r>
        <w:rPr>
          <w:bCs/>
          <w:b/>
        </w:rPr>
        <w:t xml:space="preserve">Sea Freight Emission Factor (average container ship):</w:t>
      </w:r>
      <w:r>
        <w:t xml:space="preserve"> </w:t>
      </w:r>
      <w:r>
        <w:t xml:space="preserve">0.016 kg CO2e/tonne-km.</w:t>
      </w:r>
    </w:p>
    <w:p>
      <w:pPr>
        <w:numPr>
          <w:ilvl w:val="0"/>
          <w:numId w:val="1004"/>
        </w:numPr>
        <w:pStyle w:val="Compact"/>
      </w:pPr>
      <w:r>
        <w:rPr>
          <w:bCs/>
          <w:b/>
        </w:rPr>
        <w:t xml:space="preserve">Outbound Transport (Finished Product - China to Europe):</w:t>
      </w:r>
    </w:p>
    <w:p>
      <w:pPr>
        <w:numPr>
          <w:ilvl w:val="1"/>
          <w:numId w:val="1006"/>
        </w:numPr>
        <w:pStyle w:val="Compact"/>
      </w:pPr>
      <w:r>
        <w:rPr>
          <w:bCs/>
          <w:b/>
        </w:rPr>
        <w:t xml:space="preserve">Main Mode:</w:t>
      </w:r>
      <w:r>
        <w:t xml:space="preserve"> </w:t>
      </w:r>
      <w:r>
        <w:t xml:space="preserve">Sea Freight (Assumed: 8000 km, China to Europe)</w:t>
      </w:r>
    </w:p>
    <w:p>
      <w:pPr>
        <w:numPr>
          <w:ilvl w:val="1"/>
          <w:numId w:val="1006"/>
        </w:numPr>
        <w:pStyle w:val="Compact"/>
      </w:pPr>
      <w:r>
        <w:rPr>
          <w:bCs/>
          <w:b/>
        </w:rPr>
        <w:t xml:space="preserve">Last-Mile Delivery Channel (`Delivery Type`):</w:t>
      </w:r>
      <w:r>
        <w:t xml:space="preserve"> </w:t>
      </w:r>
      <w:r>
        <w:t xml:space="preserve">Delivery Type (Assumed: Van Delivery)</w:t>
      </w:r>
    </w:p>
    <w:p>
      <w:pPr>
        <w:numPr>
          <w:ilvl w:val="1"/>
          <w:numId w:val="1006"/>
        </w:numPr>
        <w:pStyle w:val="Compact"/>
      </w:pPr>
      <w:r>
        <w:rPr>
          <w:bCs/>
          <w:b/>
        </w:rPr>
        <w:t xml:space="preserve">Last-Mile Delivery Distance:</w:t>
      </w:r>
      <w:r>
        <w:t xml:space="preserve"> </w:t>
      </w:r>
      <w:r>
        <w:t xml:space="preserve">50 km (Assumed for local distribution)</w:t>
      </w:r>
    </w:p>
    <w:p>
      <w:pPr>
        <w:numPr>
          <w:ilvl w:val="1"/>
          <w:numId w:val="1006"/>
        </w:numPr>
        <w:pStyle w:val="Compact"/>
      </w:pPr>
      <w:r>
        <w:rPr>
          <w:bCs/>
          <w:b/>
        </w:rPr>
        <w:t xml:space="preserve">Van Delivery Emission Factor (average van, up to 3.5 tonnes):</w:t>
      </w:r>
      <w:r>
        <w:t xml:space="preserve"> </w:t>
      </w:r>
      <w:r>
        <w:t xml:space="preserve">0.24934 kg CO2e/km.</w:t>
      </w:r>
    </w:p>
    <w:bookmarkEnd w:id="26"/>
    <w:bookmarkStart w:id="27" w:name="use-phase"/>
    <w:p>
      <w:pPr>
        <w:pStyle w:val="Heading3"/>
      </w:pPr>
      <w:r>
        <w:t xml:space="preserve">2.4. Use Phase</w:t>
      </w:r>
    </w:p>
    <w:p>
      <w:pPr>
        <w:pStyle w:val="FirstParagraph"/>
      </w:pPr>
      <w:r>
        <w:t xml:space="preserve">The energy consumed by dnizoygpdp during its operational life contributes to its environmental impact.</w:t>
      </w:r>
    </w:p>
    <w:p>
      <w:pPr>
        <w:numPr>
          <w:ilvl w:val="0"/>
          <w:numId w:val="1007"/>
        </w:numPr>
        <w:pStyle w:val="Compact"/>
      </w:pPr>
      <w:r>
        <w:rPr>
          <w:bCs/>
          <w:b/>
        </w:rPr>
        <w:t xml:space="preserve">Product Lifespan (`mlsuqlkkrg`):</w:t>
      </w:r>
      <w:r>
        <w:t xml:space="preserve"> </w:t>
      </w:r>
      <w:r>
        <w:t xml:space="preserve">3 years (Assumed)</w:t>
      </w:r>
    </w:p>
    <w:p>
      <w:pPr>
        <w:numPr>
          <w:ilvl w:val="0"/>
          <w:numId w:val="1007"/>
        </w:numPr>
        <w:pStyle w:val="Compact"/>
      </w:pPr>
      <w:r>
        <w:rPr>
          <w:bCs/>
          <w:b/>
        </w:rPr>
        <w:t xml:space="preserve">Energy Consumption in Use (`kilpyeommw`):</w:t>
      </w:r>
      <w:r>
        <w:t xml:space="preserve"> </w:t>
      </w:r>
      <w:r>
        <w:t xml:space="preserve">10 kWh/year (Assumed)</w:t>
      </w:r>
    </w:p>
    <w:p>
      <w:pPr>
        <w:numPr>
          <w:ilvl w:val="0"/>
          <w:numId w:val="1007"/>
        </w:numPr>
        <w:pStyle w:val="Compact"/>
      </w:pPr>
      <w:r>
        <w:rPr>
          <w:bCs/>
          <w:b/>
        </w:rPr>
        <w:t xml:space="preserve">Electricity Source for Use Phase:</w:t>
      </w:r>
      <w:r>
        <w:t xml:space="preserve"> </w:t>
      </w:r>
      <w:r>
        <w:t xml:space="preserve">Assumed to be average grid mix in typical user region (China grid EF used as proxy for simplicity).</w:t>
      </w:r>
    </w:p>
    <w:bookmarkEnd w:id="27"/>
    <w:bookmarkStart w:id="28" w:name="end-of-life-eol"/>
    <w:p>
      <w:pPr>
        <w:pStyle w:val="Heading3"/>
      </w:pPr>
      <w:r>
        <w:t xml:space="preserve">2.5. End-of-Life (EoL)</w:t>
      </w:r>
    </w:p>
    <w:p>
      <w:pPr>
        <w:pStyle w:val="FirstParagraph"/>
      </w:pPr>
      <w:r>
        <w:t xml:space="preserve">End-of-life scenarios, including recyclability and circular programs, are factored into the analysis.</w:t>
      </w:r>
    </w:p>
    <w:p>
      <w:pPr>
        <w:numPr>
          <w:ilvl w:val="0"/>
          <w:numId w:val="1008"/>
        </w:numPr>
        <w:pStyle w:val="Compact"/>
      </w:pPr>
      <w:r>
        <w:rPr>
          <w:bCs/>
          <w:b/>
        </w:rPr>
        <w:t xml:space="preserve">Recyclability Percentage (`phozuxsplu`):</w:t>
      </w:r>
      <w:r>
        <w:t xml:space="preserve"> </w:t>
      </w:r>
      <w:r>
        <w:t xml:space="preserve">70% (Assumed)</w:t>
      </w:r>
    </w:p>
    <w:p>
      <w:pPr>
        <w:numPr>
          <w:ilvl w:val="0"/>
          <w:numId w:val="1008"/>
        </w:numPr>
        <w:pStyle w:val="Compact"/>
      </w:pPr>
      <w:r>
        <w:rPr>
          <w:bCs/>
          <w:b/>
        </w:rPr>
        <w:t xml:space="preserve">Circular/Take-back Programs (`odglmpkrxn`):</w:t>
      </w:r>
      <w:r>
        <w:t xml:space="preserve"> </w:t>
      </w:r>
      <w:r>
        <w:t xml:space="preserve">Product Take-back Program in EU (Assumed)</w:t>
      </w:r>
    </w:p>
    <w:p>
      <w:pPr>
        <w:numPr>
          <w:ilvl w:val="0"/>
          <w:numId w:val="1008"/>
        </w:numPr>
        <w:pStyle w:val="Compact"/>
      </w:pPr>
      <w:r>
        <w:rPr>
          <w:bCs/>
          <w:b/>
        </w:rPr>
        <w:t xml:space="preserve">EoL Treatment Assumptions:</w:t>
      </w:r>
      <w:r>
        <w:t xml:space="preserve"> </w:t>
      </w:r>
      <w:r>
        <w:t xml:space="preserve">Recycled materials are assumed to displace virgin material production (avoided emissions approach). Non-recycled materials are assumed to go to landfill or incineration with typical emissions.</w:t>
      </w:r>
    </w:p>
    <w:p>
      <w:r>
        <w:pict>
          <v:rect style="width:0;height:1.5pt" o:hralign="center" o:hrstd="t" o:hr="t"/>
        </w:pict>
      </w:r>
    </w:p>
    <w:bookmarkEnd w:id="28"/>
    <w:bookmarkEnd w:id="29"/>
    <w:bookmarkStart w:id="38" w:name="calculate-emissions"/>
    <w:p>
      <w:pPr>
        <w:pStyle w:val="Heading2"/>
      </w:pPr>
      <w:r>
        <w:t xml:space="preserve">4. Calculate Emissions</w:t>
      </w:r>
    </w:p>
    <w:p>
      <w:pPr>
        <w:pStyle w:val="FirstParagraph"/>
      </w:pPr>
      <w:r>
        <w:t xml:space="preserve">Emissions are calculated using activity data multiplied by appropriate emission factors, categorized according to the GHG Protocol.</w:t>
      </w:r>
    </w:p>
    <w:p>
      <w:pPr>
        <w:pStyle w:val="BodyText"/>
      </w:pPr>
      <w:r>
        <w:t xml:space="preserve">4.1. Scope 1: Direct Emissions</w:t>
      </w:r>
    </w:p>
    <w:p>
      <w:pPr>
        <w:pStyle w:val="BodyText"/>
      </w:pPr>
      <w:r>
        <w:t xml:space="preserve">\';</w:t>
      </w:r>
      <w:r>
        <w:t xml:space="preserve"> </w:t>
      </w:r>
      <w:r>
        <w:t xml:space="preserve">echo \'</w:t>
      </w:r>
    </w:p>
    <w:p>
      <w:pPr>
        <w:pStyle w:val="BodyText"/>
      </w:pPr>
      <w:r>
        <w:t xml:space="preserve">Based on the provided parameters, no direct emissions from owned or controlled sources (e.g., on-site fuel combustion for manufacturing processes) are explicitly quantifiable. Therefore, Scope 1 emissions for dnizoygpdp are considered negligible in this assessment.</w:t>
      </w:r>
    </w:p>
    <w:p>
      <w:pPr>
        <w:pStyle w:val="BodyText"/>
      </w:pPr>
      <w:r>
        <w:t xml:space="preserve">\';</w:t>
      </w:r>
      <w:r>
        <w:t xml:space="preserve"> </w:t>
      </w:r>
      <w:r>
        <w:t xml:space="preserve">$scope1_emissions = 0;</w:t>
      </w:r>
      <w:r>
        <w:t xml:space="preserve"> </w:t>
      </w:r>
      <w:r>
        <w:t xml:space="preserve">echo \'</w:t>
      </w:r>
    </w:p>
    <w:bookmarkStart w:id="30" w:name="Xe80de7cf1dd66700a577683955d2ec923a62c6a"/>
    <w:p>
      <w:pPr>
        <w:pStyle w:val="Heading3"/>
      </w:pPr>
      <w:r>
        <w:t xml:space="preserve">4.2. Scope 2: Purchased Electricity Emissions (Manufacturing)</w:t>
      </w:r>
    </w:p>
    <w:p>
      <w:pPr>
        <w:pStyle w:val="FirstParagraph"/>
      </w:pPr>
      <w:r>
        <w:t xml:space="preserve">\';</w:t>
      </w:r>
      <w:r>
        <w:t xml:space="preserve"> </w:t>
      </w:r>
      <w:r>
        <w:t xml:space="preserve">$grid_electricity_for_production_kwh = $energy_intensity_kwh_unit * (1 - $renewable_energy_usage_percent);</w:t>
      </w:r>
      <w:r>
        <w:t xml:space="preserve"> </w:t>
      </w:r>
      <w:r>
        <w:t xml:space="preserve">$scope2_emissions = $grid_electricity_for_production_kwh * $china_grid_ef_kg_co2e_kwh;</w:t>
      </w:r>
      <w:r>
        <w:t xml:space="preserve"> </w:t>
      </w:r>
      <w:r>
        <w:t xml:space="preserve">echo \'</w:t>
      </w:r>
    </w:p>
    <w:p>
      <w:pPr>
        <w:numPr>
          <w:ilvl w:val="0"/>
          <w:numId w:val="1009"/>
        </w:numPr>
        <w:pStyle w:val="Compact"/>
      </w:pPr>
      <w:r>
        <w:t xml:space="preserve">Total Energy Intensity: \' . $energy_intensity_kwh_unit . \' kWh/unit</w:t>
      </w:r>
    </w:p>
    <w:p>
      <w:pPr>
        <w:numPr>
          <w:ilvl w:val="0"/>
          <w:numId w:val="1009"/>
        </w:numPr>
        <w:pStyle w:val="Compact"/>
      </w:pPr>
      <w:r>
        <w:t xml:space="preserve">Renewable Energy Used: \' . ($renewable_energy_usage_percent * 100) . \'%</w:t>
      </w:r>
    </w:p>
    <w:p>
      <w:pPr>
        <w:numPr>
          <w:ilvl w:val="0"/>
          <w:numId w:val="1009"/>
        </w:numPr>
        <w:pStyle w:val="Compact"/>
      </w:pPr>
      <w:r>
        <w:t xml:space="preserve">Grid Electricity Consumed for Production: \' . number_format($grid_electricity_for_production_kwh, 2) . \' kWh/unit</w:t>
      </w:r>
    </w:p>
    <w:p>
      <w:pPr>
        <w:numPr>
          <w:ilvl w:val="0"/>
          <w:numId w:val="1009"/>
        </w:numPr>
        <w:pStyle w:val="Compact"/>
      </w:pPr>
      <w:r>
        <w:t xml:space="preserve">Chinese Grid Emission Factor: \' . $china_grid_ef_kg_co2e_kwh . \' kg CO2e/kWh</w:t>
      </w:r>
    </w:p>
    <w:p>
      <w:pPr>
        <w:numPr>
          <w:ilvl w:val="0"/>
          <w:numId w:val="1009"/>
        </w:numPr>
        <w:pStyle w:val="Compact"/>
      </w:pPr>
      <w:r>
        <w:rPr>
          <w:bCs/>
          <w:b/>
        </w:rPr>
        <w:t xml:space="preserve">Total Scope 2 Emissions: \' . number_format($scope2_emissions, 2) . \' kg CO2e</w:t>
      </w:r>
    </w:p>
    <w:p>
      <w:pPr>
        <w:pStyle w:val="FirstParagraph"/>
      </w:pPr>
      <w:r>
        <w:t xml:space="preserve">\';</w:t>
      </w:r>
      <w:r>
        <w:t xml:space="preserve"> </w:t>
      </w:r>
      <w:r>
        <w:t xml:space="preserve">echo \'</w:t>
      </w:r>
    </w:p>
    <w:bookmarkEnd w:id="30"/>
    <w:bookmarkStart w:id="36" w:name="scope-3-value-chain-emissions"/>
    <w:p>
      <w:pPr>
        <w:pStyle w:val="Heading3"/>
      </w:pPr>
      <w:r>
        <w:t xml:space="preserve">4.3. Scope 3: Value Chain Emissions</w:t>
      </w:r>
    </w:p>
    <w:p>
      <w:pPr>
        <w:pStyle w:val="FirstParagraph"/>
      </w:pPr>
      <w:r>
        <w:t xml:space="preserve">\';</w:t>
      </w:r>
      <w:r>
        <w:t xml:space="preserve"> </w:t>
      </w:r>
      <w:r>
        <w:t xml:space="preserve">echo \'</w:t>
      </w:r>
    </w:p>
    <w:bookmarkStart w:id="31" w:name="X4eb318cf884fd0d5e8b1e3f55526e2cb341a877"/>
    <w:p>
      <w:pPr>
        <w:pStyle w:val="Heading4"/>
      </w:pPr>
      <w:r>
        <w:t xml:space="preserve">4.3.1. Scope 3, Category 1: Purchased Goods and Services (Materials)</w:t>
      </w:r>
    </w:p>
    <w:p>
      <w:pPr>
        <w:pStyle w:val="FirstParagraph"/>
      </w:pPr>
      <w:r>
        <w:t xml:space="preserve">\';</w:t>
      </w:r>
      <w:r>
        <w:t xml:space="preserve"> </w:t>
      </w:r>
      <w:r>
        <w:t xml:space="preserve">$material_emissions = 0;</w:t>
      </w:r>
      <w:r>
        <w:t xml:space="preserve"> </w:t>
      </w:r>
      <w:r>
        <w:t xml:space="preserve">foreach ($parsed_bom as $item) {</w:t>
      </w:r>
      <w:r>
        <w:t xml:space="preserve"> </w:t>
      </w:r>
      <w:r>
        <w:t xml:space="preserve">$material_emissions += $item[\'Total Carbon\'];</w:t>
      </w:r>
      <w:r>
        <w:t xml:space="preserve"> </w:t>
      </w:r>
      <w:r>
        <w:t xml:space="preserve">}</w:t>
      </w:r>
      <w:r>
        <w:t xml:space="preserve"> </w:t>
      </w:r>
      <w:r>
        <w:t xml:space="preserve">$scope3_emissions += $material_emissions;</w:t>
      </w:r>
      <w:r>
        <w:t xml:space="preserve"> </w:t>
      </w:r>
      <w:r>
        <w:t xml:space="preserve">echo \'</w:t>
      </w:r>
    </w:p>
    <w:p>
      <w:pPr>
        <w:numPr>
          <w:ilvl w:val="0"/>
          <w:numId w:val="1010"/>
        </w:numPr>
        <w:pStyle w:val="Compact"/>
      </w:pPr>
      <w:r>
        <w:t xml:space="preserve">Sum of Total Carbon from Bill of Materials: \' . number_format($material_emissions, 2) . \' kg CO2e</w:t>
      </w:r>
    </w:p>
    <w:p>
      <w:pPr>
        <w:numPr>
          <w:ilvl w:val="0"/>
          <w:numId w:val="1010"/>
        </w:numPr>
        <w:pStyle w:val="Compact"/>
      </w:pPr>
      <w:r>
        <w:rPr>
          <w:iCs/>
          <w:i/>
        </w:rPr>
        <w:t xml:space="preserve">These values already account for upstream processes like raw material extraction and basic processing based on the provided BOM.</w:t>
      </w:r>
    </w:p>
    <w:p>
      <w:pPr>
        <w:pStyle w:val="FirstParagraph"/>
      </w:pPr>
      <w:r>
        <w:t xml:space="preserve">\';</w:t>
      </w:r>
      <w:r>
        <w:t xml:space="preserve"> </w:t>
      </w:r>
      <w:r>
        <w:t xml:space="preserve">echo \'</w:t>
      </w:r>
    </w:p>
    <w:bookmarkEnd w:id="31"/>
    <w:bookmarkStart w:id="32" w:name="Xaf7462a72008fb55e0fcad2765fac8af236bba1"/>
    <w:p>
      <w:pPr>
        <w:pStyle w:val="Heading4"/>
      </w:pPr>
      <w:r>
        <w:t xml:space="preserve">4.3.2. Scope 3, Category 4: Upstream Transportation and Distribution (Inbound)</w:t>
      </w:r>
    </w:p>
    <w:p>
      <w:pPr>
        <w:pStyle w:val="FirstParagraph"/>
      </w:pPr>
      <w:r>
        <w:t xml:space="preserve">\';</w:t>
      </w:r>
      <w:r>
        <w:t xml:space="preserve"> </w:t>
      </w:r>
      <w:r>
        <w:t xml:space="preserve">// Assume average weight for inbound components is the total BOM mass for simplification</w:t>
      </w:r>
      <w:r>
        <w:t xml:space="preserve"> </w:t>
      </w:r>
      <w:r>
        <w:t xml:space="preserve">$inbound_transport_emissions = ($total_bom_mass / 1000) * $transport_distance_inbound_km * $sea_freight_ef_kg_co2e_tonne_km;</w:t>
      </w:r>
      <w:r>
        <w:t xml:space="preserve"> </w:t>
      </w:r>
      <w:r>
        <w:t xml:space="preserve">$scope3_emissions += $inbound_transport_emissions;</w:t>
      </w:r>
      <w:r>
        <w:t xml:space="preserve"> </w:t>
      </w:r>
      <w:r>
        <w:t xml:space="preserve">echo \'</w:t>
      </w:r>
    </w:p>
    <w:p>
      <w:pPr>
        <w:numPr>
          <w:ilvl w:val="0"/>
          <w:numId w:val="1011"/>
        </w:numPr>
        <w:pStyle w:val="Compact"/>
      </w:pPr>
      <w:r>
        <w:t xml:space="preserve">Estimated Total BOM Mass: \' . number_format($total_bom_mass, 3) . \' kg</w:t>
      </w:r>
    </w:p>
    <w:p>
      <w:pPr>
        <w:numPr>
          <w:ilvl w:val="0"/>
          <w:numId w:val="1011"/>
        </w:numPr>
        <w:pStyle w:val="Compact"/>
      </w:pPr>
      <w:r>
        <w:t xml:space="preserve">Inbound Transport Distance: \' . $transport_distance_inbound_km . \' km (Europe to China)</w:t>
      </w:r>
    </w:p>
    <w:p>
      <w:pPr>
        <w:numPr>
          <w:ilvl w:val="0"/>
          <w:numId w:val="1011"/>
        </w:numPr>
        <w:pStyle w:val="Compact"/>
      </w:pPr>
      <w:r>
        <w:t xml:space="preserve">Transport Mode: Sea Freight</w:t>
      </w:r>
    </w:p>
    <w:p>
      <w:pPr>
        <w:numPr>
          <w:ilvl w:val="0"/>
          <w:numId w:val="1011"/>
        </w:numPr>
        <w:pStyle w:val="Compact"/>
      </w:pPr>
      <w:r>
        <w:t xml:space="preserve">Sea Freight Emission Factor: \' . $sea_freight_ef_kg_co2e_tonne_km . \' kg CO2e/tonne-km</w:t>
      </w:r>
    </w:p>
    <w:p>
      <w:pPr>
        <w:numPr>
          <w:ilvl w:val="0"/>
          <w:numId w:val="1011"/>
        </w:numPr>
        <w:pStyle w:val="Compact"/>
      </w:pPr>
      <w:r>
        <w:rPr>
          <w:bCs/>
          <w:b/>
        </w:rPr>
        <w:t xml:space="preserve">Total Inbound Transport Emissions: \' . number_format($inbound_transport_emissions, 2) . \' kg CO2e</w:t>
      </w:r>
    </w:p>
    <w:p>
      <w:pPr>
        <w:pStyle w:val="FirstParagraph"/>
      </w:pPr>
      <w:r>
        <w:t xml:space="preserve">\';</w:t>
      </w:r>
      <w:r>
        <w:t xml:space="preserve"> </w:t>
      </w:r>
      <w:r>
        <w:t xml:space="preserve">echo \'</w:t>
      </w:r>
    </w:p>
    <w:bookmarkEnd w:id="32"/>
    <w:bookmarkStart w:id="33" w:name="X8b634d0ae5e1f184c8050f77dd5706bbca02b78"/>
    <w:p>
      <w:pPr>
        <w:pStyle w:val="Heading4"/>
      </w:pPr>
      <w:r>
        <w:t xml:space="preserve">4.3.3. Scope 3, Category 9: Downstream Transportation and Distribution (Outbound)</w:t>
      </w:r>
    </w:p>
    <w:p>
      <w:pPr>
        <w:pStyle w:val="FirstParagraph"/>
      </w:pPr>
      <w:r>
        <w:t xml:space="preserve">\';</w:t>
      </w:r>
      <w:r>
        <w:t xml:space="preserve"> </w:t>
      </w:r>
      <w:r>
        <w:t xml:space="preserve">$outbound_long_haul_distance_km = 8000; // China to Europe</w:t>
      </w:r>
      <w:r>
        <w:t xml:space="preserve"> </w:t>
      </w:r>
      <w:r>
        <w:t xml:space="preserve">$outbound_long_haul_emissions = ($product_mass_kg / 1000) * $outbound_long_haul_distance_km * $sea_freight_ef_kg_co2e_tonne_km;</w:t>
      </w:r>
      <w:r>
        <w:t xml:space="preserve"> </w:t>
      </w:r>
      <w:r>
        <w:t xml:space="preserve">$last_mile_distance_km = 50;</w:t>
      </w:r>
      <w:r>
        <w:t xml:space="preserve"> </w:t>
      </w:r>
      <w:r>
        <w:t xml:space="preserve">$last_mile_delivery_emissions = $product_mass_kg * $last_mile_distance_km * $van_delivery_ef_kg_co2e_km; // Assuming van EF is per kg/km, but Climatiq provides kgCO2e/km so using product_mass_kg as factor. If the van EF is already per km *vehicle*, then mass needs to be part of the EF. Re-evaluating: standard van EF is per km, so the mass of the package scales its impact. For simplicity, multiplying product mass by a typical road freight factor would be better. Let\'s use the provided van EF (kgCO2e/km) for the van itself, and assume this covers a typical load. The user did not provide a unit for `kilpyeommw` (Energy Consumption in Use) that would allow for accurate conversion to total product mass. So for simplicity, `product_mass_kg` will be used as a scaling factor, but it\'s not strictly tkm.</w:t>
      </w:r>
      <w:r>
        <w:t xml:space="preserve"> </w:t>
      </w:r>
      <w:r>
        <w:t xml:space="preserve">// Correction: Van EF from Climatiq is kgCO2e/km, for the vehicle. To relate it to product, we need tkm or assume the product is the only thing transported, which is not realistic.</w:t>
      </w:r>
      <w:r>
        <w:t xml:space="preserve"> </w:t>
      </w:r>
      <w:r>
        <w:t xml:space="preserve">// Let\'s use a simpler approach for last-mile: use a general road freight tkm factor.</w:t>
      </w:r>
      <w:r>
        <w:t xml:space="preserve"> </w:t>
      </w:r>
      <w:r>
        <w:t xml:space="preserve">// Freightos example: 1000 km of Road Freight for one 2kg package is 0.21kg CO2e. =&gt; 0.21 kgCO2e / (2kg * 1000km) = 0.000105 kgCO2e/kg.km</w:t>
      </w:r>
      <w:r>
        <w:t xml:space="preserve"> </w:t>
      </w:r>
      <w:r>
        <w:t xml:space="preserve">// OR, use the van EF (0.24934 kgCO2e/km) and assume it\'s for the entire delivery trip, and allocate by mass if needed.</w:t>
      </w:r>
      <w:r>
        <w:t xml:space="preserve"> </w:t>
      </w:r>
      <w:r>
        <w:t xml:space="preserve">// For simplicity, let\'s stick to the vanilla van EF for the distance, considering a light product, and state this assumption.</w:t>
      </w:r>
      <w:r>
        <w:t xml:space="preserve"> </w:t>
      </w:r>
      <w:r>
        <w:t xml:space="preserve">$last_mile_delivery_emissions = $last_mile_distance_km * $van_delivery_ef_kg_co2e_km; // This is for the vehicle over the distance. It implicitly carries the product.</w:t>
      </w:r>
      <w:r>
        <w:t xml:space="preserve"> </w:t>
      </w:r>
      <w:r>
        <w:t xml:space="preserve">// If we wanted to scale by product mass, we would need tkm factors.</w:t>
      </w:r>
      <w:r>
        <w:t xml:space="preserve"> </w:t>
      </w:r>
      <w:r>
        <w:t xml:space="preserve">// For road trucking, 50-150g/tkm. Let\'s take an average of 0.1 kg/tkm.</w:t>
      </w:r>
      <w:r>
        <w:t xml:space="preserve"> </w:t>
      </w:r>
      <w:r>
        <w:t xml:space="preserve">$road_freight_ef_kg_co2e_tonne_km = 0.1; // 100 g/tkm</w:t>
      </w:r>
      <w:r>
        <w:t xml:space="preserve"> </w:t>
      </w:r>
      <w:r>
        <w:t xml:space="preserve">$last_mile_delivery_emissions = ($product_mass_kg / 1000) * $last_mile_distance_km * $road_freight_ef_kg_co2e_tonne_km; // Using tkm approach</w:t>
      </w:r>
      <w:r>
        <w:t xml:space="preserve"> </w:t>
      </w:r>
      <w:r>
        <w:t xml:space="preserve">$scope3_emissions += $outbound_long_haul_emissions + $last_mile_delivery_emissions;</w:t>
      </w:r>
      <w:r>
        <w:t xml:space="preserve"> </w:t>
      </w:r>
      <w:r>
        <w:t xml:space="preserve">echo \'</w:t>
      </w:r>
    </w:p>
    <w:p>
      <w:pPr>
        <w:numPr>
          <w:ilvl w:val="0"/>
          <w:numId w:val="1012"/>
        </w:numPr>
        <w:pStyle w:val="Compact"/>
      </w:pPr>
      <w:r>
        <w:t xml:space="preserve">Product Mass for Transport: \' . number_format($product_mass_kg, 3) . \' kg</w:t>
      </w:r>
    </w:p>
    <w:p>
      <w:pPr>
        <w:numPr>
          <w:ilvl w:val="0"/>
          <w:numId w:val="1012"/>
        </w:numPr>
        <w:pStyle w:val="Compact"/>
      </w:pPr>
      <w:r>
        <w:t xml:space="preserve">Outbound Long-Haul Distance: \' . $outbound_long_haul_distance_km . \' km (China to Europe)</w:t>
      </w:r>
    </w:p>
    <w:p>
      <w:pPr>
        <w:numPr>
          <w:ilvl w:val="0"/>
          <w:numId w:val="1012"/>
        </w:numPr>
        <w:pStyle w:val="Compact"/>
      </w:pPr>
      <w:r>
        <w:t xml:space="preserve">Transport Mode: Sea Freight</w:t>
      </w:r>
    </w:p>
    <w:p>
      <w:pPr>
        <w:numPr>
          <w:ilvl w:val="0"/>
          <w:numId w:val="1012"/>
        </w:numPr>
        <w:pStyle w:val="Compact"/>
      </w:pPr>
      <w:r>
        <w:t xml:space="preserve">Sea Freight Emission Factor: \' . $sea_freight_ef_kg_co2e_tonne_km . \' kg CO2e/tonne-km</w:t>
      </w:r>
    </w:p>
    <w:p>
      <w:pPr>
        <w:numPr>
          <w:ilvl w:val="0"/>
          <w:numId w:val="1012"/>
        </w:numPr>
        <w:pStyle w:val="Compact"/>
      </w:pPr>
      <w:r>
        <w:rPr>
          <w:bCs/>
          <w:b/>
        </w:rPr>
        <w:t xml:space="preserve">Total Outbound Long-Haul Emissions: \' . number_format($outbound_long_haul_emissions, 2) . \' kg CO2e</w:t>
      </w:r>
    </w:p>
    <w:p>
      <w:pPr>
        <w:numPr>
          <w:ilvl w:val="0"/>
          <w:numId w:val="1012"/>
        </w:numPr>
        <w:pStyle w:val="Compact"/>
      </w:pPr>
      <w:r>
        <w:t xml:space="preserve">Last-Mile Delivery Distance: \' . $last_mile_distance_km . \' km</w:t>
      </w:r>
    </w:p>
    <w:p>
      <w:pPr>
        <w:numPr>
          <w:ilvl w:val="0"/>
          <w:numId w:val="1012"/>
        </w:numPr>
        <w:pStyle w:val="Compact"/>
      </w:pPr>
      <w:r>
        <w:t xml:space="preserve">Transport Mode: Van Delivery</w:t>
      </w:r>
    </w:p>
    <w:p>
      <w:pPr>
        <w:numPr>
          <w:ilvl w:val="0"/>
          <w:numId w:val="1012"/>
        </w:numPr>
        <w:pStyle w:val="Compact"/>
      </w:pPr>
      <w:r>
        <w:t xml:space="preserve">Road Freight Emission Factor (illustrative): \' . $road_freight_ef_kg_co2e_tonne_km . \' kg CO2e/tonne-km</w:t>
      </w:r>
    </w:p>
    <w:p>
      <w:pPr>
        <w:numPr>
          <w:ilvl w:val="0"/>
          <w:numId w:val="1012"/>
        </w:numPr>
        <w:pStyle w:val="Compact"/>
      </w:pPr>
      <w:r>
        <w:rPr>
          <w:bCs/>
          <w:b/>
        </w:rPr>
        <w:t xml:space="preserve">Total Last-Mile Delivery Emissions: \' . number_format($last_mile_delivery_emissions, 2) . \' kg CO2e</w:t>
      </w:r>
    </w:p>
    <w:p>
      <w:pPr>
        <w:pStyle w:val="FirstParagraph"/>
      </w:pPr>
      <w:r>
        <w:t xml:space="preserve">\';</w:t>
      </w:r>
      <w:r>
        <w:t xml:space="preserve"> </w:t>
      </w:r>
      <w:r>
        <w:t xml:space="preserve">echo \'</w:t>
      </w:r>
    </w:p>
    <w:bookmarkEnd w:id="33"/>
    <w:bookmarkStart w:id="34" w:name="scope-3-category-11-use-of-sold-products"/>
    <w:p>
      <w:pPr>
        <w:pStyle w:val="Heading4"/>
      </w:pPr>
      <w:r>
        <w:t xml:space="preserve">4.3.4. Scope 3, Category 11: Use of Sold Products</w:t>
      </w:r>
    </w:p>
    <w:p>
      <w:pPr>
        <w:pStyle w:val="FirstParagraph"/>
      </w:pPr>
      <w:r>
        <w:t xml:space="preserve">\';</w:t>
      </w:r>
      <w:r>
        <w:t xml:space="preserve"> </w:t>
      </w:r>
      <w:r>
        <w:t xml:space="preserve">$total_energy_in_use_kwh = $energy_consumption_in_use_kwh_year * $product_lifespan_years;</w:t>
      </w:r>
      <w:r>
        <w:t xml:space="preserve"> </w:t>
      </w:r>
      <w:r>
        <w:t xml:space="preserve">$use_phase_emissions = $total_energy_in_use_kwh * $china_grid_ef_kg_co2e_kwh;</w:t>
      </w:r>
      <w:r>
        <w:t xml:space="preserve"> </w:t>
      </w:r>
      <w:r>
        <w:t xml:space="preserve">$scope3_emissions += $use_phase_emissions;</w:t>
      </w:r>
      <w:r>
        <w:t xml:space="preserve"> </w:t>
      </w:r>
      <w:r>
        <w:t xml:space="preserve">echo \'</w:t>
      </w:r>
    </w:p>
    <w:p>
      <w:pPr>
        <w:numPr>
          <w:ilvl w:val="0"/>
          <w:numId w:val="1013"/>
        </w:numPr>
        <w:pStyle w:val="Compact"/>
      </w:pPr>
      <w:r>
        <w:t xml:space="preserve">Product Lifespan: \' . $product_lifespan_years . \' years</w:t>
      </w:r>
    </w:p>
    <w:p>
      <w:pPr>
        <w:numPr>
          <w:ilvl w:val="0"/>
          <w:numId w:val="1013"/>
        </w:numPr>
        <w:pStyle w:val="Compact"/>
      </w:pPr>
      <w:r>
        <w:t xml:space="preserve">Annual Energy Consumption in Use: \' . $energy_consumption_in_use_kwh_year . \' kWh/year</w:t>
      </w:r>
    </w:p>
    <w:p>
      <w:pPr>
        <w:numPr>
          <w:ilvl w:val="0"/>
          <w:numId w:val="1013"/>
        </w:numPr>
        <w:pStyle w:val="Compact"/>
      </w:pPr>
      <w:r>
        <w:t xml:space="preserve">Total Energy Consumption over Lifespan: \' . $total_energy_in_use_kwh . \' kWh</w:t>
      </w:r>
    </w:p>
    <w:p>
      <w:pPr>
        <w:numPr>
          <w:ilvl w:val="0"/>
          <w:numId w:val="1013"/>
        </w:numPr>
        <w:pStyle w:val="Compact"/>
      </w:pPr>
      <w:r>
        <w:t xml:space="preserve">Assumed Electricity Source: Chinese Grid Mix (as proxy for user region)</w:t>
      </w:r>
    </w:p>
    <w:p>
      <w:pPr>
        <w:numPr>
          <w:ilvl w:val="0"/>
          <w:numId w:val="1013"/>
        </w:numPr>
        <w:pStyle w:val="Compact"/>
      </w:pPr>
      <w:r>
        <w:t xml:space="preserve">Chinese Grid Emission Factor: \' . $china_grid_ef_kg_co2e_kwh . \' kg CO2e/kWh</w:t>
      </w:r>
    </w:p>
    <w:p>
      <w:pPr>
        <w:numPr>
          <w:ilvl w:val="0"/>
          <w:numId w:val="1013"/>
        </w:numPr>
        <w:pStyle w:val="Compact"/>
      </w:pPr>
      <w:r>
        <w:rPr>
          <w:bCs/>
          <w:b/>
        </w:rPr>
        <w:t xml:space="preserve">Total Use Phase Emissions: \' . number_format($use_phase_emissions, 2) . \' kg CO2e</w:t>
      </w:r>
    </w:p>
    <w:p>
      <w:pPr>
        <w:pStyle w:val="FirstParagraph"/>
      </w:pPr>
      <w:r>
        <w:t xml:space="preserve">\';</w:t>
      </w:r>
      <w:r>
        <w:t xml:space="preserve"> </w:t>
      </w:r>
      <w:r>
        <w:t xml:space="preserve">echo \'</w:t>
      </w:r>
    </w:p>
    <w:bookmarkEnd w:id="34"/>
    <w:bookmarkStart w:id="35" w:name="X8a83d50c0d89d142371b1cb2678444c0262a9c4"/>
    <w:p>
      <w:pPr>
        <w:pStyle w:val="Heading4"/>
      </w:pPr>
      <w:r>
        <w:t xml:space="preserve">4.3.5. Scope 3, Category 12: End-of-Life Treatment of Sold Products</w:t>
      </w:r>
    </w:p>
    <w:p>
      <w:pPr>
        <w:pStyle w:val="FirstParagraph"/>
      </w:pPr>
      <w:r>
        <w:t xml:space="preserve">\';</w:t>
      </w:r>
      <w:r>
        <w:t xml:space="preserve"> </w:t>
      </w:r>
      <w:r>
        <w:t xml:space="preserve">$mass_for_eol_kg = $product_mass_kg; // Assuming the whole product mass for EoL</w:t>
      </w:r>
      <w:r>
        <w:t xml:space="preserve"> </w:t>
      </w:r>
      <w:r>
        <w:t xml:space="preserve">$mass_recycled_kg = $mass_for_eol_kg * $recyclability_percentage;</w:t>
      </w:r>
      <w:r>
        <w:t xml:space="preserve"> </w:t>
      </w:r>
      <w:r>
        <w:t xml:space="preserve">$mass_disposed_kg = $mass_for_eol_kg * (1 - $recyclability_percentage);</w:t>
      </w:r>
      <w:r>
        <w:t xml:space="preserve"> </w:t>
      </w:r>
      <w:r>
        <w:t xml:space="preserve">// Illustrative EoL emissions/avoided emissions</w:t>
      </w:r>
      <w:r>
        <w:t xml:space="preserve"> </w:t>
      </w:r>
      <w:r>
        <w:t xml:space="preserve">$emissions_from_disposal = $mass_disposed_kg * $eol_landfill_ef_kg_co2e_kg;</w:t>
      </w:r>
      <w:r>
        <w:t xml:space="preserve"> </w:t>
      </w:r>
      <w:r>
        <w:t xml:space="preserve">$avoided_emissions_from_recycling = $mass_recycled_kg * $eol_recycling_avoided_ef_kg_co2e_kg;</w:t>
      </w:r>
      <w:r>
        <w:t xml:space="preserve"> </w:t>
      </w:r>
      <w:r>
        <w:t xml:space="preserve">$eol_net_emissions = $emissions_from_disposal + $avoided_emissions_from_recycling;</w:t>
      </w:r>
      <w:r>
        <w:t xml:space="preserve"> </w:t>
      </w:r>
      <w:r>
        <w:t xml:space="preserve">$scope3_emissions += $eol_net_emissions;</w:t>
      </w:r>
      <w:r>
        <w:t xml:space="preserve"> </w:t>
      </w:r>
      <w:r>
        <w:t xml:space="preserve">echo \'</w:t>
      </w:r>
    </w:p>
    <w:p>
      <w:pPr>
        <w:numPr>
          <w:ilvl w:val="0"/>
          <w:numId w:val="1014"/>
        </w:numPr>
        <w:pStyle w:val="Compact"/>
      </w:pPr>
      <w:r>
        <w:t xml:space="preserve">Product Mass for EoL: \' . number_format($mass_for_eol_kg, 3) . \' kg</w:t>
      </w:r>
    </w:p>
    <w:p>
      <w:pPr>
        <w:numPr>
          <w:ilvl w:val="0"/>
          <w:numId w:val="1014"/>
        </w:numPr>
        <w:pStyle w:val="Compact"/>
      </w:pPr>
      <w:r>
        <w:t xml:space="preserve">Recyclability Percentage: \' . ($recyclability_percentage * 100) . \'%</w:t>
      </w:r>
    </w:p>
    <w:p>
      <w:pPr>
        <w:numPr>
          <w:ilvl w:val="0"/>
          <w:numId w:val="1014"/>
        </w:numPr>
        <w:pStyle w:val="Compact"/>
      </w:pPr>
      <w:r>
        <w:t xml:space="preserve">Mass Recycled: \' . number_format($mass_recycled_kg, 3) . \' kg</w:t>
      </w:r>
    </w:p>
    <w:p>
      <w:pPr>
        <w:numPr>
          <w:ilvl w:val="0"/>
          <w:numId w:val="1014"/>
        </w:numPr>
        <w:pStyle w:val="Compact"/>
      </w:pPr>
      <w:r>
        <w:t xml:space="preserve">Mass Disposed: \' . number_format($mass_disposed_kg, 3) . \' kg</w:t>
      </w:r>
    </w:p>
    <w:p>
      <w:pPr>
        <w:numPr>
          <w:ilvl w:val="0"/>
          <w:numId w:val="1014"/>
        </w:numPr>
        <w:pStyle w:val="Compact"/>
      </w:pPr>
      <w:r>
        <w:t xml:space="preserve">Circular/Take-back Programs: \' . $circular_programs . \'</w:t>
      </w:r>
    </w:p>
    <w:p>
      <w:pPr>
        <w:numPr>
          <w:ilvl w:val="0"/>
          <w:numId w:val="1014"/>
        </w:numPr>
        <w:pStyle w:val="Compact"/>
      </w:pPr>
      <w:r>
        <w:t xml:space="preserve">Emissions from Disposal (illustrative): \' . number_format($emissions_from_disposal, 2) . \' kg CO2e (assuming \' . $eol_landfill_ef_kg_co2e_kg . \' kg CO2e/kg for disposal)</w:t>
      </w:r>
    </w:p>
    <w:p>
      <w:pPr>
        <w:numPr>
          <w:ilvl w:val="0"/>
          <w:numId w:val="1014"/>
        </w:numPr>
        <w:pStyle w:val="Compact"/>
      </w:pPr>
      <w:r>
        <w:t xml:space="preserve">Avoided Emissions from Recycling (illustrative): \' . number_format($avoided_emissions_from_recycling, 2) . \' kg CO2e (assuming \' . abs($eol_recycling_avoided_ef_kg_co2e_kg) . \' kg CO2e/kg avoided)</w:t>
      </w:r>
    </w:p>
    <w:p>
      <w:pPr>
        <w:numPr>
          <w:ilvl w:val="0"/>
          <w:numId w:val="1014"/>
        </w:numPr>
        <w:pStyle w:val="Compact"/>
      </w:pPr>
      <w:r>
        <w:rPr>
          <w:bCs/>
          <w:b/>
        </w:rPr>
        <w:t xml:space="preserve">Net End-of-Life Emissions: \' . number_format($eol_net_emissions, 2) . \' kg CO2e</w:t>
      </w:r>
    </w:p>
    <w:p>
      <w:pPr>
        <w:pStyle w:val="FirstParagraph"/>
      </w:pPr>
      <w:r>
        <w:t xml:space="preserve">\';</w:t>
      </w:r>
      <w:r>
        <w:t xml:space="preserve"> </w:t>
      </w:r>
      <w:r>
        <w:t xml:space="preserve">$total_pcf = $scope1_emissions + $scope2_emissions + $scope3_emissions;</w:t>
      </w:r>
      <w:r>
        <w:t xml:space="preserve"> </w:t>
      </w:r>
      <w:r>
        <w:t xml:space="preserve">echo \'</w:t>
      </w:r>
    </w:p>
    <w:bookmarkEnd w:id="35"/>
    <w:bookmarkEnd w:id="36"/>
    <w:bookmarkStart w:id="37" w:name="X299a3717db401fbc63eac38de0814f3ad8939f4"/>
    <w:p>
      <w:pPr>
        <w:pStyle w:val="Heading3"/>
      </w:pPr>
      <w:r>
        <w:t xml:space="preserve">4.4. Total Product Carbon Footprint (PCF) Summary</w:t>
      </w:r>
    </w:p>
    <w:p>
      <w:pPr>
        <w:pStyle w:val="FirstParagraph"/>
      </w:pPr>
      <w:r>
        <w:t xml:space="preserve">\';</w:t>
      </w:r>
      <w:r>
        <w:t xml:space="preserve"> </w:t>
      </w:r>
      <w:r>
        <w:t xml:space="preserve">echo \'</w:t>
      </w:r>
    </w:p>
    <w:p>
      <w:pPr>
        <w:pStyle w:val="BodyText"/>
      </w:pPr>
      <w:r>
        <w:t xml:space="preserve">\';</w:t>
      </w:r>
      <w:r>
        <w:t xml:space="preserve"> </w:t>
      </w:r>
      <w:r>
        <w:t xml:space="preserve">echo \'</w:t>
      </w:r>
    </w:p>
    <w:p>
      <w:pPr>
        <w:pStyle w:val="BodyText"/>
      </w:pPr>
      <w:r>
        <w:t xml:space="preserve">Scope Category</w:t>
      </w:r>
    </w:p>
    <w:p>
      <w:pPr>
        <w:pStyle w:val="BodyText"/>
      </w:pPr>
      <w:r>
        <w:t xml:space="preserve">Emissions (kg CO2e)</w:t>
      </w:r>
    </w:p>
    <w:p>
      <w:pPr>
        <w:pStyle w:val="BodyText"/>
      </w:pPr>
      <w:r>
        <w:t xml:space="preserve">\';</w:t>
      </w:r>
      <w:r>
        <w:t xml:space="preserve"> </w:t>
      </w:r>
      <w:r>
        <w:t xml:space="preserve">echo \'</w:t>
      </w:r>
    </w:p>
    <w:p>
      <w:pPr>
        <w:pStyle w:val="BodyText"/>
      </w:pPr>
      <w:r>
        <w:t xml:space="preserve">\';</w:t>
      </w:r>
      <w:r>
        <w:t xml:space="preserve"> </w:t>
      </w:r>
      <w:r>
        <w:t xml:space="preserve">echo \'</w:t>
      </w:r>
    </w:p>
    <w:p>
      <w:pPr>
        <w:pStyle w:val="BodyText"/>
      </w:pPr>
      <w:r>
        <w:t xml:space="preserve">Scope 1: Direct Emissions</w:t>
      </w:r>
    </w:p>
    <w:p>
      <w:pPr>
        <w:pStyle w:val="BodyText"/>
      </w:pPr>
      <w:r>
        <w:t xml:space="preserve">\' . number_format($scope1_emissions, 2) . \'</w:t>
      </w:r>
    </w:p>
    <w:p>
      <w:pPr>
        <w:pStyle w:val="BodyText"/>
      </w:pPr>
      <w:r>
        <w:t xml:space="preserve">\';</w:t>
      </w:r>
      <w:r>
        <w:t xml:space="preserve"> </w:t>
      </w:r>
      <w:r>
        <w:t xml:space="preserve">echo \'</w:t>
      </w:r>
    </w:p>
    <w:p>
      <w:pPr>
        <w:pStyle w:val="BodyText"/>
      </w:pPr>
      <w:r>
        <w:t xml:space="preserve">Scope 2: Purchased Electricity (Manufacturing)</w:t>
      </w:r>
    </w:p>
    <w:p>
      <w:pPr>
        <w:pStyle w:val="BodyText"/>
      </w:pPr>
      <w:r>
        <w:t xml:space="preserve">\' . number_format($scope2_emissions, 2) . \'</w:t>
      </w:r>
    </w:p>
    <w:p>
      <w:pPr>
        <w:pStyle w:val="BodyText"/>
      </w:pPr>
      <w:r>
        <w:t xml:space="preserve">\';</w:t>
      </w:r>
      <w:r>
        <w:t xml:space="preserve"> </w:t>
      </w:r>
      <w:r>
        <w:t xml:space="preserve">echo \'</w:t>
      </w:r>
    </w:p>
    <w:p>
      <w:pPr>
        <w:pStyle w:val="BodyText"/>
      </w:pPr>
      <w:r>
        <w:t xml:space="preserve">Scope 3, Category 1: Purchased Goods and Services (Materials)</w:t>
      </w:r>
    </w:p>
    <w:p>
      <w:pPr>
        <w:pStyle w:val="BodyText"/>
      </w:pPr>
      <w:r>
        <w:t xml:space="preserve">\' . number_format($material_emissions, 2) . \'</w:t>
      </w:r>
    </w:p>
    <w:p>
      <w:pPr>
        <w:pStyle w:val="BodyText"/>
      </w:pPr>
      <w:r>
        <w:t xml:space="preserve">\';</w:t>
      </w:r>
      <w:r>
        <w:t xml:space="preserve"> </w:t>
      </w:r>
      <w:r>
        <w:t xml:space="preserve">echo \'</w:t>
      </w:r>
    </w:p>
    <w:p>
      <w:pPr>
        <w:pStyle w:val="BodyText"/>
      </w:pPr>
      <w:r>
        <w:t xml:space="preserve">Scope 3, Category 4: Upstream Transportation and Distribution (Inbound)</w:t>
      </w:r>
    </w:p>
    <w:p>
      <w:pPr>
        <w:pStyle w:val="BodyText"/>
      </w:pPr>
      <w:r>
        <w:t xml:space="preserve">\' . number_format($inbound_transport_emissions, 2) . \'</w:t>
      </w:r>
    </w:p>
    <w:p>
      <w:pPr>
        <w:pStyle w:val="BodyText"/>
      </w:pPr>
      <w:r>
        <w:t xml:space="preserve">\';</w:t>
      </w:r>
      <w:r>
        <w:t xml:space="preserve"> </w:t>
      </w:r>
      <w:r>
        <w:t xml:space="preserve">echo \'</w:t>
      </w:r>
    </w:p>
    <w:p>
      <w:pPr>
        <w:pStyle w:val="BodyText"/>
      </w:pPr>
      <w:r>
        <w:t xml:space="preserve">Scope 3, Category 9: Downstream Transportation and Distribution (Outbound)</w:t>
      </w:r>
    </w:p>
    <w:p>
      <w:pPr>
        <w:pStyle w:val="BodyText"/>
      </w:pPr>
      <w:r>
        <w:t xml:space="preserve">\' . number_format($outbound_long_haul_emissions + $last_mile_delivery_emissions, 2) . \'</w:t>
      </w:r>
    </w:p>
    <w:p>
      <w:pPr>
        <w:pStyle w:val="BodyText"/>
      </w:pPr>
      <w:r>
        <w:t xml:space="preserve">\';</w:t>
      </w:r>
      <w:r>
        <w:t xml:space="preserve"> </w:t>
      </w:r>
      <w:r>
        <w:t xml:space="preserve">echo \'</w:t>
      </w:r>
    </w:p>
    <w:p>
      <w:pPr>
        <w:pStyle w:val="BodyText"/>
      </w:pPr>
      <w:r>
        <w:t xml:space="preserve">Scope 3, Category 11: Use of Sold Products</w:t>
      </w:r>
    </w:p>
    <w:p>
      <w:pPr>
        <w:pStyle w:val="BodyText"/>
      </w:pPr>
      <w:r>
        <w:t xml:space="preserve">\' . number_format($use_phase_emissions, 2) . \'</w:t>
      </w:r>
    </w:p>
    <w:p>
      <w:pPr>
        <w:pStyle w:val="BodyText"/>
      </w:pPr>
      <w:r>
        <w:t xml:space="preserve">\';</w:t>
      </w:r>
      <w:r>
        <w:t xml:space="preserve"> </w:t>
      </w:r>
      <w:r>
        <w:t xml:space="preserve">echo \'</w:t>
      </w:r>
    </w:p>
    <w:p>
      <w:pPr>
        <w:pStyle w:val="BodyText"/>
      </w:pPr>
      <w:r>
        <w:t xml:space="preserve">Scope 3, Category 12: End-of-Life Treatment of Sold Products</w:t>
      </w:r>
    </w:p>
    <w:p>
      <w:pPr>
        <w:pStyle w:val="BodyText"/>
      </w:pPr>
      <w:r>
        <w:t xml:space="preserve">\' . number_format($eol_net_emissions, 2) . \'</w:t>
      </w:r>
    </w:p>
    <w:p>
      <w:pPr>
        <w:pStyle w:val="BodyText"/>
      </w:pPr>
      <w:r>
        <w:t xml:space="preserve">\';</w:t>
      </w:r>
      <w:r>
        <w:t xml:space="preserve"> </w:t>
      </w:r>
      <w:r>
        <w:t xml:space="preserve">echo \'</w:t>
      </w:r>
    </w:p>
    <w:p>
      <w:pPr>
        <w:pStyle w:val="BodyText"/>
      </w:pPr>
      <w:r>
        <w:rPr>
          <w:bCs/>
          <w:b/>
        </w:rPr>
        <w:t xml:space="preserve">TOTAL PRODUCT CARBON FOOTPRINT (PCF)</w:t>
      </w:r>
    </w:p>
    <w:p>
      <w:pPr>
        <w:pStyle w:val="BodyText"/>
      </w:pPr>
      <w:r>
        <w:rPr>
          <w:bCs/>
          <w:b/>
        </w:rPr>
        <w:t xml:space="preserve">\' . number_format($total_pcf, 2) . \' kg CO2e</w:t>
      </w:r>
    </w:p>
    <w:p>
      <w:pPr>
        <w:pStyle w:val="BodyText"/>
      </w:pPr>
      <w:r>
        <w:t xml:space="preserve">\';</w:t>
      </w:r>
      <w:r>
        <w:t xml:space="preserve"> </w:t>
      </w:r>
      <w:r>
        <w:t xml:space="preserve">echo \'</w:t>
      </w:r>
    </w:p>
    <w:p>
      <w:pPr>
        <w:pStyle w:val="BodyText"/>
      </w:pPr>
      <w:r>
        <w:t xml:space="preserve">\';</w:t>
      </w:r>
      <w:r>
        <w:t xml:space="preserve"> </w:t>
      </w:r>
      <w:r>
        <w:t xml:space="preserve">echo \'</w:t>
      </w:r>
    </w:p>
    <w:p>
      <w:pPr>
        <w:pStyle w:val="BodyText"/>
      </w:pPr>
      <w:r>
        <w:t xml:space="preserve">\';</w:t>
      </w:r>
      <w:r>
        <w:t xml:space="preserve"> </w:t>
      </w:r>
      <w:r>
        <w:t xml:space="preserve">?&gt;</w:t>
      </w:r>
    </w:p>
    <w:p>
      <w:r>
        <w:pict>
          <v:rect style="width:0;height:1.5pt" o:hralign="center" o:hrstd="t" o:hr="t"/>
        </w:pict>
      </w:r>
    </w:p>
    <w:bookmarkEnd w:id="37"/>
    <w:bookmarkEnd w:id="38"/>
    <w:bookmarkStart w:id="41" w:name="review-report"/>
    <w:p>
      <w:pPr>
        <w:pStyle w:val="Heading2"/>
      </w:pPr>
      <w:r>
        <w:t xml:space="preserve">5. Review &amp; Report</w:t>
      </w:r>
    </w:p>
    <w:bookmarkStart w:id="39" w:name="hotspots-and-reliability"/>
    <w:p>
      <w:pPr>
        <w:pStyle w:val="Heading3"/>
      </w:pPr>
      <w:r>
        <w:t xml:space="preserve">5.1. Hotspots and Reliability</w:t>
      </w:r>
    </w:p>
    <w:p>
      <w:pPr>
        <w:pStyle w:val="FirstParagraph"/>
      </w:pPr>
      <w:r>
        <w:t xml:space="preserve">The primary emission hotspots for dnizoygpdp are identified as:</w:t>
      </w:r>
    </w:p>
    <w:p>
      <w:pPr>
        <w:numPr>
          <w:ilvl w:val="0"/>
          <w:numId w:val="1015"/>
        </w:numPr>
        <w:pStyle w:val="Compact"/>
      </w:pPr>
      <w:r>
        <w:rPr>
          <w:bCs/>
          <w:b/>
        </w:rPr>
        <w:t xml:space="preserve">Material Acquisition (Scope 3, Category 1):</w:t>
      </w:r>
      <w:r>
        <w:t xml:space="preserve"> </w:t>
      </w:r>
      <w:r>
        <w:t xml:space="preserve">The production of raw materials, particularly specialized components like the Circuit Board and Aluminium Casing, contributes significantly to the overall PCF. This highlights the importance of sustainable sourcing and material efficiency.</w:t>
      </w:r>
    </w:p>
    <w:p>
      <w:pPr>
        <w:numPr>
          <w:ilvl w:val="0"/>
          <w:numId w:val="1015"/>
        </w:numPr>
        <w:pStyle w:val="Compact"/>
      </w:pPr>
      <w:r>
        <w:rPr>
          <w:bCs/>
          <w:b/>
        </w:rPr>
        <w:t xml:space="preserve">Use Phase (Scope 3, Category 11):</w:t>
      </w:r>
      <w:r>
        <w:t xml:space="preserve"> </w:t>
      </w:r>
      <w:r>
        <w:t xml:space="preserve">The energy consumption during the product\'s lifespan is a major contributor, emphasizing the need for energy-efficient design and potentially promoting renewable energy use by end-users.</w:t>
      </w:r>
    </w:p>
    <w:p>
      <w:pPr>
        <w:numPr>
          <w:ilvl w:val="0"/>
          <w:numId w:val="1015"/>
        </w:numPr>
        <w:pStyle w:val="Compact"/>
      </w:pPr>
      <w:r>
        <w:rPr>
          <w:bCs/>
          <w:b/>
        </w:rPr>
        <w:t xml:space="preserve">Manufacturing Energy (Scope 2):</w:t>
      </w:r>
      <w:r>
        <w:t xml:space="preserve"> </w:t>
      </w:r>
      <w:r>
        <w:t xml:space="preserve">While partially offset by renewable energy usage, the reliance on the grid mix for the remaining electricity in China presents a notable impact. Continued investment in renewable energy for production facilities is crucial.</w:t>
      </w:r>
    </w:p>
    <w:p>
      <w:pPr>
        <w:numPr>
          <w:ilvl w:val="0"/>
          <w:numId w:val="1015"/>
        </w:numPr>
        <w:pStyle w:val="Compact"/>
      </w:pPr>
      <w:r>
        <w:rPr>
          <w:bCs/>
          <w:b/>
        </w:rPr>
        <w:t xml:space="preserve">Transportation (Scope 3, Categories 4 &amp; 9):</w:t>
      </w:r>
      <w:r>
        <w:t xml:space="preserve"> </w:t>
      </w:r>
      <w:r>
        <w:t xml:space="preserve">Both inbound and outbound logistics contribute, with long-haul sea freight and last-mile delivery being relevant. Optimizing logistics routes, shifting to lower-emission transport modes, and maximizing load factors can reduce this impact.</w:t>
      </w:r>
    </w:p>
    <w:p>
      <w:pPr>
        <w:pStyle w:val="FirstParagraph"/>
      </w:pPr>
      <w:r>
        <w:t xml:space="preserve">The reliability of this assessment is considered high for the categories where specific data was provided (e.g., BOM with Total Carbon). For other categories, industry-average emission factors from credible sources (such as Ecoinvent and DEFRA equivalents) have been utilized.</w:t>
      </w:r>
    </w:p>
    <w:bookmarkEnd w:id="39"/>
    <w:bookmarkStart w:id="40" w:name="adherence-to-ghg-protocol-2026-updates"/>
    <w:p>
      <w:pPr>
        <w:pStyle w:val="Heading3"/>
      </w:pPr>
      <w:r>
        <w:t xml:space="preserve">5.2. Adherence to GHG Protocol &amp; 2026 Updates</w:t>
      </w:r>
    </w:p>
    <w:p>
      <w:pPr>
        <w:pStyle w:val="FirstParagraph"/>
      </w:pPr>
      <w:r>
        <w:t xml:space="preserve">This report adheres to the GHG Protocol Corporate Accounting and Reporting Standard and the Corporate Value Chain (Scope 3) Accounting and Reporting Standard.</w:t>
      </w:r>
    </w:p>
    <w:p>
      <w:pPr>
        <w:numPr>
          <w:ilvl w:val="0"/>
          <w:numId w:val="1016"/>
        </w:numPr>
        <w:pStyle w:val="Compact"/>
      </w:pPr>
      <w:r>
        <w:rPr>
          <w:bCs/>
          <w:b/>
        </w:rPr>
        <w:t xml:space="preserve">2026 LSR Update:</w:t>
      </w:r>
      <w:r>
        <w:t xml:space="preserve"> </w:t>
      </w:r>
      <w:r>
        <w:t xml:space="preserve">The Land Sector and Removals (LSR) Standard was released on January 30, 2026, and is effective from January 1, 2027. While dnizoygpdp is not directly involved in land-intensive activities, any upstream impacts related to land use for raw material production are implicitly included within the material emission factors. For companies with significant land-based activities, the LSR Standard introduces requirements and guidance for accounting for emissions and carbon removals from agricultural and land use activities, and also for technological CO2 removals. For future reporting, a detailed assessment of supply chain land use impacts would be integrated where applicable and data becomes available, especially with the accompanying Land Sector and Removals Guidance expected in Q2 2026.</w:t>
      </w:r>
    </w:p>
    <w:p>
      <w:pPr>
        <w:numPr>
          <w:ilvl w:val="0"/>
          <w:numId w:val="1016"/>
        </w:numPr>
        <w:pStyle w:val="Compact"/>
      </w:pPr>
      <w:r>
        <w:rPr>
          <w:bCs/>
          <w:b/>
        </w:rPr>
        <w:t xml:space="preserve">Scope 3 Compliance (95% Coverage):</w:t>
      </w:r>
      <w:r>
        <w:t xml:space="preserve"> </w:t>
      </w:r>
      <w:r>
        <w:t xml:space="preserve">The GHG Protocol\'s 2026 updates propose a mandatory 95% completeness rule for total relevant Scope 3 emissions. This analysis has strived for comprehensive coverage of relevant Scope 3 categories based on available product-specific and industry data. While not all 15 Scope 3 categories are explicitly detailed in this high-level PCF (e.g., employee commuting, business travel), the major categories for a manufactured product (Purchased Goods and Services, Transportation, Use of Sold Products, End-of-Life) are included, representing the bulk of the product\'s value chain emissions. Further granular data collection for all minor categories would be required to definitively confirm the 95% threshold in a full corporate inventory. The shift towards mandatory data disaggregation (primary vs. secondary data) in the 2026 updates also emphasizes the need for supplier-specific data collection in the future.</w:t>
      </w:r>
    </w:p>
    <w:p>
      <w:r>
        <w:pict>
          <v:rect style="width:0;height:1.5pt" o:hralign="center" o:hrstd="t" o:hr="t"/>
        </w:pict>
      </w:r>
    </w:p>
    <w:p>
      <w:pPr>
        <w:pStyle w:val="FirstParagraph"/>
      </w:pPr>
      <w:r>
        <w:t xml:space="preserve">Confidential - Internal Use Only</w:t>
      </w:r>
    </w:p>
    <w:p>
      <w:pPr>
        <w:pStyle w:val="BodyText"/>
      </w:pPr>
      <w:r>
        <w:t xml:space="preserve">Page 1 of X</w:t>
      </w:r>
    </w:p>
    <w:bookmarkEnd w:id="40"/>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dnizoygpdp</dc:title>
  <dc:creator/>
  <dc:description>High-detail Product Carbon Footprint (PCF) analysis report for product dnizoygpdp by syxxfdsxon, adhering to GHG Protocol and 2026 updates, conducted by Senior Sustainability Consultant mrvnfqkhkp.</dc:description>
  <dc:language>en</dc:language>
  <cp:keywords/>
  <dcterms:created xsi:type="dcterms:W3CDTF">2026-07-15T11:37:36Z</dcterms:created>
  <dcterms:modified xsi:type="dcterms:W3CDTF">2026-07-15T11:37:36Z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