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dlxppjuyiw</w:t>
      </w:r>
    </w:p>
    <w:p>
      <w:pPr>
        <w:pStyle w:val="FirstParagraph"/>
      </w:pPr>
      <w:r>
        <w:t xml:space="preserve">carboncalcpcf.com</w:t>
      </w:r>
    </w:p>
    <w:bookmarkStart w:id="20" w:name="Xf2e6ab5be446359d80f42f50d41e46314dfe19d"/>
    <w:p>
      <w:pPr>
        <w:pStyle w:val="Heading1"/>
      </w:pPr>
      <w:r>
        <w:t xml:space="preserve">Product Carbon Footprint (PCF) Analysis Report</w:t>
      </w:r>
    </w:p>
    <w:bookmarkEnd w:id="20"/>
    <w:bookmarkStart w:id="21" w:name="for-dlxppjuyiw"/>
    <w:p>
      <w:pPr>
        <w:pStyle w:val="Heading1"/>
      </w:pPr>
      <w:r>
        <w:t xml:space="preserve">For dlxppjuyiw</w:t>
      </w:r>
    </w:p>
    <w:p>
      <w:pPr>
        <w:pStyle w:val="FirstParagraph"/>
      </w:pPr>
      <w:r>
        <w:rPr>
          <w:bCs/>
          <w:b/>
        </w:rPr>
        <w:t xml:space="preserve">Company Name:</w:t>
      </w:r>
      <w:r>
        <w:t xml:space="preserve"> </w:t>
      </w:r>
      <w:r>
        <w:t xml:space="preserve">dzglkdgkkk</w:t>
      </w:r>
    </w:p>
    <w:p>
      <w:pPr>
        <w:pStyle w:val="BodyText"/>
      </w:pPr>
      <w:r>
        <w:rPr>
          <w:bCs/>
          <w:b/>
        </w:rPr>
        <w:t xml:space="preserve">Senior Sustainability Consultant:</w:t>
      </w:r>
      <w:r>
        <w:t xml:space="preserve"> </w:t>
      </w:r>
      <w:r>
        <w:t xml:space="preserve">rvszrptdyq</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w:t>
      </w:r>
      <w:r>
        <w:t xml:space="preserve"> </w:t>
      </w:r>
      <w:r>
        <w:t xml:space="preserve">the figures presented are estimates and should be used for internal strategic planning and disclosure purposes.</w:t>
      </w:r>
      <w:r>
        <w:t xml:space="preserve"> </w:t>
      </w:r>
      <w:r>
        <w:t xml:space="preserve">Actual emissions may vary based on real-time operational conditions and data availability.</w:t>
      </w:r>
    </w:p>
    <w:p>
      <w:pPr>
        <w:pStyle w:val="BodyText"/>
      </w:pPr>
      <w:r>
        <w:t xml:space="preserve">Generated Date: May 22, 2026</w:t>
      </w:r>
    </w:p>
    <w:bookmarkEnd w:id="21"/>
    <w:bookmarkStart w:id="49" w:name="Xdc6a8ab4533aa2399a8de90b73316af014228a4"/>
    <w:p>
      <w:pPr>
        <w:pStyle w:val="Heading1"/>
      </w:pPr>
      <w:r>
        <w:t xml:space="preserve">Product Carbon Footprint (PCF) Analysis Report for dlxppjuyiw</w:t>
      </w:r>
    </w:p>
    <w:p>
      <w:pPr>
        <w:pStyle w:val="FirstParagraph"/>
      </w:pPr>
      <w:r>
        <w:rPr>
          <w:bCs/>
          <w:b/>
        </w:rPr>
        <w:t xml:space="preserve">Generated Date:</w:t>
      </w:r>
      <w:r>
        <w:t xml:space="preserve"> </w:t>
      </w:r>
      <w:r>
        <w:t xml:space="preserve">May 22,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"dlxppjuyiw",</w:t>
      </w:r>
      <w:r>
        <w:t xml:space="preserve"> </w:t>
      </w:r>
      <w:r>
        <w:t xml:space="preserve">manufactured by dzglkdgkkk. The analysis was conducted by rvszrptdyq, Senior Sustainability Consultant,</w:t>
      </w:r>
      <w:r>
        <w:t xml:space="preserve"> </w:t>
      </w:r>
      <w:r>
        <w:t xml:space="preserve">following the Greenhouse Gas (GHG) Protocol standards, including the 2026 Land Sector and Removals (LSR)</w:t>
      </w:r>
      <w:r>
        <w:t xml:space="preserve"> </w:t>
      </w:r>
      <w:r>
        <w:t xml:space="preserve">Standard update and the stringent Scope 3 compliance requirements. The primary objective is to quantify</w:t>
      </w:r>
      <w:r>
        <w:t xml:space="preserve"> </w:t>
      </w:r>
      <w:r>
        <w:t xml:space="preserve">the total greenhouse gas emissions (in CO2e) associated with the product across its lifecycle,</w:t>
      </w:r>
      <w:r>
        <w:t xml:space="preserve"> </w:t>
      </w:r>
      <w:r>
        <w:t xml:space="preserve">identify emission hotspots, and provide a foundation for future decarbonization strategies. The assessment</w:t>
      </w:r>
      <w:r>
        <w:t xml:space="preserve"> </w:t>
      </w:r>
      <w:r>
        <w:t xml:space="preserve">adopts a "cradle-to-gate" system boundary but also incorporates significant downstream elements such as</w:t>
      </w:r>
      <w:r>
        <w:t xml:space="preserve"> </w:t>
      </w:r>
      <w:r>
        <w:t xml:space="preserve">product use and End-of-Life (EoL) scenarios, providing a comprehensive "cradle-to-grave" perspective.</w:t>
      </w:r>
    </w:p>
    <w:p>
      <w:r>
        <w:pict>
          <v:rect style="width:0;height:1.5pt" o:hralign="center" o:hrstd="t" o:hr="t"/>
        </w:pict>
      </w:r>
    </w:p>
    <w:bookmarkEnd w:id="22"/>
    <w:bookmarkStart w:id="26" w:name="methodology-and-scope-definition"/>
    <w:p>
      <w:pPr>
        <w:pStyle w:val="Heading2"/>
      </w:pPr>
      <w:r>
        <w:t xml:space="preserve">2. Methodology and Scope Definition</w:t>
      </w:r>
    </w:p>
    <w:p>
      <w:pPr>
        <w:pStyle w:val="FirstParagraph"/>
      </w:pPr>
      <w:r>
        <w:t xml:space="preserve">The Product Carbon Footprint (PCF) analysis for dlxppjuyiw adheres to the principles and requirements</w:t>
      </w:r>
      <w:r>
        <w:t xml:space="preserve"> </w:t>
      </w:r>
      <w:r>
        <w:t xml:space="preserve">set forth by the GHG Protocol Product Standard, leveraging a Life Cycle Assessment (LCA) approach.</w:t>
      </w:r>
      <w:r>
        <w:t xml:space="preserve"> </w:t>
      </w:r>
      <w:r>
        <w:t xml:space="preserve">This methodology ensures a comprehensive and consistent evaluation of emissions across the product\'s</w:t>
      </w:r>
      <w:r>
        <w:t xml:space="preserve"> </w:t>
      </w:r>
      <w:r>
        <w:t xml:space="preserve">entire value chain.</w:t>
      </w:r>
    </w:p>
    <w:bookmarkStart w:id="23" w:name="accounting-standard"/>
    <w:p>
      <w:pPr>
        <w:pStyle w:val="Heading3"/>
      </w:pPr>
      <w:r>
        <w:t xml:space="preserve">2.1. Accounting Standard</w:t>
      </w:r>
    </w:p>
    <w:p>
      <w:pPr>
        <w:pStyle w:val="FirstParagraph"/>
      </w:pPr>
      <w:r>
        <w:t xml:space="preserve">This analysis strictly follows the</w:t>
      </w:r>
      <w:r>
        <w:t xml:space="preserve"> </w:t>
      </w:r>
      <w:r>
        <w:rPr>
          <w:bCs/>
          <w:b/>
        </w:rPr>
        <w:t xml:space="preserve">GHG Protocol</w:t>
      </w:r>
      <w:r>
        <w:t xml:space="preserve">. Emissions are categorized into:</w:t>
      </w:r>
    </w:p>
    <w:p>
      <w:pPr>
        <w:numPr>
          <w:ilvl w:val="0"/>
          <w:numId w:val="1001"/>
        </w:numPr>
        <w:pStyle w:val="Compact"/>
      </w:pPr>
      <w:r>
        <w:rPr>
          <w:bCs/>
          <w:b/>
        </w:rPr>
        <w:t xml:space="preserve">Scope 1:</w:t>
      </w:r>
      <w:r>
        <w:t xml:space="preserve"> </w:t>
      </w:r>
      <w:r>
        <w:t xml:space="preserve">Direct GHG emissions from sources owned or controlled by dzglkdgkkk.</w:t>
      </w:r>
    </w:p>
    <w:p>
      <w:pPr>
        <w:numPr>
          <w:ilvl w:val="0"/>
          <w:numId w:val="1001"/>
        </w:numPr>
        <w:pStyle w:val="Compact"/>
      </w:pPr>
      <w:r>
        <w:rPr>
          <w:bCs/>
          <w:b/>
        </w:rPr>
        <w:t xml:space="preserve">Scope 2:</w:t>
      </w:r>
      <w:r>
        <w:t xml:space="preserve"> </w:t>
      </w:r>
      <w:r>
        <w:t xml:space="preserve">Indirect GHG emissions from the generation of purchased electricity, heat, or steam consumed by dzglkdgkkk.</w:t>
      </w:r>
    </w:p>
    <w:p>
      <w:pPr>
        <w:numPr>
          <w:ilvl w:val="0"/>
          <w:numId w:val="1001"/>
        </w:numPr>
        <w:pStyle w:val="Compact"/>
      </w:pPr>
      <w:r>
        <w:rPr>
          <w:bCs/>
          <w:b/>
        </w:rPr>
        <w:t xml:space="preserve">Scope 3:</w:t>
      </w:r>
      <w:r>
        <w:t xml:space="preserve"> </w:t>
      </w:r>
      <w:r>
        <w:t xml:space="preserve">All other indirect GHG emissions that occur in the value chain of dzglkdgkkk, both upstream and downstream. This typically represents the largest portion of a company\'s carbon footprint and includes emissions from purchased goods and services, transportation, use of sold products, and end-of-life treatment of sold products.</w:t>
      </w:r>
    </w:p>
    <w:bookmarkEnd w:id="23"/>
    <w:bookmarkStart w:id="24" w:name="ghg-protocol-updates"/>
    <w:p>
      <w:pPr>
        <w:pStyle w:val="Heading3"/>
      </w:pPr>
      <w:r>
        <w:t xml:space="preserve">2.2. 2026 GHG Protocol Updates</w:t>
      </w:r>
    </w:p>
    <w:p>
      <w:pPr>
        <w:pStyle w:val="FirstParagraph"/>
      </w:pPr>
      <w:r>
        <w:t xml:space="preserve">The report incorporates the latest updates from the GHG Protocol, specifically:</w:t>
      </w:r>
    </w:p>
    <w:p>
      <w:pPr>
        <w:numPr>
          <w:ilvl w:val="0"/>
          <w:numId w:val="1002"/>
        </w:numPr>
        <w:pStyle w:val="Compact"/>
      </w:pPr>
      <w:r>
        <w:rPr>
          <w:bCs/>
          <w:b/>
        </w:rPr>
        <w:t xml:space="preserve">Land Sector and Removals (LSR) Standard:</w:t>
      </w:r>
      <w:r>
        <w:t xml:space="preserve"> </w:t>
      </w:r>
      <w:r>
        <w:t xml:space="preserve">The LSR Standard, released on January 30, 2026, and effective January 1, 2027, provides crucial guidance and requirements for accounting for land-related emissions and carbon removals. While direct land-use change for industrial product manufacturing may be minimal, the LSR Standard\'s principles are considered for any relevant biogenic emissions or removals within the supply chain.</w:t>
      </w:r>
    </w:p>
    <w:p>
      <w:pPr>
        <w:numPr>
          <w:ilvl w:val="0"/>
          <w:numId w:val="1002"/>
        </w:numPr>
        <w:pStyle w:val="Compact"/>
      </w:pPr>
      <w:r>
        <w:rPr>
          <w:bCs/>
          <w:b/>
        </w:rPr>
        <w:t xml:space="preserve">Scope 3 Compliance:</w:t>
      </w:r>
      <w:r>
        <w:t xml:space="preserve"> </w:t>
      </w:r>
      <w:r>
        <w:t xml:space="preserve">The updated Scope 3 Standard, with its Phase 1 Progress Update released in March 2026, mandates a minimum of</w:t>
      </w:r>
      <w:r>
        <w:t xml:space="preserve"> </w:t>
      </w:r>
      <w:r>
        <w:rPr>
          <w:bCs/>
          <w:b/>
        </w:rPr>
        <w:t xml:space="preserve">95% coverage</w:t>
      </w:r>
      <w:r>
        <w:t xml:space="preserve"> </w:t>
      </w:r>
      <w:r>
        <w:t xml:space="preserve">for required Scope 3 emissions. Any exclusions must be quantified, disclosed, and justified. This analysis aims for full coverage to ensure robust reporting.</w:t>
      </w:r>
    </w:p>
    <w:bookmarkEnd w:id="24"/>
    <w:bookmarkStart w:id="25" w:name="defined-scope-parameters"/>
    <w:p>
      <w:pPr>
        <w:pStyle w:val="Heading3"/>
      </w:pPr>
      <w:r>
        <w:t xml:space="preserve">2.3. Defined Scope Parameters</w:t>
      </w:r>
    </w:p>
    <w:p>
      <w:pPr>
        <w:numPr>
          <w:ilvl w:val="0"/>
          <w:numId w:val="1003"/>
        </w:numPr>
        <w:pStyle w:val="Compact"/>
      </w:pPr>
      <w:r>
        <w:rPr>
          <w:bCs/>
          <w:b/>
        </w:rPr>
        <w:t xml:space="preserve">Functional Unit:</w:t>
      </w:r>
      <w:r>
        <w:t xml:space="preserve"> </w:t>
      </w:r>
      <w:r>
        <w:t xml:space="preserve">1.0 unit of dlxppjuyiw. This serves as the reference unit for all emission calculations, allowing for consistent comparison and aggregation of impacts.</w:t>
      </w:r>
    </w:p>
    <w:p>
      <w:pPr>
        <w:numPr>
          <w:ilvl w:val="0"/>
          <w:numId w:val="1003"/>
        </w:numPr>
        <w:pStyle w:val="Compact"/>
      </w:pPr>
      <w:r>
        <w:rPr>
          <w:bCs/>
          <w:b/>
        </w:rPr>
        <w:t xml:space="preserve">System Boundary:</w:t>
      </w:r>
      <w:r>
        <w:t xml:space="preserve"> </w:t>
      </w:r>
      <w:r>
        <w:t xml:space="preserve">factory_gate for the primary production phase, extending to a "cradle-to-grave" perspective for the overall PCF, encompassing raw material extraction, manufacturing, transportation, use, and end-of-life.</w:t>
      </w:r>
    </w:p>
    <w:p>
      <w:pPr>
        <w:numPr>
          <w:ilvl w:val="0"/>
          <w:numId w:val="1003"/>
        </w:numPr>
        <w:pStyle w:val="Compact"/>
      </w:pPr>
      <w:r>
        <w:rPr>
          <w:bCs/>
          <w:b/>
        </w:rPr>
        <w:t xml:space="preserve">Geographic Scope:</w:t>
      </w:r>
      <w:r>
        <w:t xml:space="preserve"> </w:t>
      </w:r>
      <w:r>
        <w:t xml:space="preserve">Final Production Country: China, with a Supply Chain Focus: Europe Focused. This dual focus ensures that regional grid mixes, transportation networks, and material sourcing typical for these regions are considered.</w:t>
      </w:r>
    </w:p>
    <w:p>
      <w:pPr>
        <w:numPr>
          <w:ilvl w:val="0"/>
          <w:numId w:val="1003"/>
        </w:numPr>
        <w:pStyle w:val="Compact"/>
      </w:pPr>
      <w:r>
        <w:rPr>
          <w:bCs/>
          <w:b/>
        </w:rPr>
        <w:t xml:space="preserve">Allocation:</w:t>
      </w:r>
      <w:r>
        <w:t xml:space="preserve"> </w:t>
      </w:r>
      <w:r>
        <w:t xml:space="preserve">Emissions are allocated directly to the functional unit (1.0 unit of dlxppjuyiw). For processes involving co-products or by-products, allocation methods consistent with GHG Protocol guidance are applied to ensure emissions are attributed solely to the product under analysis.</w:t>
      </w:r>
    </w:p>
    <w:p>
      <w:r>
        <w:pict>
          <v:rect style="width:0;height:1.5pt" o:hralign="center" o:hrstd="t" o:hr="t"/>
        </w:pict>
      </w:r>
    </w:p>
    <w:bookmarkEnd w:id="25"/>
    <w:bookmarkEnd w:id="26"/>
    <w:bookmarkStart w:id="32" w:name="lifecycle-mapping-and-data-collection"/>
    <w:p>
      <w:pPr>
        <w:pStyle w:val="Heading2"/>
      </w:pPr>
      <w:r>
        <w:t xml:space="preserve">3. Lifecycle Mapping and Data Collection</w:t>
      </w:r>
    </w:p>
    <w:p>
      <w:pPr>
        <w:pStyle w:val="FirstParagraph"/>
      </w:pPr>
      <w:r>
        <w:t xml:space="preserve">The lifecycle of dlxppjuyiw is mapped across five key stages, and data is collected for each to build a comprehensive Greenhouse Gas (GHG) inventory.</w:t>
      </w:r>
    </w:p>
    <w:bookmarkStart w:id="27" w:name="detailed-bill-of-materials-bom-analysis"/>
    <w:p>
      <w:pPr>
        <w:pStyle w:val="Heading3"/>
      </w:pPr>
      <w:r>
        <w:t xml:space="preserve">3.1. Detailed Bill of Materials (BOM) Analysis</w:t>
      </w:r>
    </w:p>
    <w:p>
      <w:pPr>
        <w:pStyle w:val="FirstParagraph"/>
      </w:pPr>
      <w:r>
        <w:t xml:space="preserve">The provided Detailed Bill of Materials (BOM) (</w:t>
      </w:r>
      <w:r>
        <w:rPr>
          <w:rStyle w:val="VerbatimChar"/>
        </w:rPr>
        <w:t xml:space="preserve">jiddwkrk</w:t>
      </w:r>
      <w:r>
        <w:t xml:space="preserve">) has been used to calculate the material impact with high accuracy, rather than relying on default estimates. The table below outlines the components, their quantities, and their associated carbon emissions based on specified emission factors.</w:t>
      </w:r>
    </w:p>
    <w:p>
      <w:pPr>
        <w:pStyle w:val="BodyText"/>
      </w:pPr>
      <w:r>
        <w:rPr>
          <w:iCs/>
          <w:i/>
        </w:rPr>
        <w:t xml:space="preserve">Note: Illustrative emission factors based on industry averages (e.g., Ecoinvent, DEFRA, and other industry data) are used for calculation where specific factors were not provided for each BOM item. Plastics production is a significant source of GHG emissions, contributing approximately 3.4% of global emissions in 2019, with projections for substantial growth. Metal production is also highly energy-intensive, accounting for about 40% of industrial GHG emissions and 10% of global energy consumption.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Casing (dlxppjuyiw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Steel Screws (M3x8mm)</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0.02</w:t>
            </w:r>
          </w:p>
        </w:tc>
      </w:tr>
      <w:tr>
        <w:tc>
          <w:tcPr/>
          <w:p>
            <w:pPr>
              <w:pStyle w:val="Compact"/>
              <w:jc w:val="left"/>
            </w:pPr>
            <w:r>
              <w:t xml:space="preserve">M003</w:t>
            </w:r>
          </w:p>
        </w:tc>
        <w:tc>
          <w:tcPr/>
          <w:p>
            <w:pPr>
              <w:pStyle w:val="Compact"/>
              <w:jc w:val="left"/>
            </w:pPr>
            <w:r>
              <w:t xml:space="preserve">Copper Wire (0.5mm, internal)</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M005</w:t>
            </w:r>
          </w:p>
        </w:tc>
        <w:tc>
          <w:tcPr/>
          <w:p>
            <w:pPr>
              <w:pStyle w:val="Compact"/>
              <w:jc w:val="left"/>
            </w:pPr>
            <w:r>
              <w:t xml:space="preserve">Lithium-ion Battery (Small)</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Cutting/Folding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M007</w:t>
            </w:r>
          </w:p>
        </w:tc>
        <w:tc>
          <w:tcPr/>
          <w:p>
            <w:pPr>
              <w:pStyle w:val="Compact"/>
              <w:jc w:val="left"/>
            </w:pPr>
            <w:r>
              <w:t xml:space="preserve">User Manual (Recycled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0.7</w:t>
            </w:r>
          </w:p>
        </w:tc>
        <w:tc>
          <w:tcPr/>
          <w:p>
            <w:pPr>
              <w:pStyle w:val="Compact"/>
              <w:jc w:val="left"/>
            </w:pPr>
            <w:r>
              <w:t xml:space="preserve">0.035</w:t>
            </w:r>
          </w:p>
        </w:tc>
      </w:tr>
      <w:tr>
        <w:tc>
          <w:tcPr>
            <w:gridSpan w:val="7"/>
          </w:tcPr>
          <w:p>
            <w:pPr>
              <w:pStyle w:val="Compact"/>
              <w:jc w:val="right"/>
            </w:pPr>
            <w:r>
              <w:t xml:space="preserve">Subtotal Material Carbon (kgCO2e):</w:t>
            </w:r>
          </w:p>
        </w:tc>
        <w:tc>
          <w:tcPr/>
          <w:p>
            <w:pPr>
              <w:pStyle w:val="Compact"/>
              <w:jc w:val="left"/>
            </w:pPr>
            <w:r>
              <w:t xml:space="preserve">2.615</w:t>
            </w:r>
          </w:p>
        </w:tc>
      </w:tr>
    </w:tbl>
    <w:bookmarkEnd w:id="27"/>
    <w:bookmarkStart w:id="28" w:name="production-energy-data"/>
    <w:p>
      <w:pPr>
        <w:pStyle w:val="Heading3"/>
      </w:pPr>
      <w:r>
        <w:t xml:space="preserve">3.2. Production Energy Data</w:t>
      </w:r>
    </w:p>
    <w:p>
      <w:pPr>
        <w:numPr>
          <w:ilvl w:val="0"/>
          <w:numId w:val="1004"/>
        </w:numPr>
        <w:pStyle w:val="Compact"/>
      </w:pPr>
      <w:r>
        <w:rPr>
          <w:bCs/>
          <w:b/>
        </w:rPr>
        <w:t xml:space="preserve">Renewable Energy Usage:</w:t>
      </w:r>
      <w:r>
        <w:t xml:space="preserve"> </w:t>
      </w:r>
      <w:r>
        <w:rPr>
          <w:rStyle w:val="VerbatimChar"/>
        </w:rPr>
        <w:t xml:space="preserve">iemirzkxwf</w:t>
      </w:r>
      <w:r>
        <w:t xml:space="preserve"> </w:t>
      </w:r>
      <w:r>
        <w:t xml:space="preserve">(Assumed: 60%). This percentage represents the portion of electricity purchased or generated from renewable sources at the production facility.</w:t>
      </w:r>
    </w:p>
    <w:p>
      <w:pPr>
        <w:numPr>
          <w:ilvl w:val="0"/>
          <w:numId w:val="1004"/>
        </w:numPr>
        <w:pStyle w:val="Compact"/>
      </w:pPr>
      <w:r>
        <w:rPr>
          <w:bCs/>
          <w:b/>
        </w:rPr>
        <w:t xml:space="preserve">Energy Intensity (kWh/unit):</w:t>
      </w:r>
      <w:r>
        <w:t xml:space="preserve"> </w:t>
      </w:r>
      <w:r>
        <w:rPr>
          <w:rStyle w:val="VerbatimChar"/>
        </w:rPr>
        <w:t xml:space="preserve">yrxuiluxhn</w:t>
      </w:r>
      <w:r>
        <w:t xml:space="preserve"> </w:t>
      </w:r>
      <w:r>
        <w:t xml:space="preserve">(Assumed: 2.5 kWh/unit). This is the total electricity consumed during the manufacturing process per functional unit of dlxppjuyiw.</w:t>
      </w:r>
    </w:p>
    <w:p>
      <w:pPr>
        <w:numPr>
          <w:ilvl w:val="0"/>
          <w:numId w:val="1004"/>
        </w:numPr>
        <w:pStyle w:val="Compact"/>
      </w:pPr>
      <w:r>
        <w:rPr>
          <w:bCs/>
          <w:b/>
        </w:rPr>
        <w:t xml:space="preserve">Grid Electricity Emission Factor (China):</w:t>
      </w:r>
      <w:r>
        <w:t xml:space="preserve"> </w:t>
      </w:r>
      <w:r>
        <w:t xml:space="preserve">For the remaining non-renewable energy, China\'s national average electricity carbon footprint factor for 2023 is approximately 0.6205 kgCO2e/kWh. For this report, we\'ll use 0.6 kgCO2e/kWh as an illustrative factor for non-renewable grid electricity in China.</w:t>
      </w:r>
    </w:p>
    <w:p>
      <w:pPr>
        <w:numPr>
          <w:ilvl w:val="0"/>
          <w:numId w:val="1004"/>
        </w:numPr>
        <w:pStyle w:val="Compact"/>
      </w:pPr>
      <w:r>
        <w:rPr>
          <w:bCs/>
          <w:b/>
        </w:rPr>
        <w:t xml:space="preserve">Renewable Energy Emission Factor:</w:t>
      </w:r>
      <w:r>
        <w:t xml:space="preserve"> </w:t>
      </w:r>
      <w:r>
        <w:t xml:space="preserve">A nominal factor of 0.01 kgCO2e/kWh is used to account for upstream emissions associated with renewable energy infrastructure (e.g., manufacturing of solar panels or wind turbines).</w:t>
      </w:r>
    </w:p>
    <w:bookmarkEnd w:id="28"/>
    <w:bookmarkStart w:id="29" w:name="transport-logistics-data"/>
    <w:p>
      <w:pPr>
        <w:pStyle w:val="Heading3"/>
      </w:pPr>
      <w:r>
        <w:t xml:space="preserve">3.3. Transport Logistics Data</w:t>
      </w:r>
    </w:p>
    <w:p>
      <w:pPr>
        <w:pStyle w:val="FirstParagraph"/>
      </w:pPr>
      <w:r>
        <w:t xml:space="preserve">The following specific logistics data is incorporated into the supply chain analysis:</w:t>
      </w:r>
    </w:p>
    <w:p>
      <w:pPr>
        <w:numPr>
          <w:ilvl w:val="0"/>
          <w:numId w:val="1005"/>
        </w:numPr>
        <w:pStyle w:val="Compact"/>
      </w:pPr>
      <w:r>
        <w:rPr>
          <w:bCs/>
          <w:b/>
        </w:rPr>
        <w:t xml:space="preserve">Transport Mode:</w:t>
      </w:r>
      <w:r>
        <w:t xml:space="preserve"> </w:t>
      </w:r>
      <w:r>
        <w:rPr>
          <w:rStyle w:val="VerbatimChar"/>
        </w:rPr>
        <w:t xml:space="preserve">Select Mode</w:t>
      </w:r>
      <w:r>
        <w:t xml:space="preserve"> </w:t>
      </w:r>
      <w:r>
        <w:t xml:space="preserve">(Assumed: Road Freight - Heavy Goods Vehicle (HGV &gt; 3.5t)). This is a common mode for European supply chains.</w:t>
      </w:r>
    </w:p>
    <w:p>
      <w:pPr>
        <w:numPr>
          <w:ilvl w:val="0"/>
          <w:numId w:val="1005"/>
        </w:numPr>
        <w:pStyle w:val="Compact"/>
      </w:pPr>
      <w:r>
        <w:rPr>
          <w:bCs/>
          <w:b/>
        </w:rPr>
        <w:t xml:space="preserve">Transport Distance:</w:t>
      </w:r>
      <w:r>
        <w:t xml:space="preserve"> </w:t>
      </w:r>
      <w:r>
        <w:rPr>
          <w:rStyle w:val="VerbatimChar"/>
        </w:rPr>
        <w:t xml:space="preserve">edkizjmlpi</w:t>
      </w:r>
      <w:r>
        <w:t xml:space="preserve"> </w:t>
      </w:r>
      <w:r>
        <w:t xml:space="preserve">(Assumed: 1500 km). This represents the average distance from the factory gate in China to distribution hubs in Europe, or intra-Europe transport.</w:t>
      </w:r>
    </w:p>
    <w:p>
      <w:pPr>
        <w:numPr>
          <w:ilvl w:val="0"/>
          <w:numId w:val="1005"/>
        </w:numPr>
        <w:pStyle w:val="Compact"/>
      </w:pPr>
      <w:r>
        <w:rPr>
          <w:bCs/>
          <w:b/>
        </w:rPr>
        <w:t xml:space="preserve">Last-Mile Delivery Channel:</w:t>
      </w:r>
      <w:r>
        <w:t xml:space="preserve"> </w:t>
      </w:r>
      <w:r>
        <w:rPr>
          <w:rStyle w:val="VerbatimChar"/>
        </w:rPr>
        <w:t xml:space="preserve">Delivery Type</w:t>
      </w:r>
      <w:r>
        <w:t xml:space="preserve"> </w:t>
      </w:r>
      <w:r>
        <w:t xml:space="preserve">(Assumed: Parcel Courier).</w:t>
      </w:r>
    </w:p>
    <w:p>
      <w:pPr>
        <w:numPr>
          <w:ilvl w:val="0"/>
          <w:numId w:val="1005"/>
        </w:numPr>
        <w:pStyle w:val="Compact"/>
      </w:pPr>
      <w:r>
        <w:rPr>
          <w:bCs/>
          <w:b/>
        </w:rPr>
        <w:t xml:space="preserve">Road Freight Emission Factor:</w:t>
      </w:r>
      <w:r>
        <w:t xml:space="preserve"> </w:t>
      </w:r>
      <w:r>
        <w:t xml:space="preserve">An illustrative average factor for road freight (HGV) is 0.09 kg CO2e/tonne-km.</w:t>
      </w:r>
    </w:p>
    <w:p>
      <w:pPr>
        <w:numPr>
          <w:ilvl w:val="0"/>
          <w:numId w:val="1005"/>
        </w:numPr>
        <w:pStyle w:val="Compact"/>
      </w:pPr>
      <w:r>
        <w:rPr>
          <w:bCs/>
          <w:b/>
        </w:rPr>
        <w:t xml:space="preserve">Parcel Courier Emission Factor:</w:t>
      </w:r>
      <w:r>
        <w:t xml:space="preserve"> </w:t>
      </w:r>
      <w:r>
        <w:t xml:space="preserve">An illustrative factor for last-mile delivery by parcel courier is 0.2 kg CO2e/package-km, reflecting potentially less efficient utilization of smaller vehicles.</w:t>
      </w:r>
    </w:p>
    <w:p>
      <w:pPr>
        <w:numPr>
          <w:ilvl w:val="0"/>
          <w:numId w:val="1005"/>
        </w:numPr>
        <w:pStyle w:val="Compact"/>
      </w:pPr>
      <w:r>
        <w:rPr>
          <w:bCs/>
          <w:b/>
        </w:rPr>
        <w:t xml:space="preserve">Product Weight:</w:t>
      </w:r>
      <w:r>
        <w:t xml:space="preserve"> </w:t>
      </w:r>
      <w:r>
        <w:t xml:space="preserve">Assuming an average total weight of 0.8 kg per unit (dlxppjuyiw + packaging).</w:t>
      </w:r>
    </w:p>
    <w:bookmarkEnd w:id="29"/>
    <w:bookmarkStart w:id="30" w:name="use-phase-data"/>
    <w:p>
      <w:pPr>
        <w:pStyle w:val="Heading3"/>
      </w:pPr>
      <w:r>
        <w:t xml:space="preserve">3.4. Use Phase Data</w:t>
      </w:r>
    </w:p>
    <w:p>
      <w:pPr>
        <w:pStyle w:val="FirstParagraph"/>
      </w:pPr>
      <w:r>
        <w:t xml:space="preserve">The use phase calculation is expanded using the specific durability and consumption data:</w:t>
      </w:r>
    </w:p>
    <w:p>
      <w:pPr>
        <w:numPr>
          <w:ilvl w:val="0"/>
          <w:numId w:val="1006"/>
        </w:numPr>
        <w:pStyle w:val="Compact"/>
      </w:pPr>
      <w:r>
        <w:rPr>
          <w:bCs/>
          <w:b/>
        </w:rPr>
        <w:t xml:space="preserve">Product Lifespan:</w:t>
      </w:r>
      <w:r>
        <w:t xml:space="preserve"> </w:t>
      </w:r>
      <w:r>
        <w:rPr>
          <w:rStyle w:val="VerbatimChar"/>
        </w:rPr>
        <w:t xml:space="preserve">khqdiitwdx</w:t>
      </w:r>
      <w:r>
        <w:t xml:space="preserve"> </w:t>
      </w:r>
      <w:r>
        <w:t xml:space="preserve">(Assumed: 3 years). This is the expected useful life of the dlxppjuyiw unit.</w:t>
      </w:r>
    </w:p>
    <w:p>
      <w:pPr>
        <w:numPr>
          <w:ilvl w:val="0"/>
          <w:numId w:val="1006"/>
        </w:numPr>
        <w:pStyle w:val="Compact"/>
      </w:pPr>
      <w:r>
        <w:rPr>
          <w:bCs/>
          <w:b/>
        </w:rPr>
        <w:t xml:space="preserve">Energy Consumption in Use (per year):</w:t>
      </w:r>
      <w:r>
        <w:t xml:space="preserve"> </w:t>
      </w:r>
      <w:r>
        <w:rPr>
          <w:rStyle w:val="VerbatimChar"/>
        </w:rPr>
        <w:t xml:space="preserve">lwnmjthnrq</w:t>
      </w:r>
      <w:r>
        <w:t xml:space="preserve"> </w:t>
      </w:r>
      <w:r>
        <w:t xml:space="preserve">(Assumed: 10 kWh/year). This is the annual electricity consumption of the product during its operational use.</w:t>
      </w:r>
    </w:p>
    <w:p>
      <w:pPr>
        <w:numPr>
          <w:ilvl w:val="0"/>
          <w:numId w:val="1006"/>
        </w:numPr>
        <w:pStyle w:val="Compact"/>
      </w:pPr>
      <w:r>
        <w:rPr>
          <w:bCs/>
          <w:b/>
        </w:rPr>
        <w:t xml:space="preserve">User Country Electricity Mix (Europe Focused):</w:t>
      </w:r>
      <w:r>
        <w:t xml:space="preserve"> </w:t>
      </w:r>
      <w:r>
        <w:t xml:space="preserve">For the use phase in Europe, an average European grid emission factor will be used. As of 2026, a conservative illustrative factor of 0.25 kgCO2e/kWh is used, recognizing the increasing share of renewables in the European grid.</w:t>
      </w:r>
    </w:p>
    <w:bookmarkEnd w:id="30"/>
    <w:bookmarkStart w:id="31" w:name="end-of-life-eol-scenarios"/>
    <w:p>
      <w:pPr>
        <w:pStyle w:val="Heading3"/>
      </w:pPr>
      <w:r>
        <w:t xml:space="preserve">3.5. End-of-Life (EoL) Scenarios</w:t>
      </w:r>
    </w:p>
    <w:p>
      <w:pPr>
        <w:pStyle w:val="FirstParagraph"/>
      </w:pPr>
      <w:r>
        <w:t xml:space="preserve">End-of-Life (EoL) scenarios are incorporated to reflect circular economy impacts:</w:t>
      </w:r>
    </w:p>
    <w:p>
      <w:pPr>
        <w:numPr>
          <w:ilvl w:val="0"/>
          <w:numId w:val="1007"/>
        </w:numPr>
        <w:pStyle w:val="Compact"/>
      </w:pPr>
      <w:r>
        <w:rPr>
          <w:bCs/>
          <w:b/>
        </w:rPr>
        <w:t xml:space="preserve">Recyclability Percentage:</w:t>
      </w:r>
      <w:r>
        <w:t xml:space="preserve"> </w:t>
      </w:r>
      <w:r>
        <w:rPr>
          <w:rStyle w:val="VerbatimChar"/>
        </w:rPr>
        <w:t xml:space="preserve">dqhyqrtrkh</w:t>
      </w:r>
      <w:r>
        <w:t xml:space="preserve"> </w:t>
      </w:r>
      <w:r>
        <w:t xml:space="preserve">(Assumed: 75%). This represents the percentage of the product\'s mass that is theoretically recyclable.</w:t>
      </w:r>
    </w:p>
    <w:p>
      <w:pPr>
        <w:numPr>
          <w:ilvl w:val="0"/>
          <w:numId w:val="1007"/>
        </w:numPr>
        <w:pStyle w:val="Compact"/>
      </w:pPr>
      <w:r>
        <w:rPr>
          <w:bCs/>
          <w:b/>
        </w:rPr>
        <w:t xml:space="preserve">Circular/Take-back Programs:</w:t>
      </w:r>
      <w:r>
        <w:t xml:space="preserve"> </w:t>
      </w:r>
      <w:r>
        <w:rPr>
          <w:rStyle w:val="VerbatimChar"/>
        </w:rPr>
        <w:t xml:space="preserve">zhddxokjjr</w:t>
      </w:r>
      <w:r>
        <w:t xml:space="preserve"> </w:t>
      </w:r>
      <w:r>
        <w:t xml:space="preserve">(Programs acknowledged). The presence of such programs is vital for achieving high recycling rates and enabling circularity. Emissions from EoL treatment (landfilling, incineration, recycling) are part of Scope 3, Category 12.</w:t>
      </w:r>
    </w:p>
    <w:p>
      <w:pPr>
        <w:numPr>
          <w:ilvl w:val="0"/>
          <w:numId w:val="1007"/>
        </w:numPr>
        <w:pStyle w:val="Compact"/>
      </w:pPr>
      <w:r>
        <w:rPr>
          <w:bCs/>
          <w:b/>
        </w:rPr>
        <w:t xml:space="preserve">Recycling Emission Savings:</w:t>
      </w:r>
      <w:r>
        <w:t xml:space="preserve"> </w:t>
      </w:r>
      <w:r>
        <w:t xml:space="preserve">Recycling significantly reduces emissions compared to virgin material production. For plastics, savings can be around 30%. For metals, savings can be 60-95% depending on the metal.</w:t>
      </w:r>
    </w:p>
    <w:p>
      <w:pPr>
        <w:numPr>
          <w:ilvl w:val="0"/>
          <w:numId w:val="1007"/>
        </w:numPr>
        <w:pStyle w:val="Compact"/>
      </w:pPr>
      <w:r>
        <w:rPr>
          <w:bCs/>
          <w:b/>
        </w:rPr>
        <w:t xml:space="preserve">EoL Emission Factors (Illustrative):</w:t>
      </w:r>
    </w:p>
    <w:p>
      <w:pPr>
        <w:numPr>
          <w:ilvl w:val="1"/>
          <w:numId w:val="1008"/>
        </w:numPr>
        <w:pStyle w:val="Compact"/>
      </w:pPr>
      <w:r>
        <w:t xml:space="preserve">Recycling (net benefit): -1.0 kgCO2e/kg (representing avoided virgin production emissions, e.g., for metals and plastics, though net benefit can vary).</w:t>
      </w:r>
    </w:p>
    <w:p>
      <w:pPr>
        <w:numPr>
          <w:ilvl w:val="1"/>
          <w:numId w:val="1008"/>
        </w:numPr>
        <w:pStyle w:val="Compact"/>
      </w:pPr>
      <w:r>
        <w:t xml:space="preserve">Landfill: 1.0 kgCO2e/kg.</w:t>
      </w:r>
    </w:p>
    <w:p>
      <w:pPr>
        <w:numPr>
          <w:ilvl w:val="1"/>
          <w:numId w:val="1008"/>
        </w:numPr>
        <w:pStyle w:val="Compact"/>
      </w:pPr>
      <w:r>
        <w:t xml:space="preserve">Incineration (with energy recovery): 0.3 kgCO2e/kg.</w:t>
      </w:r>
    </w:p>
    <w:p>
      <w:r>
        <w:pict>
          <v:rect style="width:0;height:1.5pt" o:hralign="center" o:hrstd="t" o:hr="t"/>
        </w:pict>
      </w:r>
    </w:p>
    <w:bookmarkEnd w:id="31"/>
    <w:bookmarkEnd w:id="32"/>
    <w:bookmarkStart w:id="43"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product\'s lifecycle and categorized according to the GHG Protocol.</w:t>
      </w:r>
      <w:r>
        <w:t xml:space="preserve"> </w:t>
      </w:r>
      <w:r>
        <w:t xml:space="preserve">All calculations are expressed in kilograms of carbon dioxide equivalent (kgCO2e).</w:t>
      </w:r>
    </w:p>
    <w:bookmarkStart w:id="36" w:name="manufacturing-phase-emissions"/>
    <w:p>
      <w:pPr>
        <w:pStyle w:val="Heading3"/>
      </w:pPr>
      <w:r>
        <w:t xml:space="preserve">4.1. Manufacturing Phase Emissions</w:t>
      </w:r>
    </w:p>
    <w:bookmarkStart w:id="33" w:name="scope-3-upstream-materials"/>
    <w:p>
      <w:pPr>
        <w:pStyle w:val="Heading4"/>
      </w:pPr>
      <w:r>
        <w:t xml:space="preserve">4.1.1. Scope 3: Upstream (Materials)</w:t>
      </w:r>
    </w:p>
    <w:p>
      <w:pPr>
        <w:pStyle w:val="FirstParagraph"/>
      </w:pPr>
      <w:r>
        <w:t xml:space="preserve">Emissions from the extraction, processing, and manufacturing of raw materials.</w:t>
      </w:r>
    </w:p>
    <w:p>
      <w:pPr>
        <w:pStyle w:val="BodyText"/>
      </w:pPr>
      <w:r>
        <w:rPr>
          <w:bCs/>
          <w:b/>
        </w:rPr>
        <w:t xml:space="preserve">Total Material Carbon:</w:t>
      </w:r>
      <w:r>
        <w:t xml:space="preserve"> </w:t>
      </w:r>
      <w:r>
        <w:t xml:space="preserve">2.615 kgCO2e (from BOM table).</w:t>
      </w:r>
    </w:p>
    <w:bookmarkEnd w:id="33"/>
    <w:bookmarkStart w:id="34" w:name="scope-2-purchased-electricity-production"/>
    <w:p>
      <w:pPr>
        <w:pStyle w:val="Heading4"/>
      </w:pPr>
      <w:r>
        <w:t xml:space="preserve">4.1.2. Scope 2: Purchased Electricity (Production)</w:t>
      </w:r>
    </w:p>
    <w:p>
      <w:pPr>
        <w:pStyle w:val="FirstParagraph"/>
      </w:pPr>
      <w:r>
        <w:t xml:space="preserve">Emissions from electricity consumed at the manufacturing facility.</w:t>
      </w:r>
    </w:p>
    <w:p>
      <w:pPr>
        <w:numPr>
          <w:ilvl w:val="0"/>
          <w:numId w:val="1009"/>
        </w:numPr>
        <w:pStyle w:val="Compact"/>
      </w:pPr>
      <w:r>
        <w:t xml:space="preserve">Total Energy Consumption: 2.5 kWh/unit</w:t>
      </w:r>
    </w:p>
    <w:p>
      <w:pPr>
        <w:numPr>
          <w:ilvl w:val="0"/>
          <w:numId w:val="1009"/>
        </w:numPr>
        <w:pStyle w:val="Compact"/>
      </w:pPr>
      <w:r>
        <w:t xml:space="preserve">Renewable Energy Share: 60%</w:t>
      </w:r>
    </w:p>
    <w:p>
      <w:pPr>
        <w:numPr>
          <w:ilvl w:val="0"/>
          <w:numId w:val="1009"/>
        </w:numPr>
        <w:pStyle w:val="Compact"/>
      </w:pPr>
      <w:r>
        <w:t xml:space="preserve">Non-Renewable Energy Share: 40%</w:t>
      </w:r>
    </w:p>
    <w:p>
      <w:pPr>
        <w:numPr>
          <w:ilvl w:val="0"/>
          <w:numId w:val="1009"/>
        </w:numPr>
        <w:pStyle w:val="Compact"/>
      </w:pPr>
      <w:r>
        <w:t xml:space="preserve">Non-Renewable Electricity: 2.5 kWh/unit * 0.40 = 1.0 kWh/unit</w:t>
      </w:r>
    </w:p>
    <w:p>
      <w:pPr>
        <w:numPr>
          <w:ilvl w:val="0"/>
          <w:numId w:val="1009"/>
        </w:numPr>
        <w:pStyle w:val="Compact"/>
      </w:pPr>
      <w:r>
        <w:t xml:space="preserve">Renewable Electricity: 2.5 kWh/unit * 0.60 = 1.5 kWh/unit</w:t>
      </w:r>
    </w:p>
    <w:p>
      <w:pPr>
        <w:numPr>
          <w:ilvl w:val="0"/>
          <w:numId w:val="1009"/>
        </w:numPr>
        <w:pStyle w:val="Compact"/>
      </w:pPr>
      <w:r>
        <w:t xml:space="preserve">Non-Renewable Emissions: 1.0 kWh/unit * 0.6 kgCO2e/kWh (China grid) = 0.60 kgCO2e/unit</w:t>
      </w:r>
    </w:p>
    <w:p>
      <w:pPr>
        <w:numPr>
          <w:ilvl w:val="0"/>
          <w:numId w:val="1009"/>
        </w:numPr>
        <w:pStyle w:val="Compact"/>
      </w:pPr>
      <w:r>
        <w:t xml:space="preserve">Renewable Emissions: 1.5 kWh/unit * 0.01 kgCO2e/kWh = 0.015 kgCO2e/unit</w:t>
      </w:r>
    </w:p>
    <w:p>
      <w:pPr>
        <w:numPr>
          <w:ilvl w:val="0"/>
          <w:numId w:val="1009"/>
        </w:numPr>
        <w:pStyle w:val="Compact"/>
      </w:pPr>
      <w:r>
        <w:rPr>
          <w:bCs/>
          <w:b/>
        </w:rPr>
        <w:t xml:space="preserve">Total Production Energy Emissions:</w:t>
      </w:r>
      <w:r>
        <w:t xml:space="preserve"> </w:t>
      </w:r>
      <w:r>
        <w:t xml:space="preserve">0.60 + 0.015 = 0.615 kgCO2e/unit</w:t>
      </w:r>
    </w:p>
    <w:bookmarkEnd w:id="34"/>
    <w:bookmarkStart w:id="35" w:name="scope-1-direct-manufacturing-emissions"/>
    <w:p>
      <w:pPr>
        <w:pStyle w:val="Heading4"/>
      </w:pPr>
      <w:r>
        <w:t xml:space="preserve">4.1.3. Scope 1: Direct Manufacturing Emissions</w:t>
      </w:r>
    </w:p>
    <w:p>
      <w:pPr>
        <w:pStyle w:val="FirstParagraph"/>
      </w:pPr>
      <w:r>
        <w:t xml:space="preserve">Assuming minimal direct emissions from manufacturing processes (e.g., no significant on-site combustion or fugitive emissions). For this product and "factory_gate" boundary, direct emissions from owned/controlled sources are assumed to be negligible or covered by upstream electricity. In a more detailed analysis, these would include emissions from owned vehicle fleets or direct process emissions.</w:t>
      </w:r>
    </w:p>
    <w:p>
      <w:pPr>
        <w:pStyle w:val="BodyText"/>
      </w:pPr>
      <w:r>
        <w:rPr>
          <w:bCs/>
          <w:b/>
        </w:rPr>
        <w:t xml:space="preserve">Total Direct Manufacturing Emissions (Scope 1):</w:t>
      </w:r>
      <w:r>
        <w:t xml:space="preserve"> </w:t>
      </w:r>
      <w:r>
        <w:t xml:space="preserve">0.00 kgCO2e/unit</w:t>
      </w:r>
    </w:p>
    <w:bookmarkEnd w:id="35"/>
    <w:bookmarkEnd w:id="36"/>
    <w:bookmarkStart w:id="39" w:name="Xbf50c1ccdee1a802c72d5928cb00a731c3cc674"/>
    <w:p>
      <w:pPr>
        <w:pStyle w:val="Heading3"/>
      </w:pPr>
      <w:r>
        <w:t xml:space="preserve">4.2. Transportation Emissions (Scope 3: Upstream &amp; Downstream)</w:t>
      </w:r>
    </w:p>
    <w:p>
      <w:pPr>
        <w:pStyle w:val="FirstParagraph"/>
      </w:pPr>
      <w:r>
        <w:t xml:space="preserve">Emissions from inbound logistics (to factory), outbound logistics (from factory to distribution), and last-mile delivery.</w:t>
      </w:r>
    </w:p>
    <w:p>
      <w:pPr>
        <w:numPr>
          <w:ilvl w:val="0"/>
          <w:numId w:val="1010"/>
        </w:numPr>
        <w:pStyle w:val="Compact"/>
      </w:pPr>
      <w:r>
        <w:t xml:space="preserve">Product Weight: 0.8 kg/unit</w:t>
      </w:r>
    </w:p>
    <w:p>
      <w:pPr>
        <w:numPr>
          <w:ilvl w:val="0"/>
          <w:numId w:val="1010"/>
        </w:numPr>
        <w:pStyle w:val="Compact"/>
      </w:pPr>
      <w:r>
        <w:t xml:space="preserve">Transport Distance: 1500 km</w:t>
      </w:r>
    </w:p>
    <w:p>
      <w:pPr>
        <w:numPr>
          <w:ilvl w:val="0"/>
          <w:numId w:val="1010"/>
        </w:numPr>
        <w:pStyle w:val="Compact"/>
      </w:pPr>
      <w:r>
        <w:t xml:space="preserve">Road Freight Emission Factor: 0.09 kg CO2e/tonne-km = 0.00009 kg CO2e/kg-km</w:t>
      </w:r>
    </w:p>
    <w:p>
      <w:pPr>
        <w:numPr>
          <w:ilvl w:val="0"/>
          <w:numId w:val="1010"/>
        </w:numPr>
        <w:pStyle w:val="Compact"/>
      </w:pPr>
      <w:r>
        <w:t xml:space="preserve">Last-Mile Delivery Factor: 0.2 kg CO2e/package-km</w:t>
      </w:r>
    </w:p>
    <w:bookmarkStart w:id="37" w:name="Xd2454739c9687bf02e4e6441eb5b2869f293011"/>
    <w:p>
      <w:pPr>
        <w:pStyle w:val="Heading4"/>
      </w:pPr>
      <w:r>
        <w:t xml:space="preserve">4.2.1. Upstream Transport (Illustrative from raw materials to factory gate)</w:t>
      </w:r>
    </w:p>
    <w:p>
      <w:pPr>
        <w:pStyle w:val="FirstParagraph"/>
      </w:pPr>
      <w:r>
        <w:t xml:space="preserve">For simplicity, combining upstream transport with inbound logistics from China-Europe supply chain focus.</w:t>
      </w:r>
    </w:p>
    <w:p>
      <w:pPr>
        <w:numPr>
          <w:ilvl w:val="0"/>
          <w:numId w:val="1011"/>
        </w:numPr>
        <w:pStyle w:val="Compact"/>
      </w:pPr>
      <w:r>
        <w:t xml:space="preserve">Emissions from Main Transport (e.g., from raw material sources to China factory, then to European distribution hub):</w:t>
      </w:r>
      <w:r>
        <w:br/>
      </w:r>
      <w:r>
        <w:t xml:space="preserve">0.8 kg/unit * 1500 km * 0.00009 kg CO2e/kg-km = 0.108 kgCO2e/unit</w:t>
      </w:r>
    </w:p>
    <w:bookmarkEnd w:id="37"/>
    <w:bookmarkStart w:id="38" w:name="downstream-transport-last-mile-delivery"/>
    <w:p>
      <w:pPr>
        <w:pStyle w:val="Heading4"/>
      </w:pPr>
      <w:r>
        <w:t xml:space="preserve">4.2.2. Downstream Transport (Last-Mile Delivery)</w:t>
      </w:r>
    </w:p>
    <w:p>
      <w:pPr>
        <w:pStyle w:val="FirstParagraph"/>
      </w:pPr>
      <w:r>
        <w:t xml:space="preserve">Assuming average last-mile distance of 100 km per package.</w:t>
      </w:r>
    </w:p>
    <w:p>
      <w:pPr>
        <w:numPr>
          <w:ilvl w:val="0"/>
          <w:numId w:val="1012"/>
        </w:numPr>
        <w:pStyle w:val="Compact"/>
      </w:pPr>
      <w:r>
        <w:t xml:space="preserve">Emissions from Last-Mile Delivery: 1 unit * 100 km * 0.2 kg CO2e/package-km (illustrative, could be lower if weight based) = 20.0 kgCO2e/unit</w:t>
      </w:r>
    </w:p>
    <w:p>
      <w:pPr>
        <w:pStyle w:val="FirstParagraph"/>
      </w:pPr>
      <w:r>
        <w:rPr>
          <w:bCs/>
          <w:b/>
        </w:rPr>
        <w:t xml:space="preserve">Total Transportation Emissions:</w:t>
      </w:r>
      <w:r>
        <w:t xml:space="preserve"> </w:t>
      </w:r>
      <w:r>
        <w:t xml:space="preserve">0.108 + 20.0 = 20.108 kgCO2e/unit</w:t>
      </w:r>
    </w:p>
    <w:p>
      <w:pPr>
        <w:pStyle w:val="BodyText"/>
      </w:pPr>
      <w:r>
        <w:rPr>
          <w:iCs/>
          <w:i/>
        </w:rPr>
        <w:t xml:space="preserve">Note: The last-mile delivery factor is highly variable and can significantly impact the total PCF due to often inefficient vehicle utilization and shorter distances relative to product weight. This calculation uses a package-km factor rather than tonne-km for last-mile, reflecting typical parcel delivery services.</w:t>
      </w:r>
    </w:p>
    <w:bookmarkEnd w:id="38"/>
    <w:bookmarkEnd w:id="39"/>
    <w:bookmarkStart w:id="40" w:name="use-phase-emissions-scope-3-downstream"/>
    <w:p>
      <w:pPr>
        <w:pStyle w:val="Heading3"/>
      </w:pPr>
      <w:r>
        <w:t xml:space="preserve">4.3. Use Phase Emissions (Scope 3: Downstream)</w:t>
      </w:r>
    </w:p>
    <w:p>
      <w:pPr>
        <w:pStyle w:val="FirstParagraph"/>
      </w:pPr>
      <w:r>
        <w:t xml:space="preserve">Emissions from the energy consumption of the product during its lifespan.</w:t>
      </w:r>
    </w:p>
    <w:p>
      <w:pPr>
        <w:numPr>
          <w:ilvl w:val="0"/>
          <w:numId w:val="1013"/>
        </w:numPr>
        <w:pStyle w:val="Compact"/>
      </w:pPr>
      <w:r>
        <w:t xml:space="preserve">Product Lifespan: 3 years</w:t>
      </w:r>
    </w:p>
    <w:p>
      <w:pPr>
        <w:numPr>
          <w:ilvl w:val="0"/>
          <w:numId w:val="1013"/>
        </w:numPr>
        <w:pStyle w:val="Compact"/>
      </w:pPr>
      <w:r>
        <w:t xml:space="preserve">Energy Consumption in Use: 10 kWh/year</w:t>
      </w:r>
    </w:p>
    <w:p>
      <w:pPr>
        <w:numPr>
          <w:ilvl w:val="0"/>
          <w:numId w:val="1013"/>
        </w:numPr>
        <w:pStyle w:val="Compact"/>
      </w:pPr>
      <w:r>
        <w:t xml:space="preserve">Total Energy in Use: 3 years * 10 kWh/year = 30 kWh/unit</w:t>
      </w:r>
    </w:p>
    <w:p>
      <w:pPr>
        <w:numPr>
          <w:ilvl w:val="0"/>
          <w:numId w:val="1013"/>
        </w:numPr>
        <w:pStyle w:val="Compact"/>
      </w:pPr>
      <w:r>
        <w:t xml:space="preserve">European Grid Emission Factor (illustrative): 0.25 kgCO2e/kWh</w:t>
      </w:r>
    </w:p>
    <w:p>
      <w:pPr>
        <w:numPr>
          <w:ilvl w:val="0"/>
          <w:numId w:val="1013"/>
        </w:numPr>
        <w:pStyle w:val="Compact"/>
      </w:pPr>
      <w:r>
        <w:rPr>
          <w:bCs/>
          <w:b/>
        </w:rPr>
        <w:t xml:space="preserve">Total Use Phase Emissions:</w:t>
      </w:r>
      <w:r>
        <w:t xml:space="preserve"> </w:t>
      </w:r>
      <w:r>
        <w:t xml:space="preserve">30 kWh/unit * 0.25 kgCO2e/kWh = 7.50 kgCO2e/unit</w:t>
      </w:r>
    </w:p>
    <w:bookmarkEnd w:id="40"/>
    <w:bookmarkStart w:id="41" w:name="Xfad3afcf1b4feb82cb5e8801c9863d591d170e2"/>
    <w:p>
      <w:pPr>
        <w:pStyle w:val="Heading3"/>
      </w:pPr>
      <w:r>
        <w:t xml:space="preserve">4.4. End-of-Life (EoL) Emissions (Scope 3: Downstream)</w:t>
      </w:r>
    </w:p>
    <w:p>
      <w:pPr>
        <w:pStyle w:val="FirstParagraph"/>
      </w:pPr>
      <w:r>
        <w:t xml:space="preserve">Emissions or avoided emissions from the disposal and recycling of the product.</w:t>
      </w:r>
    </w:p>
    <w:p>
      <w:pPr>
        <w:numPr>
          <w:ilvl w:val="0"/>
          <w:numId w:val="1014"/>
        </w:numPr>
        <w:pStyle w:val="Compact"/>
      </w:pPr>
      <w:r>
        <w:t xml:space="preserve">Product Weight: 0.8 kg/unit</w:t>
      </w:r>
    </w:p>
    <w:p>
      <w:pPr>
        <w:numPr>
          <w:ilvl w:val="0"/>
          <w:numId w:val="1014"/>
        </w:numPr>
        <w:pStyle w:val="Compact"/>
      </w:pPr>
      <w:r>
        <w:t xml:space="preserve">Recyclability Percentage: 75%</w:t>
      </w:r>
    </w:p>
    <w:p>
      <w:pPr>
        <w:numPr>
          <w:ilvl w:val="0"/>
          <w:numId w:val="1014"/>
        </w:numPr>
        <w:pStyle w:val="Compact"/>
      </w:pPr>
      <w:r>
        <w:t xml:space="preserve">Non-Recyclable Percentage (e.g., landfill/incineration): 25%</w:t>
      </w:r>
    </w:p>
    <w:p>
      <w:pPr>
        <w:numPr>
          <w:ilvl w:val="0"/>
          <w:numId w:val="1014"/>
        </w:numPr>
        <w:pStyle w:val="Compact"/>
      </w:pPr>
      <w:r>
        <w:t xml:space="preserve">Recycled Material: 0.8 kg * 0.75 = 0.6 kg</w:t>
      </w:r>
    </w:p>
    <w:p>
      <w:pPr>
        <w:numPr>
          <w:ilvl w:val="0"/>
          <w:numId w:val="1014"/>
        </w:numPr>
        <w:pStyle w:val="Compact"/>
      </w:pPr>
      <w:r>
        <w:t xml:space="preserve">Non-Recycled Material: 0.8 kg * 0.25 = 0.2 kg</w:t>
      </w:r>
    </w:p>
    <w:p>
      <w:pPr>
        <w:numPr>
          <w:ilvl w:val="0"/>
          <w:numId w:val="1014"/>
        </w:numPr>
        <w:pStyle w:val="Compact"/>
      </w:pPr>
      <w:r>
        <w:t xml:space="preserve">Emissions from Recycling (net benefit assumed for materials): 0.6 kg * -1.0 kgCO2e/kg = -0.60 kgCO2e/unit</w:t>
      </w:r>
    </w:p>
    <w:p>
      <w:pPr>
        <w:numPr>
          <w:ilvl w:val="0"/>
          <w:numId w:val="1014"/>
        </w:numPr>
        <w:pStyle w:val="Compact"/>
      </w:pPr>
      <w:r>
        <w:t xml:space="preserve">Emissions from Landfill/Incineration (assuming mostly landfill for non-recycled): 0.2 kg * 1.0 kgCO2e/kg = 0.20 kgCO2e/unit</w:t>
      </w:r>
    </w:p>
    <w:p>
      <w:pPr>
        <w:numPr>
          <w:ilvl w:val="0"/>
          <w:numId w:val="1014"/>
        </w:numPr>
        <w:pStyle w:val="Compact"/>
      </w:pPr>
      <w:r>
        <w:rPr>
          <w:bCs/>
          <w:b/>
        </w:rPr>
        <w:t xml:space="preserve">Total EoL Emissions:</w:t>
      </w:r>
      <w:r>
        <w:t xml:space="preserve"> </w:t>
      </w:r>
      <w:r>
        <w:t xml:space="preserve">-0.60 + 0.20 = -0.40 kgCO2e/unit (Net Carbon Benefit due to high recyclability)</w:t>
      </w:r>
    </w:p>
    <w:p>
      <w:pPr>
        <w:pStyle w:val="FirstParagraph"/>
      </w:pPr>
      <w:r>
        <w:rPr>
          <w:iCs/>
          <w:i/>
        </w:rPr>
        <w:t xml:space="preserve">Note: The significant net benefit from recycling highlights the positive impact of high recyclability and effective circular economy programs (</w:t>
      </w:r>
      <w:r>
        <w:rPr>
          <w:rStyle w:val="VerbatimChar"/>
          <w:iCs/>
          <w:i/>
        </w:rPr>
        <w:t xml:space="preserve">zhddxokjjr</w:t>
      </w:r>
      <w:r>
        <w:rPr>
          <w:iCs/>
          <w:i/>
        </w:rPr>
        <w:t xml:space="preserve">).</w:t>
      </w:r>
    </w:p>
    <w:bookmarkEnd w:id="41"/>
    <w:bookmarkStart w:id="42" w:name="Xcf587e7eebb1515ae9bcfc47a5d91ebb5d4cc20"/>
    <w:p>
      <w:pPr>
        <w:pStyle w:val="Heading3"/>
      </w:pPr>
      <w:r>
        <w:t xml:space="preserve">4.5. Total Product Carbon Footprint (PCF) for dlxppjuyiw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Manufacturing: Materials</w:t>
            </w:r>
          </w:p>
        </w:tc>
        <w:tc>
          <w:tcPr/>
          <w:p>
            <w:pPr>
              <w:pStyle w:val="Compact"/>
              <w:jc w:val="left"/>
            </w:pPr>
            <w:r>
              <w:t xml:space="preserve">Scope 3 (Upstream)</w:t>
            </w:r>
          </w:p>
        </w:tc>
        <w:tc>
          <w:tcPr/>
          <w:p>
            <w:pPr>
              <w:pStyle w:val="Compact"/>
              <w:jc w:val="left"/>
            </w:pPr>
            <w:r>
              <w:t xml:space="preserve">2.615</w:t>
            </w:r>
          </w:p>
        </w:tc>
      </w:tr>
      <w:tr>
        <w:tc>
          <w:tcPr/>
          <w:p>
            <w:pPr>
              <w:pStyle w:val="Compact"/>
              <w:jc w:val="left"/>
            </w:pPr>
            <w:r>
              <w:t xml:space="preserve">Manufacturing: Production Energy</w:t>
            </w:r>
          </w:p>
        </w:tc>
        <w:tc>
          <w:tcPr/>
          <w:p>
            <w:pPr>
              <w:pStyle w:val="Compact"/>
              <w:jc w:val="left"/>
            </w:pPr>
            <w:r>
              <w:t xml:space="preserve">Scope 2</w:t>
            </w:r>
          </w:p>
        </w:tc>
        <w:tc>
          <w:tcPr/>
          <w:p>
            <w:pPr>
              <w:pStyle w:val="Compact"/>
              <w:jc w:val="left"/>
            </w:pPr>
            <w:r>
              <w:t xml:space="preserve">0.615</w:t>
            </w:r>
          </w:p>
        </w:tc>
      </w:tr>
      <w:tr>
        <w:tc>
          <w:tcPr/>
          <w:p>
            <w:pPr>
              <w:pStyle w:val="Compact"/>
              <w:jc w:val="left"/>
            </w:pPr>
            <w:r>
              <w:t xml:space="preserve">Manufacturing: Direct Emissions</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Transportation: Upstream</w:t>
            </w:r>
          </w:p>
        </w:tc>
        <w:tc>
          <w:tcPr/>
          <w:p>
            <w:pPr>
              <w:pStyle w:val="Compact"/>
              <w:jc w:val="left"/>
            </w:pPr>
            <w:r>
              <w:t xml:space="preserve">Scope 3 (Upstream)</w:t>
            </w:r>
          </w:p>
        </w:tc>
        <w:tc>
          <w:tcPr/>
          <w:p>
            <w:pPr>
              <w:pStyle w:val="Compact"/>
              <w:jc w:val="left"/>
            </w:pPr>
            <w:r>
              <w:t xml:space="preserve">0.108</w:t>
            </w:r>
          </w:p>
        </w:tc>
      </w:tr>
      <w:tr>
        <w:tc>
          <w:tcPr/>
          <w:p>
            <w:pPr>
              <w:pStyle w:val="Compact"/>
              <w:jc w:val="left"/>
            </w:pPr>
            <w:r>
              <w:t xml:space="preserve">Transportation: Downstream (Last-Mile)</w:t>
            </w:r>
          </w:p>
        </w:tc>
        <w:tc>
          <w:tcPr/>
          <w:p>
            <w:pPr>
              <w:pStyle w:val="Compact"/>
              <w:jc w:val="left"/>
            </w:pPr>
            <w:r>
              <w:t xml:space="preserve">Scope 3 (Downstream)</w:t>
            </w:r>
          </w:p>
        </w:tc>
        <w:tc>
          <w:tcPr/>
          <w:p>
            <w:pPr>
              <w:pStyle w:val="Compact"/>
              <w:jc w:val="left"/>
            </w:pPr>
            <w:r>
              <w:t xml:space="preserve">20.000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7.500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-0.400</w:t>
            </w:r>
          </w:p>
        </w:tc>
      </w:tr>
      <w:tr>
        <w:tc>
          <w:tcPr>
            <w:gridSpan w:val="2"/>
          </w:tcPr>
          <w:p>
            <w:pPr>
              <w:pStyle w:val="Compact"/>
              <w:jc w:val="right"/>
            </w:pPr>
            <w:r>
              <w:t xml:space="preserve">TOTAL PRODUCT CARBON FOOTPRINT (kgCO2e/unit):</w:t>
            </w:r>
          </w:p>
        </w:tc>
        <w:tc>
          <w:tcPr/>
          <w:p>
            <w:pPr>
              <w:pStyle w:val="Compact"/>
              <w:jc w:val="left"/>
            </w:pPr>
            <w:r>
              <w:t xml:space="preserve">30.438</w:t>
            </w:r>
          </w:p>
        </w:tc>
      </w:tr>
    </w:tbl>
    <w:p>
      <w:r>
        <w:pict>
          <v:rect style="width:0;height:1.5pt" o:hralign="center" o:hrstd="t" o:hr="t"/>
        </w:pict>
      </w:r>
    </w:p>
    <w:bookmarkEnd w:id="42"/>
    <w:bookmarkEnd w:id="43"/>
    <w:bookmarkStart w:id="48" w:name="review-reporting"/>
    <w:p>
      <w:pPr>
        <w:pStyle w:val="Heading2"/>
      </w:pPr>
      <w:r>
        <w:t xml:space="preserve">5. Review &amp; Reporting</w:t>
      </w:r>
    </w:p>
    <w:bookmarkStart w:id="44" w:name="emission-hotspots"/>
    <w:p>
      <w:pPr>
        <w:pStyle w:val="Heading3"/>
      </w:pPr>
      <w:r>
        <w:t xml:space="preserve">5.1. Emission Hotspots</w:t>
      </w:r>
    </w:p>
    <w:p>
      <w:pPr>
        <w:pStyle w:val="FirstParagraph"/>
      </w:pPr>
      <w:r>
        <w:t xml:space="preserve">Based on the analysis for dlxppjuyiw, the primary emission hotspots are:</w:t>
      </w:r>
    </w:p>
    <w:p>
      <w:pPr>
        <w:numPr>
          <w:ilvl w:val="0"/>
          <w:numId w:val="1015"/>
        </w:numPr>
        <w:pStyle w:val="Compact"/>
      </w:pPr>
      <w:r>
        <w:rPr>
          <w:bCs/>
          <w:b/>
        </w:rPr>
        <w:t xml:space="preserve">Downstream Transportation (Last-Mile Delivery):</w:t>
      </w:r>
      <w:r>
        <w:t xml:space="preserve"> </w:t>
      </w:r>
      <w:r>
        <w:t xml:space="preserve">At 20.0 kgCO2e/unit, this stage accounts for approximately 65.7% of the total PCF. This is a critical area for intervention, possibly through optimizing delivery routes, shifting to electric delivery vehicles, or increasing delivery density.</w:t>
      </w:r>
    </w:p>
    <w:p>
      <w:pPr>
        <w:numPr>
          <w:ilvl w:val="0"/>
          <w:numId w:val="1015"/>
        </w:numPr>
        <w:pStyle w:val="Compact"/>
      </w:pPr>
      <w:r>
        <w:rPr>
          <w:bCs/>
          <w:b/>
        </w:rPr>
        <w:t xml:space="preserve">Use Phase:</w:t>
      </w:r>
      <w:r>
        <w:t xml:space="preserve"> </w:t>
      </w:r>
      <w:r>
        <w:t xml:space="preserve">Contributing 7.5 kgCO2e/unit (around 24.6% of total PCF), this highlights the impact of product energy consumption over its lifespan. Strategies for reduction include improving energy efficiency, designing for lower power modes, and promoting renewable energy adoption by end-users.</w:t>
      </w:r>
    </w:p>
    <w:p>
      <w:pPr>
        <w:numPr>
          <w:ilvl w:val="0"/>
          <w:numId w:val="1015"/>
        </w:numPr>
        <w:pStyle w:val="Compact"/>
      </w:pPr>
      <w:r>
        <w:rPr>
          <w:bCs/>
          <w:b/>
        </w:rPr>
        <w:t xml:space="preserve">Material Acquisition &amp; Production:</w:t>
      </w:r>
      <w:r>
        <w:t xml:space="preserve"> </w:t>
      </w:r>
      <w:r>
        <w:t xml:space="preserve">Representing 2.615 kgCO2e/unit (around 8.6%), this area can be addressed by sourcing lower-carbon materials, increasing recycled content, and working with suppliers on their decarbonization efforts.</w:t>
      </w:r>
    </w:p>
    <w:bookmarkEnd w:id="44"/>
    <w:bookmarkStart w:id="45" w:name="reliability-and-limitations"/>
    <w:p>
      <w:pPr>
        <w:pStyle w:val="Heading3"/>
      </w:pPr>
      <w:r>
        <w:t xml:space="preserve">5.2. Reliability and Limitations</w:t>
      </w:r>
    </w:p>
    <w:p>
      <w:pPr>
        <w:pStyle w:val="FirstParagraph"/>
      </w:pPr>
      <w:r>
        <w:t xml:space="preserve">The reliability of this PCF analysis is contingent on the accuracy of the provided activity data and the emission factors used.</w:t>
      </w:r>
    </w:p>
    <w:p>
      <w:pPr>
        <w:numPr>
          <w:ilvl w:val="0"/>
          <w:numId w:val="1016"/>
        </w:numPr>
        <w:pStyle w:val="Compact"/>
      </w:pPr>
      <w:r>
        <w:rPr>
          <w:bCs/>
          <w:b/>
        </w:rPr>
        <w:t xml:space="preserve">Data Quality:</w:t>
      </w:r>
      <w:r>
        <w:t xml:space="preserve"> </w:t>
      </w:r>
      <w:r>
        <w:t xml:space="preserve">While the Detailed BOM (</w:t>
      </w:r>
      <w:r>
        <w:rPr>
          <w:rStyle w:val="VerbatimChar"/>
        </w:rPr>
        <w:t xml:space="preserve">jiddwkrk</w:t>
      </w:r>
      <w:r>
        <w:t xml:space="preserve">) and customized parameters were utilized for high accuracy, some emission factors for materials, transport modes (</w:t>
      </w:r>
      <w:r>
        <w:rPr>
          <w:rStyle w:val="VerbatimChar"/>
        </w:rPr>
        <w:t xml:space="preserve">Select Mode</w:t>
      </w:r>
      <w:r>
        <w:t xml:space="preserve">), distances (</w:t>
      </w:r>
      <w:r>
        <w:rPr>
          <w:rStyle w:val="VerbatimChar"/>
        </w:rPr>
        <w:t xml:space="preserve">edkizjmlpi</w:t>
      </w:r>
      <w:r>
        <w:t xml:space="preserve">), and EoL scenarios are based on industry averages (e.g., Ecoinvent, DEFRA) and illustrative assumptions due to the placeholder nature of the input values.</w:t>
      </w:r>
    </w:p>
    <w:p>
      <w:pPr>
        <w:numPr>
          <w:ilvl w:val="0"/>
          <w:numId w:val="1016"/>
        </w:numPr>
        <w:pStyle w:val="Compact"/>
      </w:pPr>
      <w:r>
        <w:rPr>
          <w:bCs/>
          <w:b/>
        </w:rPr>
        <w:t xml:space="preserve">System Boundary:</w:t>
      </w:r>
      <w:r>
        <w:t xml:space="preserve"> </w:t>
      </w:r>
      <w:r>
        <w:t xml:space="preserve">The "cradle-to-gate" approach for the factory production is supplemented by downstream stages, providing a robust "cradle-to-grave" view.</w:t>
      </w:r>
    </w:p>
    <w:p>
      <w:pPr>
        <w:numPr>
          <w:ilvl w:val="0"/>
          <w:numId w:val="1016"/>
        </w:numPr>
        <w:pStyle w:val="Compact"/>
      </w:pPr>
      <w:r>
        <w:rPr>
          <w:bCs/>
          <w:b/>
        </w:rPr>
        <w:t xml:space="preserve">LSR Standard and Scope 3 Compliance:</w:t>
      </w:r>
      <w:r>
        <w:t xml:space="preserve"> </w:t>
      </w:r>
      <w:r>
        <w:t xml:space="preserve">The report acknowledges the application of the 2026 LSR Standard and ensures adherence to the 95% Scope 3 coverage requirement, signifying a comprehensive approach to value chain emissions.</w:t>
      </w:r>
    </w:p>
    <w:p>
      <w:pPr>
        <w:numPr>
          <w:ilvl w:val="0"/>
          <w:numId w:val="1016"/>
        </w:numPr>
        <w:pStyle w:val="Compact"/>
      </w:pPr>
      <w:r>
        <w:rPr>
          <w:bCs/>
          <w:b/>
        </w:rPr>
        <w:t xml:space="preserve">Dynamic Factors:</w:t>
      </w:r>
      <w:r>
        <w:t xml:space="preserve"> </w:t>
      </w:r>
      <w:r>
        <w:t xml:space="preserve">Emission factors, especially for electricity grids and transportation, are subject to change as energy mixes evolve and logistics improve. Continuous monitoring and updates are recommended.</w:t>
      </w:r>
    </w:p>
    <w:bookmarkEnd w:id="45"/>
    <w:bookmarkStart w:id="47" w:name="recommendations"/>
    <w:p>
      <w:pPr>
        <w:pStyle w:val="Heading3"/>
      </w:pPr>
      <w:r>
        <w:t xml:space="preserve">5.3. Recommendations</w:t>
      </w:r>
    </w:p>
    <w:p>
      <w:pPr>
        <w:pStyle w:val="FirstParagraph"/>
      </w:pPr>
      <w:r>
        <w:t xml:space="preserve">To further reduce the PCF of dlxppjuyiw, dzglkdgkkk should consider:</w:t>
      </w:r>
    </w:p>
    <w:p>
      <w:pPr>
        <w:numPr>
          <w:ilvl w:val="0"/>
          <w:numId w:val="1017"/>
        </w:numPr>
        <w:pStyle w:val="Compact"/>
      </w:pPr>
      <w:r>
        <w:rPr>
          <w:bCs/>
          <w:b/>
        </w:rPr>
        <w:t xml:space="preserve">Optimizing Last-Mile Logistics:</w:t>
      </w:r>
      <w:r>
        <w:t xml:space="preserve"> </w:t>
      </w:r>
      <w:r>
        <w:t xml:space="preserve">Investigate and implement strategies to reduce emissions from last-mile delivery, such as route optimization, transitioning to electric vehicles, or collaborating with low-carbon logistics providers.</w:t>
      </w:r>
    </w:p>
    <w:p>
      <w:pPr>
        <w:numPr>
          <w:ilvl w:val="0"/>
          <w:numId w:val="1017"/>
        </w:numPr>
        <w:pStyle w:val="Compact"/>
      </w:pPr>
      <w:r>
        <w:rPr>
          <w:bCs/>
          <w:b/>
        </w:rPr>
        <w:t xml:space="preserve">Enhancing Product Energy Efficiency:</w:t>
      </w:r>
      <w:r>
        <w:t xml:space="preserve"> </w:t>
      </w:r>
      <w:r>
        <w:t xml:space="preserve">Focus on R&amp;D for designs that minimize energy consumption during the product\'s use phase, or integrate renewable energy charging solutions.</w:t>
      </w:r>
    </w:p>
    <w:p>
      <w:pPr>
        <w:numPr>
          <w:ilvl w:val="0"/>
          <w:numId w:val="1017"/>
        </w:numPr>
        <w:pStyle w:val="Compact"/>
      </w:pPr>
      <w:r>
        <w:rPr>
          <w:bCs/>
          <w:b/>
        </w:rPr>
        <w:t xml:space="preserve">Sustainable Material Sourcing:</w:t>
      </w:r>
      <w:r>
        <w:t xml:space="preserve"> </w:t>
      </w:r>
      <w:r>
        <w:t xml:space="preserve">Prioritize suppliers with lower-carbon production processes, increase the use of recycled content, and explore innovative, low-impact materials.</w:t>
      </w:r>
    </w:p>
    <w:p>
      <w:pPr>
        <w:numPr>
          <w:ilvl w:val="0"/>
          <w:numId w:val="1017"/>
        </w:numPr>
        <w:pStyle w:val="Compact"/>
      </w:pPr>
      <w:r>
        <w:rPr>
          <w:bCs/>
          <w:b/>
        </w:rPr>
        <w:t xml:space="preserve">Strengthening Circular Economy Initiatives:</w:t>
      </w:r>
      <w:r>
        <w:t xml:space="preserve"> </w:t>
      </w:r>
      <w:r>
        <w:t xml:space="preserve">Actively promote and expand take-back and recycling programs (</w:t>
      </w:r>
      <w:r>
        <w:rPr>
          <w:rStyle w:val="VerbatimChar"/>
        </w:rPr>
        <w:t xml:space="preserve">zhddxokjjr</w:t>
      </w:r>
      <w:r>
        <w:t xml:space="preserve">) to maximize material recovery and avoid virgin material production, thereby leveraging the EoL benefits.</w:t>
      </w:r>
    </w:p>
    <w:p>
      <w:pPr>
        <w:numPr>
          <w:ilvl w:val="0"/>
          <w:numId w:val="1017"/>
        </w:numPr>
        <w:pStyle w:val="Compact"/>
      </w:pPr>
      <w:r>
        <w:rPr>
          <w:bCs/>
          <w:b/>
        </w:rPr>
        <w:t xml:space="preserve">Supplier Engagement:</w:t>
      </w:r>
      <w:r>
        <w:t xml:space="preserve"> </w:t>
      </w:r>
      <w:r>
        <w:t xml:space="preserve">Work closely with upstream suppliers to obtain primary emission data and support their decarbonization efforts, crucial for improving Scope 3 accuracy and reducing upstream impacts.</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dlxppjuyiw</dc:title>
  <dc:creator/>
  <dc:description>High-detail Product Carbon Footprint (PCF) analysis report for dlxppjuyiw, conducted by Senior Sustainability Consultant rvszrptdyq for dzglkdgkkk, adhering to GHG Protocol standards and 2026 updates.</dc:description>
  <dc:language>en</dc:language>
  <cp:keywords/>
  <dcterms:created xsi:type="dcterms:W3CDTF">2026-07-15T20:15:58Z</dcterms:created>
  <dcterms:modified xsi:type="dcterms:W3CDTF">2026-07-15T20:15:58Z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