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dlwwoxelkg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dlwwoxelkg</w:t>
      </w:r>
    </w:p>
    <w:p>
      <w:pPr>
        <w:pStyle w:val="BodyText"/>
      </w:pPr>
      <w:r>
        <w:rPr>
          <w:bCs/>
          <w:b/>
        </w:rPr>
        <w:t xml:space="preserve">Company Name:</w:t>
      </w:r>
      <w:r>
        <w:t xml:space="preserve"> </w:t>
      </w:r>
      <w:r>
        <w:t xml:space="preserve">klknhprjql</w:t>
      </w:r>
    </w:p>
    <w:p>
      <w:pPr>
        <w:pStyle w:val="BodyText"/>
      </w:pPr>
      <w:r>
        <w:rPr>
          <w:bCs/>
          <w:b/>
        </w:rPr>
        <w:t xml:space="preserve">Senior Sustainability Consultant:</w:t>
      </w:r>
      <w:r>
        <w:t xml:space="preserve"> </w:t>
      </w:r>
      <w:r>
        <w:t xml:space="preserve">yolvqjqhpj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emission factors. This document is intended for internal use and strategic planning purposes.</w:t>
      </w:r>
    </w:p>
    <w:bookmarkEnd w:id="20"/>
    <w:p>
      <w:pPr>
        <w:pStyle w:val="BodyText"/>
      </w:pPr>
      <w:r>
        <w:t xml:space="preserve">Generated Date: May 26, 2026</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dlwwoxelkg</w:t>
      </w:r>
      <w:r>
        <w:t xml:space="preserve">, manufactured by</w:t>
      </w:r>
      <w:r>
        <w:t xml:space="preserve"> </w:t>
      </w:r>
      <w:r>
        <w:rPr>
          <w:bCs/>
          <w:b/>
        </w:rPr>
        <w:t xml:space="preserve">klknhprjql</w:t>
      </w:r>
      <w:r>
        <w:t xml:space="preserve">. The analysis was conducted by</w:t>
      </w:r>
      <w:r>
        <w:t xml:space="preserve"> </w:t>
      </w:r>
      <w:r>
        <w:rPr>
          <w:bCs/>
          <w:b/>
        </w:rPr>
        <w:t xml:space="preserve">yolvqjqhpj</w:t>
      </w:r>
      <w:r>
        <w:t xml:space="preserve">, a Senior Sustainability Consultant specializing in GHG Protocol. Adhering strictly to the GHG Protocol Product Standard, this assessment covers the lifecycle from \'factory gate\' to end-of-life, providing a comprehensive view of greenhouse gas (GHG) emissions expressed in CO2 equivalents (CO2e). Special attention has been given to the newly released 2026 Land Sector and Removals (LSR) Standard updates and the proposed 95% Scope 3 compliance as per GHG Protocol\'s March 2026 progress update on Scope 3 Standard revisions. The aim is to identify emission hotspots and recommend strategies for reducing environmental impact across the product\'s value chain.</w:t>
      </w:r>
    </w:p>
    <w:p>
      <w:r>
        <w:pict>
          <v:rect style="width:0;height:1.5pt" o:hralign="center" o:hrstd="t" o:hr="t"/>
        </w:pict>
      </w:r>
    </w:p>
    <w:bookmarkStart w:id="21" w:name="define-scope"/>
    <w:p>
      <w:pPr>
        <w:pStyle w:val="Heading2"/>
      </w:pPr>
      <w:r>
        <w:t xml:space="preserve">1. Define Scope</w:t>
      </w:r>
    </w:p>
    <w:p>
      <w:pPr>
        <w:pStyle w:val="FirstParagraph"/>
      </w:pPr>
      <w:r>
        <w:t xml:space="preserve">The initial phase of the PCF analysis establishes the boundaries and parameters for the assessment, ensuring consistency and comparability.</w:t>
      </w:r>
    </w:p>
    <w:p>
      <w:pPr>
        <w:numPr>
          <w:ilvl w:val="0"/>
          <w:numId w:val="1001"/>
        </w:numPr>
        <w:pStyle w:val="Compact"/>
      </w:pPr>
      <w:r>
        <w:rPr>
          <w:bCs/>
          <w:b/>
        </w:rPr>
        <w:t xml:space="preserve">Functional Unit:</w:t>
      </w:r>
      <w:r>
        <w:t xml:space="preserve"> </w:t>
      </w:r>
      <w:r>
        <w:t xml:space="preserve">1.0 unit of dlwwoxelkg</w:t>
      </w:r>
    </w:p>
    <w:p>
      <w:pPr>
        <w:numPr>
          <w:ilvl w:val="0"/>
          <w:numId w:val="1001"/>
        </w:numPr>
        <w:pStyle w:val="Compact"/>
      </w:pPr>
      <w:r>
        <w:rPr>
          <w:bCs/>
          <w:b/>
        </w:rPr>
        <w:t xml:space="preserve">System Boundary:</w:t>
      </w:r>
      <w:r>
        <w:t xml:space="preserve"> </w:t>
      </w:r>
      <w:r>
        <w:t xml:space="preserve">Factory-gate. This boundary includes all upstream processes (raw material extraction, manufacturing, transport to factory) and emissions associated with the product\'s manufacturing at the factory (Scope 1 and 2). Downstream emissions (Use Phase, End-of-Life) are also included in the complete lifecycle assessment as per GHG Protocol Product Standard.</w:t>
      </w:r>
    </w:p>
    <w:p>
      <w:pPr>
        <w:numPr>
          <w:ilvl w:val="0"/>
          <w:numId w:val="1001"/>
        </w:numPr>
        <w:pStyle w:val="Compact"/>
      </w:pPr>
      <w:r>
        <w:rPr>
          <w:bCs/>
          <w:b/>
        </w:rPr>
        <w:t xml:space="preserve">Geographic Scope:</w:t>
      </w:r>
      <w:r>
        <w:t xml:space="preserve"> </w:t>
      </w:r>
      <w:r>
        <w:t xml:space="preserve">Final production occurs in China, with a supply chain focus on Europe for upstream components and materials.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Emissions are categorized into Scope 1 (direct emissions from owned or controlled sources), Scope 2 (indirect emissions from purchased electricity, steam, heating, and cooling), and Scope 3 (all other indirect emissions in the value chain).</w:t>
      </w:r>
    </w:p>
    <w:p>
      <w:pPr>
        <w:numPr>
          <w:ilvl w:val="0"/>
          <w:numId w:val="1001"/>
        </w:numPr>
        <w:pStyle w:val="Compact"/>
      </w:pPr>
      <w:r>
        <w:rPr>
          <w:bCs/>
          <w:b/>
        </w:rPr>
        <w:t xml:space="preserve">Allocation:</w:t>
      </w:r>
      <w:r>
        <w:t xml:space="preserve"> </w:t>
      </w:r>
      <w:r>
        <w:t xml:space="preserve">Where co-production occurs or shared processes are involved, emissions are allocated based on physical allocation (e.g., mass, volume) or economic allocation, depending on data availability and relevance. For this PCF, direct allocation to the functional unit is prioritized.</w:t>
      </w:r>
    </w:p>
    <w:p>
      <w:r>
        <w:pict>
          <v:rect style="width:0;height:1.5pt" o:hralign="center" o:hrstd="t" o:hr="t"/>
        </w:pict>
      </w:r>
    </w:p>
    <w:bookmarkEnd w:id="21"/>
    <w:bookmarkStart w:id="27" w:name="X668a29dea6996859d52024a913312988ccfa3c9"/>
    <w:p>
      <w:pPr>
        <w:pStyle w:val="Heading2"/>
      </w:pPr>
      <w:r>
        <w:t xml:space="preserve">2. Map Lifecycle (LCI Inventory Stages) &amp; 3. Collect Data</w:t>
      </w:r>
    </w:p>
    <w:p>
      <w:pPr>
        <w:pStyle w:val="FirstParagraph"/>
      </w:pPr>
      <w:r>
        <w:t xml:space="preserve">This section details the product\'s lifecycle stages and the primary and secondary data points collected for the analysis. The lifecycle is mapped from raw material acquisition, through manufacturing and distribution, to the use phase and end-of-life.</w:t>
      </w:r>
    </w:p>
    <w:bookmarkStart w:id="22" w:name="X1428ec1d1885feb992205144a5c6ed055eb01cb"/>
    <w:p>
      <w:pPr>
        <w:pStyle w:val="Heading3"/>
      </w:pPr>
      <w:r>
        <w:t xml:space="preserve">Material Inputs (Detailed Bill of Materials - BOM)</w:t>
      </w:r>
    </w:p>
    <w:p>
      <w:pPr>
        <w:pStyle w:val="FirstParagraph"/>
      </w:pPr>
      <w:r>
        <w:t xml:space="preserve">The following Bill of Materials (BOM) for</w:t>
      </w:r>
      <w:r>
        <w:t xml:space="preserve"> </w:t>
      </w:r>
      <w:r>
        <w:rPr>
          <w:bCs/>
          <w:b/>
        </w:rPr>
        <w:t xml:space="preserve">dlwwoxelkg</w:t>
      </w:r>
      <w:r>
        <w:t xml:space="preserve"> </w:t>
      </w:r>
      <w:r>
        <w:t xml:space="preserve">was provided and used for high-accuracy material impact calculations. The "Total Carbon" value provided for each item is directly used as its embedded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2.500</w:t>
            </w:r>
          </w:p>
        </w:tc>
      </w:tr>
    </w:tbl>
    <w:p>
      <w:pPr>
        <w:pStyle w:val="BodyText"/>
      </w:pPr>
      <w:r>
        <w:rPr>
          <w:iCs/>
          <w:i/>
        </w:rPr>
        <w:t xml:space="preserve">Note: The "Total Carbon" column represents the calculated carbon footprint for the specified quantity of each material, incorporating raw material extraction and processing.</w:t>
      </w:r>
    </w:p>
    <w:bookmarkEnd w:id="22"/>
    <w:bookmarkStart w:id="23" w:name="energy-inputs-for-production"/>
    <w:p>
      <w:pPr>
        <w:pStyle w:val="Heading3"/>
      </w:pPr>
      <w:r>
        <w:t xml:space="preserve">Energy Inputs for Production</w:t>
      </w:r>
    </w:p>
    <w:p>
      <w:pPr>
        <w:numPr>
          <w:ilvl w:val="0"/>
          <w:numId w:val="1002"/>
        </w:numPr>
        <w:pStyle w:val="Compact"/>
      </w:pPr>
      <w:r>
        <w:rPr>
          <w:bCs/>
          <w:b/>
        </w:rPr>
        <w:t xml:space="preserve">Renewable Energy Usage (klknhprjql):</w:t>
      </w:r>
      <w:r>
        <w:t xml:space="preserve"> </w:t>
      </w:r>
      <w:r>
        <w:t xml:space="preserve">zowzxodukg</w:t>
      </w:r>
    </w:p>
    <w:p>
      <w:pPr>
        <w:numPr>
          <w:ilvl w:val="0"/>
          <w:numId w:val="1002"/>
        </w:numPr>
        <w:pStyle w:val="Compact"/>
      </w:pPr>
      <w:r>
        <w:rPr>
          <w:bCs/>
          <w:b/>
        </w:rPr>
        <w:t xml:space="preserve">Energy Intensity (production):</w:t>
      </w:r>
      <w:r>
        <w:t xml:space="preserve"> </w:t>
      </w:r>
      <w:r>
        <w:t xml:space="preserve">mxyhqznwjt</w:t>
      </w:r>
    </w:p>
    <w:p>
      <w:pPr>
        <w:pStyle w:val="FirstParagraph"/>
      </w:pPr>
      <w:r>
        <w:rPr>
          <w:iCs/>
          <w:i/>
        </w:rPr>
        <w:t xml:space="preserve">Assumption: For calculation purposes,</w:t>
      </w:r>
      <w:r>
        <w:rPr>
          <w:iCs/>
          <w:i/>
        </w:rPr>
        <w:t xml:space="preserve"> </w:t>
      </w:r>
      <w:r>
        <w:rPr>
          <w:bCs/>
          <w:b/>
          <w:iCs/>
          <w:i/>
        </w:rPr>
        <w:t xml:space="preserve">zowzxodukg</w:t>
      </w:r>
      <w:r>
        <w:rPr>
          <w:iCs/>
          <w:i/>
        </w:rPr>
        <w:t xml:space="preserve"> </w:t>
      </w:r>
      <w:r>
        <w:rPr>
          <w:iCs/>
          <w:i/>
        </w:rPr>
        <w:t xml:space="preserve">is assumed to be 60% and</w:t>
      </w:r>
      <w:r>
        <w:rPr>
          <w:iCs/>
          <w:i/>
        </w:rPr>
        <w:t xml:space="preserve"> </w:t>
      </w:r>
      <w:r>
        <w:rPr>
          <w:bCs/>
          <w:b/>
          <w:iCs/>
          <w:i/>
        </w:rPr>
        <w:t xml:space="preserve">mxyhqznwjt</w:t>
      </w:r>
      <w:r>
        <w:rPr>
          <w:iCs/>
          <w:i/>
        </w:rPr>
        <w:t xml:space="preserve"> </w:t>
      </w:r>
      <w:r>
        <w:rPr>
          <w:iCs/>
          <w:i/>
        </w:rPr>
        <w:t xml:space="preserve">is assumed to be 0.8 kWh/unit. The remaining 40% of electricity for production is assumed to be sourced from the local grid in China, which has an average emission factor of approximately 0.60 kg CO2e/kWh.</w:t>
      </w:r>
    </w:p>
    <w:bookmarkEnd w:id="23"/>
    <w:bookmarkStart w:id="24" w:name="X554819f74a5de3df88d5256c662e9e0c3a7695a"/>
    <w:p>
      <w:pPr>
        <w:pStyle w:val="Heading3"/>
      </w:pPr>
      <w:r>
        <w:t xml:space="preserve">Logistics Data (Transport and Distribution)</w:t>
      </w:r>
    </w:p>
    <w:p>
      <w:pPr>
        <w:numPr>
          <w:ilvl w:val="0"/>
          <w:numId w:val="1003"/>
        </w:numPr>
        <w:pStyle w:val="Compact"/>
      </w:pPr>
      <w:r>
        <w:rPr>
          <w:bCs/>
          <w:b/>
        </w:rPr>
        <w:t xml:space="preserve">Main Transport Mode (to factory/distribution):</w:t>
      </w:r>
      <w:r>
        <w:t xml:space="preserve"> </w:t>
      </w:r>
      <w:r>
        <w:t xml:space="preserve">Select Mode</w:t>
      </w:r>
    </w:p>
    <w:p>
      <w:pPr>
        <w:numPr>
          <w:ilvl w:val="0"/>
          <w:numId w:val="1003"/>
        </w:numPr>
        <w:pStyle w:val="Compact"/>
      </w:pPr>
      <w:r>
        <w:rPr>
          <w:bCs/>
          <w:b/>
        </w:rPr>
        <w:t xml:space="preserve">Average Transport Distance:</w:t>
      </w:r>
      <w:r>
        <w:t xml:space="preserve"> </w:t>
      </w:r>
      <w:r>
        <w:t xml:space="preserve">nnlorldzdi</w:t>
      </w:r>
    </w:p>
    <w:p>
      <w:pPr>
        <w:numPr>
          <w:ilvl w:val="0"/>
          <w:numId w:val="1003"/>
        </w:numPr>
        <w:pStyle w:val="Compact"/>
      </w:pPr>
      <w:r>
        <w:rPr>
          <w:bCs/>
          <w:b/>
        </w:rPr>
        <w:t xml:space="preserve">Last-Mile Delivery Channel:</w:t>
      </w:r>
      <w:r>
        <w:t xml:space="preserve"> </w:t>
      </w:r>
      <w:r>
        <w:t xml:space="preserve">Delivery Type</w:t>
      </w:r>
    </w:p>
    <w:p>
      <w:pPr>
        <w:pStyle w:val="FirstParagraph"/>
      </w:pPr>
      <w:r>
        <w:rPr>
          <w:iCs/>
          <w:i/>
        </w:rPr>
        <w:t xml:space="preserve">Assumption: For calculation purposes,</w:t>
      </w:r>
      <w:r>
        <w:rPr>
          <w:iCs/>
          <w:i/>
        </w:rPr>
        <w:t xml:space="preserve"> </w:t>
      </w:r>
      <w:r>
        <w:rPr>
          <w:bCs/>
          <w:b/>
          <w:iCs/>
          <w:i/>
        </w:rPr>
        <w:t xml:space="preserve">Select Mode</w:t>
      </w:r>
      <w:r>
        <w:rPr>
          <w:iCs/>
          <w:i/>
        </w:rPr>
        <w:t xml:space="preserve"> </w:t>
      </w:r>
      <w:r>
        <w:rPr>
          <w:iCs/>
          <w:i/>
        </w:rPr>
        <w:t xml:space="preserve">is assumed to be "Road Freight (HGV)",</w:t>
      </w:r>
      <w:r>
        <w:rPr>
          <w:iCs/>
          <w:i/>
        </w:rPr>
        <w:t xml:space="preserve"> </w:t>
      </w:r>
      <w:r>
        <w:rPr>
          <w:bCs/>
          <w:b/>
          <w:iCs/>
          <w:i/>
        </w:rPr>
        <w:t xml:space="preserve">nnlorldzdi</w:t>
      </w:r>
      <w:r>
        <w:rPr>
          <w:iCs/>
          <w:i/>
        </w:rPr>
        <w:t xml:space="preserve"> </w:t>
      </w:r>
      <w:r>
        <w:rPr>
          <w:iCs/>
          <w:i/>
        </w:rPr>
        <w:t xml:space="preserve">is assumed to be "500 km", and</w:t>
      </w:r>
      <w:r>
        <w:rPr>
          <w:iCs/>
          <w:i/>
        </w:rPr>
        <w:t xml:space="preserve"> </w:t>
      </w:r>
      <w:r>
        <w:rPr>
          <w:bCs/>
          <w:b/>
          <w:iCs/>
          <w:i/>
        </w:rPr>
        <w:t xml:space="preserve">Delivery Type</w:t>
      </w:r>
      <w:r>
        <w:rPr>
          <w:iCs/>
          <w:i/>
        </w:rPr>
        <w:t xml:space="preserve"> </w:t>
      </w:r>
      <w:r>
        <w:rPr>
          <w:iCs/>
          <w:i/>
        </w:rPr>
        <w:t xml:space="preserve">is assumed to be "Parcel Delivery Van". Transport emission factors of 0.08 kg CO2e/tkm for road freight and 0.20 kg CO2e/km for parcel delivery vans are applied. Distances represent typical European supply chain routes.</w:t>
      </w:r>
    </w:p>
    <w:bookmarkEnd w:id="24"/>
    <w:bookmarkStart w:id="25"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hvyjjkkkov</w:t>
      </w:r>
    </w:p>
    <w:p>
      <w:pPr>
        <w:numPr>
          <w:ilvl w:val="0"/>
          <w:numId w:val="1004"/>
        </w:numPr>
        <w:pStyle w:val="Compact"/>
      </w:pPr>
      <w:r>
        <w:rPr>
          <w:bCs/>
          <w:b/>
        </w:rPr>
        <w:t xml:space="preserve">Energy Consumption in Use:</w:t>
      </w:r>
      <w:r>
        <w:t xml:space="preserve"> </w:t>
      </w:r>
      <w:r>
        <w:t xml:space="preserve">lgtusyirrt</w:t>
      </w:r>
    </w:p>
    <w:p>
      <w:pPr>
        <w:pStyle w:val="FirstParagraph"/>
      </w:pPr>
      <w:r>
        <w:rPr>
          <w:iCs/>
          <w:i/>
        </w:rPr>
        <w:t xml:space="preserve">Assumption: For calculation purposes,</w:t>
      </w:r>
      <w:r>
        <w:rPr>
          <w:iCs/>
          <w:i/>
        </w:rPr>
        <w:t xml:space="preserve"> </w:t>
      </w:r>
      <w:r>
        <w:rPr>
          <w:bCs/>
          <w:b/>
          <w:iCs/>
          <w:i/>
        </w:rPr>
        <w:t xml:space="preserve">hvyjjkkkov</w:t>
      </w:r>
      <w:r>
        <w:rPr>
          <w:iCs/>
          <w:i/>
        </w:rPr>
        <w:t xml:space="preserve"> </w:t>
      </w:r>
      <w:r>
        <w:rPr>
          <w:iCs/>
          <w:i/>
        </w:rPr>
        <w:t xml:space="preserve">is assumed to be "5 years" and</w:t>
      </w:r>
      <w:r>
        <w:rPr>
          <w:iCs/>
          <w:i/>
        </w:rPr>
        <w:t xml:space="preserve"> </w:t>
      </w:r>
      <w:r>
        <w:rPr>
          <w:bCs/>
          <w:b/>
          <w:iCs/>
          <w:i/>
        </w:rPr>
        <w:t xml:space="preserve">lgtusyirrt</w:t>
      </w:r>
      <w:r>
        <w:rPr>
          <w:iCs/>
          <w:i/>
        </w:rPr>
        <w:t xml:space="preserve"> </w:t>
      </w:r>
      <w:r>
        <w:rPr>
          <w:iCs/>
          <w:i/>
        </w:rPr>
        <w:t xml:space="preserve">is assumed to be "10 kWh/year". The total energy consumption over the product\'s lifespan is calculated, and a generic European average electricity grid mix emission factor of 0.30 kg CO2e/kWh is used for consumer electricity consumption.</w:t>
      </w:r>
    </w:p>
    <w:bookmarkEnd w:id="25"/>
    <w:bookmarkStart w:id="26"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rsytryoyxh</w:t>
      </w:r>
    </w:p>
    <w:p>
      <w:pPr>
        <w:numPr>
          <w:ilvl w:val="0"/>
          <w:numId w:val="1005"/>
        </w:numPr>
        <w:pStyle w:val="Compact"/>
      </w:pPr>
      <w:r>
        <w:rPr>
          <w:bCs/>
          <w:b/>
        </w:rPr>
        <w:t xml:space="preserve">Circular/Take-back Programs:</w:t>
      </w:r>
      <w:r>
        <w:t xml:space="preserve"> </w:t>
      </w:r>
      <w:r>
        <w:t xml:space="preserve">zoxnlkqnud</w:t>
      </w:r>
    </w:p>
    <w:p>
      <w:pPr>
        <w:pStyle w:val="FirstParagraph"/>
      </w:pPr>
      <w:r>
        <w:rPr>
          <w:iCs/>
          <w:i/>
        </w:rPr>
        <w:t xml:space="preserve">Assumption: For calculation purposes,</w:t>
      </w:r>
      <w:r>
        <w:rPr>
          <w:iCs/>
          <w:i/>
        </w:rPr>
        <w:t xml:space="preserve"> </w:t>
      </w:r>
      <w:r>
        <w:rPr>
          <w:bCs/>
          <w:b/>
          <w:iCs/>
          <w:i/>
        </w:rPr>
        <w:t xml:space="preserve">rsytryoyxh</w:t>
      </w:r>
      <w:r>
        <w:rPr>
          <w:iCs/>
          <w:i/>
        </w:rPr>
        <w:t xml:space="preserve"> </w:t>
      </w:r>
      <w:r>
        <w:rPr>
          <w:iCs/>
          <w:i/>
        </w:rPr>
        <w:t xml:space="preserve">is assumed to be "80%", indicating the percentage of the product\'s mass that is technically recyclable.</w:t>
      </w:r>
      <w:r>
        <w:rPr>
          <w:iCs/>
          <w:i/>
        </w:rPr>
        <w:t xml:space="preserve"> </w:t>
      </w:r>
      <w:r>
        <w:rPr>
          <w:bCs/>
          <w:b/>
          <w:iCs/>
          <w:i/>
        </w:rPr>
        <w:t xml:space="preserve">zoxnlkqnud</w:t>
      </w:r>
      <w:r>
        <w:rPr>
          <w:iCs/>
          <w:i/>
        </w:rPr>
        <w:t xml:space="preserve"> </w:t>
      </w:r>
      <w:r>
        <w:rPr>
          <w:iCs/>
          <w:i/>
        </w:rPr>
        <w:t xml:space="preserve">is assumed to be "Established take-back program for product recycling," suggesting active recovery efforts.</w:t>
      </w:r>
    </w:p>
    <w:p>
      <w:r>
        <w:pict>
          <v:rect style="width:0;height:1.5pt" o:hralign="center" o:hrstd="t" o:hr="t"/>
        </w:pict>
      </w:r>
    </w:p>
    <w:bookmarkEnd w:id="26"/>
    <w:bookmarkEnd w:id="27"/>
    <w:bookmarkStart w:id="40" w:name="calculate-emissions"/>
    <w:p>
      <w:pPr>
        <w:pStyle w:val="Heading2"/>
      </w:pPr>
      <w:r>
        <w:t xml:space="preserve">4. Calculate Emissions</w:t>
      </w:r>
    </w:p>
    <w:p>
      <w:pPr>
        <w:pStyle w:val="FirstParagraph"/>
      </w:pPr>
      <w:r>
        <w:t xml:space="preserve">Emissions are calculated for each lifecycle stage by multiplying activity data (e.g., kg of material, kWh of energy, tkm of transport) by relevant emission factors (CO2e/unit of activity). Industry-standard emission factors, primarily from generic sources aligned with Ecoinvent/DEFRA principles, are used where specific primary data is unavailable.</w:t>
      </w:r>
    </w:p>
    <w:bookmarkStart w:id="28" w:name="X59c189fdad18b5aa5a7ef5f46ea4db960a1972c"/>
    <w:p>
      <w:pPr>
        <w:pStyle w:val="Heading3"/>
      </w:pPr>
      <w:r>
        <w:t xml:space="preserve">Emission Factors Used (Examples &amp; Assumptions)</w:t>
      </w:r>
    </w:p>
    <w:p>
      <w:pPr>
        <w:numPr>
          <w:ilvl w:val="0"/>
          <w:numId w:val="1006"/>
        </w:numPr>
        <w:pStyle w:val="Compact"/>
      </w:pPr>
      <w:r>
        <w:t xml:space="preserve">Electricity Grid Mix (China average, for non-renewable portion): ~0.60 kg CO2e/kWh</w:t>
      </w:r>
    </w:p>
    <w:p>
      <w:pPr>
        <w:numPr>
          <w:ilvl w:val="0"/>
          <w:numId w:val="1006"/>
        </w:numPr>
        <w:pStyle w:val="Compact"/>
      </w:pPr>
      <w:r>
        <w:t xml:space="preserve">Electricity Grid Mix (European average, for user phase): ~0.30 kg CO2e/kWh</w:t>
      </w:r>
    </w:p>
    <w:p>
      <w:pPr>
        <w:numPr>
          <w:ilvl w:val="0"/>
          <w:numId w:val="1006"/>
        </w:numPr>
        <w:pStyle w:val="Compact"/>
      </w:pPr>
      <w:r>
        <w:t xml:space="preserve">Road Freight (HGV, &gt;20t): ~0.08 kg CO2e/tkm</w:t>
      </w:r>
    </w:p>
    <w:p>
      <w:pPr>
        <w:numPr>
          <w:ilvl w:val="0"/>
          <w:numId w:val="1006"/>
        </w:numPr>
        <w:pStyle w:val="Compact"/>
      </w:pPr>
      <w:r>
        <w:t xml:space="preserve">Parcel Delivery Van: ~0.20 kg CO2e/km</w:t>
      </w:r>
    </w:p>
    <w:p>
      <w:pPr>
        <w:numPr>
          <w:ilvl w:val="0"/>
          <w:numId w:val="1006"/>
        </w:numPr>
        <w:pStyle w:val="Compact"/>
      </w:pPr>
      <w:r>
        <w:t xml:space="preserve">Disposal (Landfill, average): ~0.10 kg CO2e/kg</w:t>
      </w:r>
    </w:p>
    <w:p>
      <w:pPr>
        <w:numPr>
          <w:ilvl w:val="0"/>
          <w:numId w:val="1006"/>
        </w:numPr>
        <w:pStyle w:val="Compact"/>
      </w:pPr>
      <w:r>
        <w:t xml:space="preserve">Recycling Credit (Average, illustrative for avoided virgin production): ~-2.00 kg CO2e/kg (blended for typical materials). It is acknowledged that recycling processes themselves have emissions, but this credit reflects the net avoided emissions by displacing virgin material production.</w:t>
      </w:r>
    </w:p>
    <w:bookmarkEnd w:id="28"/>
    <w:bookmarkStart w:id="38" w:name="X8ce3a6b17ec0bfe53a621d03567f0f3572a943b"/>
    <w:p>
      <w:pPr>
        <w:pStyle w:val="Heading3"/>
      </w:pPr>
      <w:r>
        <w:t xml:space="preserve">GHG Emissions by Scope and Lifecycle Stage</w:t>
      </w:r>
    </w:p>
    <w:bookmarkStart w:id="29" w:name="scope-1-emissions-direct-emissions"/>
    <w:p>
      <w:pPr>
        <w:pStyle w:val="Heading4"/>
      </w:pPr>
      <w:r>
        <w:t xml:space="preserve">Scope 1 Emissions (Direct Emissions)</w:t>
      </w:r>
    </w:p>
    <w:p>
      <w:pPr>
        <w:pStyle w:val="FirstParagraph"/>
      </w:pPr>
      <w:r>
        <w:t xml:space="preserve">Given the \'factory_gate\' system boundary and the provided parameters, direct emissions from sources owned or controlled by klknhprjql (e.g., on-site fuel combustion for manufacturing processes) are assumed to be negligible for the functional unit, as specific fuel consumption data was not provided. If present, these would be included here.</w:t>
      </w:r>
    </w:p>
    <w:p>
      <w:pPr>
        <w:numPr>
          <w:ilvl w:val="0"/>
          <w:numId w:val="1007"/>
        </w:numPr>
        <w:pStyle w:val="Compact"/>
      </w:pPr>
      <w:r>
        <w:t xml:space="preserve">Direct Combustion (e.g., natural gas for heating): 0.00 kg CO2e (assumed negligible)</w:t>
      </w:r>
    </w:p>
    <w:p>
      <w:pPr>
        <w:pStyle w:val="FirstParagraph"/>
      </w:pPr>
      <w:r>
        <w:rPr>
          <w:bCs/>
          <w:b/>
        </w:rPr>
        <w:t xml:space="preserve">Total Scope 1 Emissions: 0.00 kg CO2e</w:t>
      </w:r>
    </w:p>
    <w:bookmarkEnd w:id="29"/>
    <w:bookmarkStart w:id="30"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product\'s manufacturing phase at the factory.</w:t>
      </w:r>
    </w:p>
    <w:p>
      <w:pPr>
        <w:pStyle w:val="BodyText"/>
      </w:pPr>
      <w:r>
        <w:t xml:space="preserve">Energy Intensity for Production: mxyhqznwjt (0.8 kWh/unit)</w:t>
      </w:r>
      <w:r>
        <w:br/>
      </w:r>
      <w:r>
        <w:t xml:space="preserve">Renewable Energy Usage: zowzxodukg (60%)</w:t>
      </w:r>
      <w:r>
        <w:br/>
      </w:r>
      <w:r>
        <w:t xml:space="preserve">Non-renewable energy: 0.8 kWh/unit * (1 - 0.60) = 0.32 kWh/unit</w:t>
      </w:r>
      <w:r>
        <w:br/>
      </w:r>
      <w:r>
        <w:t xml:space="preserve">Grid Emission Factor (China): 0.60 kg CO2e/kWh</w:t>
      </w:r>
      <w:r>
        <w:br/>
      </w:r>
      <w:r>
        <w:rPr>
          <w:bCs/>
          <w:b/>
        </w:rPr>
        <w:t xml:space="preserve">Scope 2 Emissions:</w:t>
      </w:r>
      <w:r>
        <w:t xml:space="preserve"> </w:t>
      </w:r>
      <w:r>
        <w:t xml:space="preserve">0.32 kWh/unit * 0.60 kg CO2e/kWh =</w:t>
      </w:r>
      <w:r>
        <w:t xml:space="preserve"> </w:t>
      </w:r>
      <w:r>
        <w:rPr>
          <w:bCs/>
          <w:b/>
        </w:rPr>
        <w:t xml:space="preserve">0.192 kg CO2e</w:t>
      </w:r>
    </w:p>
    <w:p>
      <w:pPr>
        <w:pStyle w:val="BodyText"/>
      </w:pPr>
      <w:r>
        <w:rPr>
          <w:bCs/>
          <w:b/>
        </w:rPr>
        <w:t xml:space="preserve">Total Scope 2 Emissions: 0.192 kg CO2e</w:t>
      </w:r>
    </w:p>
    <w:bookmarkEnd w:id="30"/>
    <w:bookmarkStart w:id="36" w:name="scope-3-emissions-value-chain-emissions"/>
    <w:p>
      <w:pPr>
        <w:pStyle w:val="Heading4"/>
      </w:pPr>
      <w:r>
        <w:t xml:space="preserve">Scope 3 Emissions (Value Chain Emissions)</w:t>
      </w:r>
    </w:p>
    <w:p>
      <w:pPr>
        <w:pStyle w:val="FirstParagraph"/>
      </w:pPr>
      <w:r>
        <w:t xml:space="preserve">Scope 3 emissions cover all other indirect emissions from the product\'s value chain, both upstream and downstream. The GHG Protocol has released a March 2026 progress update outlining proposed revisions to its Scope 3 Standard, which includes a prescriptive completeness requirement for companies to report at least 95% of total required Scope 3 emissions. This analysis aims to meet this requirement by incorporating all significant upstream and downstream impacts.</w:t>
      </w:r>
    </w:p>
    <w:bookmarkStart w:id="31" w:name="Xf658e76007abdbb5a86b3b1fa15dcb907d7180e"/>
    <w:p>
      <w:pPr>
        <w:pStyle w:val="Heading5"/>
      </w:pPr>
      <w:r>
        <w:t xml:space="preserve">Category 1: Purchased Goods and Services (Upstream Materials)</w:t>
      </w:r>
    </w:p>
    <w:p>
      <w:pPr>
        <w:pStyle w:val="FirstParagraph"/>
      </w:pPr>
      <w:r>
        <w:t xml:space="preserve">Emissions from the extraction, production, and transport of raw materials and components for</w:t>
      </w:r>
      <w:r>
        <w:t xml:space="preserve"> </w:t>
      </w:r>
      <w:r>
        <w:rPr>
          <w:bCs/>
          <w:b/>
        </w:rPr>
        <w:t xml:space="preserve">dlwwoxelkg</w:t>
      </w:r>
      <w:r>
        <w:t xml:space="preserve">. These are taken directly from the "Total Carbon" in the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6.000</w:t>
            </w:r>
          </w:p>
        </w:tc>
      </w:tr>
      <w:tr>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0.700</w:t>
            </w:r>
          </w:p>
        </w:tc>
      </w:tr>
      <w:tr>
        <w:tc>
          <w:tcPr/>
          <w:p>
            <w:pPr>
              <w:pStyle w:val="Compact"/>
              <w:jc w:val="left"/>
            </w:pPr>
            <w:r>
              <w:t xml:space="preserve">PCB</w:t>
            </w:r>
          </w:p>
        </w:tc>
        <w:tc>
          <w:tcPr/>
          <w:p>
            <w:pPr>
              <w:pStyle w:val="Compact"/>
              <w:jc w:val="left"/>
            </w:pPr>
            <w:r>
              <w:t xml:space="preserve">Electronics</w:t>
            </w:r>
          </w:p>
        </w:tc>
        <w:tc>
          <w:tcPr/>
          <w:p>
            <w:pPr>
              <w:pStyle w:val="Compact"/>
              <w:jc w:val="left"/>
            </w:pPr>
            <w:r>
              <w:t xml:space="preserve">2.500</w:t>
            </w:r>
          </w:p>
        </w:tc>
      </w:tr>
    </w:tbl>
    <w:p>
      <w:pPr>
        <w:pStyle w:val="BodyText"/>
      </w:pPr>
      <w:r>
        <w:rPr>
          <w:bCs/>
          <w:b/>
        </w:rPr>
        <w:t xml:space="preserve">Sub-total Category 1 (Materials): 9.200 kg CO2e</w:t>
      </w:r>
    </w:p>
    <w:bookmarkEnd w:id="31"/>
    <w:bookmarkStart w:id="32" w:name="X6669a43143349c25ec93e775eebde43de53a73c"/>
    <w:p>
      <w:pPr>
        <w:pStyle w:val="Heading5"/>
      </w:pPr>
      <w:r>
        <w:t xml:space="preserve">Category 4: Upstream Transportation and Distribution</w:t>
      </w:r>
    </w:p>
    <w:p>
      <w:pPr>
        <w:pStyle w:val="FirstParagraph"/>
      </w:pPr>
      <w:r>
        <w:t xml:space="preserve">Emissions from transporting materials to the production facility.</w:t>
      </w:r>
    </w:p>
    <w:p>
      <w:pPr>
        <w:numPr>
          <w:ilvl w:val="0"/>
          <w:numId w:val="1008"/>
        </w:numPr>
        <w:pStyle w:val="Compact"/>
      </w:pPr>
      <w:r>
        <w:rPr>
          <w:bCs/>
          <w:b/>
        </w:rPr>
        <w:t xml:space="preserve">Mode:</w:t>
      </w:r>
      <w:r>
        <w:t xml:space="preserve"> </w:t>
      </w:r>
      <w:r>
        <w:t xml:space="preserve">Select Mode (Road Freight HGV)</w:t>
      </w:r>
    </w:p>
    <w:p>
      <w:pPr>
        <w:numPr>
          <w:ilvl w:val="0"/>
          <w:numId w:val="1008"/>
        </w:numPr>
        <w:pStyle w:val="Compact"/>
      </w:pPr>
      <w:r>
        <w:rPr>
          <w:bCs/>
          <w:b/>
        </w:rPr>
        <w:t xml:space="preserve">Distance:</w:t>
      </w:r>
      <w:r>
        <w:t xml:space="preserve"> </w:t>
      </w:r>
      <w:r>
        <w:t xml:space="preserve">nnlorldzdi (500 km)</w:t>
      </w:r>
    </w:p>
    <w:p>
      <w:pPr>
        <w:numPr>
          <w:ilvl w:val="0"/>
          <w:numId w:val="1008"/>
        </w:numPr>
        <w:pStyle w:val="Compact"/>
      </w:pPr>
      <w:r>
        <w:rPr>
          <w:bCs/>
          <w:b/>
        </w:rPr>
        <w:t xml:space="preserve">Assumed Weight of product/components for transport:</w:t>
      </w:r>
      <w:r>
        <w:t xml:space="preserve"> </w:t>
      </w:r>
      <w:r>
        <w:t xml:space="preserve">1.0 kg (illustrative, could be total BOM weight)</w:t>
      </w:r>
    </w:p>
    <w:p>
      <w:pPr>
        <w:numPr>
          <w:ilvl w:val="0"/>
          <w:numId w:val="1008"/>
        </w:numPr>
        <w:pStyle w:val="Compact"/>
      </w:pPr>
      <w:r>
        <w:rPr>
          <w:bCs/>
          <w:b/>
        </w:rPr>
        <w:t xml:space="preserve">Emission Factor (Road Freight):</w:t>
      </w:r>
      <w:r>
        <w:t xml:space="preserve"> </w:t>
      </w:r>
      <w:r>
        <w:t xml:space="preserve">0.08 kg CO2e/tkm</w:t>
      </w:r>
    </w:p>
    <w:p>
      <w:pPr>
        <w:numPr>
          <w:ilvl w:val="0"/>
          <w:numId w:val="1008"/>
        </w:numPr>
        <w:pStyle w:val="Compact"/>
      </w:pPr>
      <w:r>
        <w:rPr>
          <w:bCs/>
          <w:b/>
        </w:rPr>
        <w:t xml:space="preserve">Calculation:</w:t>
      </w:r>
      <w:r>
        <w:t xml:space="preserve"> </w:t>
      </w:r>
      <w:r>
        <w:t xml:space="preserve">(1.0 kg / 1000 kg/tonne) * 500 km * 0.08 kg CO2e/tkm = 0.040 kg CO2e</w:t>
      </w:r>
    </w:p>
    <w:p>
      <w:pPr>
        <w:numPr>
          <w:ilvl w:val="0"/>
          <w:numId w:val="1008"/>
        </w:numPr>
        <w:pStyle w:val="Compact"/>
      </w:pPr>
      <w:r>
        <w:rPr>
          <w:bCs/>
          <w:b/>
        </w:rPr>
        <w:t xml:space="preserve">Sub-total Category 4 (Upstream Transport): 0.040 kg CO2e</w:t>
      </w:r>
    </w:p>
    <w:bookmarkEnd w:id="32"/>
    <w:bookmarkStart w:id="33" w:name="X5b70aafc99c239c9cc973ef0b16df8b4bae845d"/>
    <w:p>
      <w:pPr>
        <w:pStyle w:val="Heading5"/>
      </w:pPr>
      <w:r>
        <w:t xml:space="preserve">Category 9: Downstream Transportation and Distribution (Last-Mile)</w:t>
      </w:r>
    </w:p>
    <w:p>
      <w:pPr>
        <w:pStyle w:val="FirstParagraph"/>
      </w:pPr>
      <w:r>
        <w:t xml:space="preserve">Emissions from last-mile delivery to the customer.</w:t>
      </w:r>
    </w:p>
    <w:p>
      <w:pPr>
        <w:numPr>
          <w:ilvl w:val="0"/>
          <w:numId w:val="1009"/>
        </w:numPr>
        <w:pStyle w:val="Compact"/>
      </w:pPr>
      <w:r>
        <w:rPr>
          <w:bCs/>
          <w:b/>
        </w:rPr>
        <w:t xml:space="preserve">Mode:</w:t>
      </w:r>
      <w:r>
        <w:t xml:space="preserve"> </w:t>
      </w:r>
      <w:r>
        <w:t xml:space="preserve">Delivery Type (Parcel Delivery Van)</w:t>
      </w:r>
    </w:p>
    <w:p>
      <w:pPr>
        <w:numPr>
          <w:ilvl w:val="0"/>
          <w:numId w:val="1009"/>
        </w:numPr>
        <w:pStyle w:val="Compact"/>
      </w:pPr>
      <w:r>
        <w:rPr>
          <w:bCs/>
          <w:b/>
        </w:rPr>
        <w:t xml:space="preserve">Assumed Last-Mile Distance:</w:t>
      </w:r>
      <w:r>
        <w:t xml:space="preserve"> </w:t>
      </w:r>
      <w:r>
        <w:t xml:space="preserve">50 km (illustrative)</w:t>
      </w:r>
    </w:p>
    <w:p>
      <w:pPr>
        <w:numPr>
          <w:ilvl w:val="0"/>
          <w:numId w:val="1009"/>
        </w:numPr>
        <w:pStyle w:val="Compact"/>
      </w:pPr>
      <w:r>
        <w:rPr>
          <w:bCs/>
          <w:b/>
        </w:rPr>
        <w:t xml:space="preserve">Emission Factor (Parcel Van):</w:t>
      </w:r>
      <w:r>
        <w:t xml:space="preserve"> </w:t>
      </w:r>
      <w:r>
        <w:t xml:space="preserve">0.20 kg CO2e/km</w:t>
      </w:r>
    </w:p>
    <w:p>
      <w:pPr>
        <w:numPr>
          <w:ilvl w:val="0"/>
          <w:numId w:val="1009"/>
        </w:numPr>
        <w:pStyle w:val="Compact"/>
      </w:pPr>
      <w:r>
        <w:rPr>
          <w:bCs/>
          <w:b/>
        </w:rPr>
        <w:t xml:space="preserve">Calculation:</w:t>
      </w:r>
      <w:r>
        <w:t xml:space="preserve"> </w:t>
      </w:r>
      <w:r>
        <w:t xml:space="preserve">50 km * 0.20 kg CO2e/km = 10.000 kg CO2e</w:t>
      </w:r>
    </w:p>
    <w:p>
      <w:pPr>
        <w:numPr>
          <w:ilvl w:val="0"/>
          <w:numId w:val="1009"/>
        </w:numPr>
        <w:pStyle w:val="Compact"/>
      </w:pPr>
      <w:r>
        <w:rPr>
          <w:bCs/>
          <w:b/>
        </w:rPr>
        <w:t xml:space="preserve">Sub-total Category 9 (Last-Mile Delivery): 10.000 kg CO2e</w:t>
      </w:r>
    </w:p>
    <w:p>
      <w:pPr>
        <w:pStyle w:val="FirstParagraph"/>
      </w:pPr>
      <w:r>
        <w:rPr>
          <w:iCs/>
          <w:i/>
        </w:rPr>
        <w:t xml:space="preserve">Note: Last-mile delivery can be highly variable and is often shared across multiple products. This illustrative calculation assumes a direct impact per unit for simplicity.</w:t>
      </w:r>
    </w:p>
    <w:bookmarkEnd w:id="33"/>
    <w:bookmarkStart w:id="34" w:name="category-11-use-of-sold-products"/>
    <w:p>
      <w:pPr>
        <w:pStyle w:val="Heading5"/>
      </w:pPr>
      <w:r>
        <w:t xml:space="preserve">Category 11: Use of Sold Products</w:t>
      </w:r>
    </w:p>
    <w:p>
      <w:pPr>
        <w:pStyle w:val="FirstParagraph"/>
      </w:pPr>
      <w:r>
        <w:t xml:space="preserve">Emissions from energy consumption during the product\'s lifespan.</w:t>
      </w:r>
    </w:p>
    <w:p>
      <w:pPr>
        <w:numPr>
          <w:ilvl w:val="0"/>
          <w:numId w:val="1010"/>
        </w:numPr>
        <w:pStyle w:val="Compact"/>
      </w:pPr>
      <w:r>
        <w:rPr>
          <w:bCs/>
          <w:b/>
        </w:rPr>
        <w:t xml:space="preserve">Product Lifespan:</w:t>
      </w:r>
      <w:r>
        <w:t xml:space="preserve"> </w:t>
      </w:r>
      <w:r>
        <w:t xml:space="preserve">hvyjjkkkov (5 years)</w:t>
      </w:r>
    </w:p>
    <w:p>
      <w:pPr>
        <w:numPr>
          <w:ilvl w:val="0"/>
          <w:numId w:val="1010"/>
        </w:numPr>
        <w:pStyle w:val="Compact"/>
      </w:pPr>
      <w:r>
        <w:rPr>
          <w:bCs/>
          <w:b/>
        </w:rPr>
        <w:t xml:space="preserve">Energy Consumption in Use:</w:t>
      </w:r>
      <w:r>
        <w:t xml:space="preserve"> </w:t>
      </w:r>
      <w:r>
        <w:t xml:space="preserve">lgtusyirrt (10 kWh/year)</w:t>
      </w:r>
    </w:p>
    <w:p>
      <w:pPr>
        <w:numPr>
          <w:ilvl w:val="0"/>
          <w:numId w:val="1010"/>
        </w:numPr>
        <w:pStyle w:val="Compact"/>
      </w:pPr>
      <w:r>
        <w:rPr>
          <w:bCs/>
          <w:b/>
        </w:rPr>
        <w:t xml:space="preserve">Total Energy Consumption over lifespan:</w:t>
      </w:r>
      <w:r>
        <w:t xml:space="preserve"> </w:t>
      </w:r>
      <w:r>
        <w:t xml:space="preserve">10 kWh/year * 5 years = 50 kWh</w:t>
      </w:r>
    </w:p>
    <w:p>
      <w:pPr>
        <w:numPr>
          <w:ilvl w:val="0"/>
          <w:numId w:val="1010"/>
        </w:numPr>
        <w:pStyle w:val="Compact"/>
      </w:pPr>
      <w:r>
        <w:rPr>
          <w:bCs/>
          <w:b/>
        </w:rPr>
        <w:t xml:space="preserve">Assumed Electricity Grid Mix (User, e.g., European average):</w:t>
      </w:r>
      <w:r>
        <w:t xml:space="preserve"> </w:t>
      </w:r>
      <w:r>
        <w:t xml:space="preserve">~0.30 kg CO2e/kWh</w:t>
      </w:r>
    </w:p>
    <w:p>
      <w:pPr>
        <w:numPr>
          <w:ilvl w:val="0"/>
          <w:numId w:val="1010"/>
        </w:numPr>
        <w:pStyle w:val="Compact"/>
      </w:pPr>
      <w:r>
        <w:rPr>
          <w:bCs/>
          <w:b/>
        </w:rPr>
        <w:t xml:space="preserve">Calculation:</w:t>
      </w:r>
      <w:r>
        <w:t xml:space="preserve"> </w:t>
      </w:r>
      <w:r>
        <w:t xml:space="preserve">50 kWh * 0.30 kg CO2e/kWh = 15.000 kg CO2e</w:t>
      </w:r>
    </w:p>
    <w:p>
      <w:pPr>
        <w:numPr>
          <w:ilvl w:val="0"/>
          <w:numId w:val="1010"/>
        </w:numPr>
        <w:pStyle w:val="Compact"/>
      </w:pPr>
      <w:r>
        <w:rPr>
          <w:bCs/>
          <w:b/>
        </w:rPr>
        <w:t xml:space="preserve">Sub-total Category 11 (Use Phase): 15.000 kg CO2e</w:t>
      </w:r>
    </w:p>
    <w:bookmarkEnd w:id="34"/>
    <w:bookmarkStart w:id="35" w:name="X9f66eef2700632e081dfe139021cb724ffcd2c5"/>
    <w:p>
      <w:pPr>
        <w:pStyle w:val="Heading5"/>
      </w:pPr>
      <w:r>
        <w:t xml:space="preserve">Category 12: End-of-Life Treatment of Sold Products</w:t>
      </w:r>
    </w:p>
    <w:p>
      <w:pPr>
        <w:pStyle w:val="FirstParagraph"/>
      </w:pPr>
      <w:r>
        <w:t xml:space="preserve">Emissions and potential avoided emissions (credits) from the product\'s disposal and recycling. This section also incorporates principles from the newly released</w:t>
      </w:r>
      <w:r>
        <w:t xml:space="preserve"> </w:t>
      </w:r>
      <w:r>
        <w:rPr>
          <w:bCs/>
          <w:b/>
        </w:rPr>
        <w:t xml:space="preserve">2026 Land Sector and Removals (LSR) Standard</w:t>
      </w:r>
      <w:r>
        <w:t xml:space="preserve"> </w:t>
      </w:r>
      <w:r>
        <w:t xml:space="preserve">by considering carbon removals through recycling. The LSR Standard, released on January 30, 2026, and effective January 1, 2027, provides guidance for accounting for CO2 removals.</w:t>
      </w:r>
    </w:p>
    <w:p>
      <w:pPr>
        <w:numPr>
          <w:ilvl w:val="0"/>
          <w:numId w:val="1011"/>
        </w:numPr>
        <w:pStyle w:val="Compact"/>
      </w:pPr>
      <w:r>
        <w:rPr>
          <w:bCs/>
          <w:b/>
        </w:rPr>
        <w:t xml:space="preserve">Product Weight (total from BOM):</w:t>
      </w:r>
      <w:r>
        <w:t xml:space="preserve"> </w:t>
      </w:r>
      <w:r>
        <w:t xml:space="preserve">0.5 kg (Al) + 0.2 kg (Plastic) + 0.1 kg (PCB) = 0.8 kg</w:t>
      </w:r>
    </w:p>
    <w:p>
      <w:pPr>
        <w:numPr>
          <w:ilvl w:val="0"/>
          <w:numId w:val="1011"/>
        </w:numPr>
        <w:pStyle w:val="Compact"/>
      </w:pPr>
      <w:r>
        <w:rPr>
          <w:bCs/>
          <w:b/>
        </w:rPr>
        <w:t xml:space="preserve">Recyclability Percentage:</w:t>
      </w:r>
      <w:r>
        <w:t xml:space="preserve"> </w:t>
      </w:r>
      <w:r>
        <w:t xml:space="preserve">rsytryoyxh (80%)</w:t>
      </w:r>
    </w:p>
    <w:p>
      <w:pPr>
        <w:numPr>
          <w:ilvl w:val="0"/>
          <w:numId w:val="1011"/>
        </w:numPr>
        <w:pStyle w:val="Compact"/>
      </w:pPr>
      <w:r>
        <w:rPr>
          <w:bCs/>
          <w:b/>
        </w:rPr>
        <w:t xml:space="preserve">Disposal Percentage (Landfill):</w:t>
      </w:r>
      <w:r>
        <w:t xml:space="preserve"> </w:t>
      </w:r>
      <w:r>
        <w:t xml:space="preserve">1 - 0.80 = 20%</w:t>
      </w:r>
    </w:p>
    <w:p>
      <w:pPr>
        <w:numPr>
          <w:ilvl w:val="0"/>
          <w:numId w:val="1011"/>
        </w:numPr>
        <w:pStyle w:val="Compact"/>
      </w:pPr>
      <w:r>
        <w:rPr>
          <w:bCs/>
          <w:b/>
        </w:rPr>
        <w:t xml:space="preserve">Circular/Take-back Programs:</w:t>
      </w:r>
      <w:r>
        <w:t xml:space="preserve"> </w:t>
      </w:r>
      <w:r>
        <w:t xml:space="preserve">zoxnlkqnud (Established program)</w:t>
      </w:r>
    </w:p>
    <w:p>
      <w:pPr>
        <w:pStyle w:val="FirstParagraph"/>
      </w:pPr>
      <w:r>
        <w:rPr>
          <w:bCs/>
          <w:b/>
        </w:rPr>
        <w:t xml:space="preserve">Emissions from Disposal (20%):</w:t>
      </w:r>
      <w:r>
        <w:t xml:space="preserve"> </w:t>
      </w:r>
      <w:r>
        <w:t xml:space="preserve">0.8 kg * 0.20 = 0.16 kg disposed</w:t>
      </w:r>
      <w:r>
        <w:br/>
      </w:r>
      <w:r>
        <w:t xml:space="preserve">Disposal Emission Factor (Landfill): 0.10 kg CO2e/kg</w:t>
      </w:r>
      <w:r>
        <w:br/>
      </w:r>
      <w:r>
        <w:t xml:space="preserve">Calculation: 0.16 kg * 0.10 kg CO2e/kg = 0.016 kg CO2e</w:t>
      </w:r>
    </w:p>
    <w:p>
      <w:pPr>
        <w:pStyle w:val="BodyText"/>
      </w:pPr>
      <w:r>
        <w:rPr>
          <w:bCs/>
          <w:b/>
        </w:rPr>
        <w:t xml:space="preserve">Credits from Recycling (80%):</w:t>
      </w:r>
      <w:r>
        <w:t xml:space="preserve"> </w:t>
      </w:r>
      <w:r>
        <w:t xml:space="preserve">0.8 kg * 0.80 = 0.64 kg recycled</w:t>
      </w:r>
      <w:r>
        <w:br/>
      </w:r>
      <w:r>
        <w:t xml:space="preserve">Recycling Credit (Average, illustrative): -2.00 kg CO2e/kg (blended for typical materials, reflecting avoided virgin production)</w:t>
      </w:r>
      <w:r>
        <w:br/>
      </w:r>
      <w:r>
        <w:t xml:space="preserve">Calculation: 0.64 kg * -2.00 kg CO2e/kg = -1.280 kg CO2e (carbon removal/avoided emission)</w:t>
      </w:r>
    </w:p>
    <w:p>
      <w:pPr>
        <w:pStyle w:val="BodyText"/>
      </w:pPr>
      <w:r>
        <w:rPr>
          <w:bCs/>
          <w:b/>
        </w:rPr>
        <w:t xml:space="preserve">Sub-total Category 12 (End-of-Life):</w:t>
      </w:r>
      <w:r>
        <w:t xml:space="preserve"> </w:t>
      </w:r>
      <w:r>
        <w:t xml:space="preserve">0.016 kg CO2e (disposal) + (-1.280 kg CO2e) (recycling credit) =</w:t>
      </w:r>
      <w:r>
        <w:t xml:space="preserve"> </w:t>
      </w:r>
      <w:r>
        <w:rPr>
          <w:bCs/>
          <w:b/>
        </w:rPr>
        <w:t xml:space="preserve">-1.264 kg CO2e</w:t>
      </w:r>
    </w:p>
    <w:p>
      <w:pPr>
        <w:pStyle w:val="BodyText"/>
      </w:pPr>
      <w:r>
        <w:rPr>
          <w:iCs/>
          <w:i/>
        </w:rPr>
        <w:t xml:space="preserve">The negative value represents net avoided emissions or carbon removals due to a high recyclability rate and established circular programs, aligning with the principles of the LSR Standard by accounting for material recovery.</w:t>
      </w:r>
    </w:p>
    <w:bookmarkEnd w:id="35"/>
    <w:bookmarkEnd w:id="36"/>
    <w:bookmarkStart w:id="37" w:name="total-scope-3-emissions"/>
    <w:p>
      <w:pPr>
        <w:pStyle w:val="Heading4"/>
      </w:pPr>
      <w:r>
        <w:t xml:space="preserve">Total Scope 3 Emissions:</w:t>
      </w:r>
    </w:p>
    <w:p>
      <w:pPr>
        <w:pStyle w:val="FirstParagraph"/>
      </w:pPr>
      <w:r>
        <w:t xml:space="preserve">Sum of Category 1 (Materials) + Category 4 (Upstream Transport) + Category 9 (Downstream Transport) + Category 11 (Use Phase) + Category 12 (EoL).</w:t>
      </w:r>
    </w:p>
    <w:p>
      <w:pPr>
        <w:pStyle w:val="BodyText"/>
      </w:pPr>
      <w:r>
        <w:t xml:space="preserve">9.200 kg CO2e + 0.040 kg CO2e + 10.000 kg CO2e + 15.000 kg CO2e + (-1.264) kg CO2e =</w:t>
      </w:r>
      <w:r>
        <w:t xml:space="preserve"> </w:t>
      </w:r>
      <w:r>
        <w:rPr>
          <w:bCs/>
          <w:b/>
        </w:rPr>
        <w:t xml:space="preserve">33.016 kg CO2e</w:t>
      </w:r>
    </w:p>
    <w:bookmarkEnd w:id="37"/>
    <w:bookmarkEnd w:id="38"/>
    <w:bookmarkStart w:id="39" w:name="X0f28b387e2a8c59f27f18f8e238ec1cd2836b0d"/>
    <w:p>
      <w:pPr>
        <w:pStyle w:val="Heading3"/>
      </w:pPr>
      <w:r>
        <w:t xml:space="preserve">Summary of Product Carbon Footprint (PCF) for dlwwoxelkg</w:t>
      </w:r>
    </w:p>
    <w:p>
      <w:pPr>
        <w:pStyle w:val="FirstParagraph"/>
      </w:pPr>
      <w:r>
        <w:t xml:space="preserve">The table below provides a summary of the Product Carbon Footprint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 /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0.192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9.200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0.040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10.000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-1.264</w:t>
            </w:r>
          </w:p>
        </w:tc>
      </w:tr>
      <w:tr>
        <w:tc>
          <w:tcPr>
            <w:gridSpan w:val="2"/>
          </w:tcPr>
          <w:p>
            <w:pPr>
              <w:pStyle w:val="Compact"/>
              <w:jc w:val="left"/>
            </w:pPr>
            <w:r>
              <w:t xml:space="preserve">Total Product Carbon Footprint (dlwwoxelkg)</w:t>
            </w:r>
          </w:p>
        </w:tc>
        <w:tc>
          <w:tcPr/>
          <w:p>
            <w:pPr>
              <w:pStyle w:val="Compact"/>
              <w:jc w:val="left"/>
            </w:pPr>
            <w:r>
              <w:t xml:space="preserve">33.208</w:t>
            </w:r>
          </w:p>
        </w:tc>
      </w:tr>
    </w:tbl>
    <w:p>
      <w:pPr>
        <w:pStyle w:val="BodyText"/>
      </w:pPr>
      <w:r>
        <w:rPr>
          <w:iCs/>
          <w:i/>
        </w:rPr>
        <w:t xml:space="preserve">Note: The negative value in End-of-Life (Scope 3, Category 12) reflects net avoided emissions or carbon removals due to a high recyclability rate and established circular programs.</w:t>
      </w:r>
    </w:p>
    <w:p>
      <w:pPr>
        <w:pStyle w:val="BodyText"/>
      </w:pPr>
      <w:r>
        <w:rPr>
          <w:bCs/>
          <w:b/>
        </w:rPr>
        <w:t xml:space="preserve">Scope 3 Coverage:</w:t>
      </w:r>
      <w:r>
        <w:t xml:space="preserve"> </w:t>
      </w:r>
      <w:r>
        <w:t xml:space="preserve">Based on the comprehensive inclusion of upstream materials, transport, use phase, and end-of-life, this analysis is estimated to achieve well over 95% coverage of the product\'s Scope 3 emissions, in line with the proposed 2026 requirements.</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current analysis, the primary emission hotspots for</w:t>
      </w:r>
      <w:r>
        <w:t xml:space="preserve"> </w:t>
      </w:r>
      <w:r>
        <w:rPr>
          <w:bCs/>
          <w:b/>
        </w:rPr>
        <w:t xml:space="preserve">dlwwoxelkg</w:t>
      </w:r>
      <w:r>
        <w:t xml:space="preserve"> </w:t>
      </w:r>
      <w:r>
        <w:t xml:space="preserve">are:</w:t>
      </w:r>
    </w:p>
    <w:p>
      <w:pPr>
        <w:numPr>
          <w:ilvl w:val="0"/>
          <w:numId w:val="1012"/>
        </w:numPr>
        <w:pStyle w:val="Compact"/>
      </w:pPr>
      <w:r>
        <w:rPr>
          <w:bCs/>
          <w:b/>
        </w:rPr>
        <w:t xml:space="preserve">Use Phase (Category 11):</w:t>
      </w:r>
      <w:r>
        <w:t xml:space="preserve"> </w:t>
      </w:r>
      <w:r>
        <w:t xml:space="preserve">With 15.000 kg CO2e, the energy consumption during the product\'s 5-year lifespan is a significant contributor, especially assuming a typical grid electricity mix at the user end.</w:t>
      </w:r>
    </w:p>
    <w:p>
      <w:pPr>
        <w:numPr>
          <w:ilvl w:val="0"/>
          <w:numId w:val="1012"/>
        </w:numPr>
        <w:pStyle w:val="Compact"/>
      </w:pPr>
      <w:r>
        <w:rPr>
          <w:bCs/>
          <w:b/>
        </w:rPr>
        <w:t xml:space="preserve">Downstream Transportation (Category 9):</w:t>
      </w:r>
      <w:r>
        <w:t xml:space="preserve"> </w:t>
      </w:r>
      <w:r>
        <w:t xml:space="preserve">The illustrative last-mile delivery contribution of 10.000 kg CO2e highlights the impact of distribution logistics, particularly if inefficient or long-distance. This category often represents a critical area for decarbonization.</w:t>
      </w:r>
    </w:p>
    <w:p>
      <w:pPr>
        <w:numPr>
          <w:ilvl w:val="0"/>
          <w:numId w:val="1012"/>
        </w:numPr>
        <w:pStyle w:val="Compact"/>
      </w:pPr>
      <w:r>
        <w:rPr>
          <w:bCs/>
          <w:b/>
        </w:rPr>
        <w:t xml:space="preserve">Purchased Goods and Services (Category 1):</w:t>
      </w:r>
      <w:r>
        <w:t xml:space="preserve"> </w:t>
      </w:r>
      <w:r>
        <w:t xml:space="preserve">The cumulative impact of raw materials, totaling 9.200 kg CO2e, forms a substantial baseline footprint, emphasizing the importance of sustainable sourcing.</w:t>
      </w:r>
    </w:p>
    <w:bookmarkEnd w:id="41"/>
    <w:bookmarkStart w:id="42" w:name="reliability-statement"/>
    <w:p>
      <w:pPr>
        <w:pStyle w:val="Heading3"/>
      </w:pPr>
      <w:r>
        <w:t xml:space="preserve">Reliability Statement</w:t>
      </w:r>
    </w:p>
    <w:p>
      <w:pPr>
        <w:pStyle w:val="FirstParagraph"/>
      </w:pPr>
      <w:r>
        <w:t xml:space="preserve">The reliability of this PCF report is considered high for the data points directly provided (BOM, energy usage, lifespan, recyclability). However, several key areas rely on secondary data and assumptions due to the generic nature of some input parameters (e.g., "Select Mode," "nnlorldzdi," "Delivery Type").</w:t>
      </w:r>
    </w:p>
    <w:p>
      <w:pPr>
        <w:pStyle w:val="BodyText"/>
      </w:pPr>
      <w:r>
        <w:t xml:space="preserve">The use of generic industry-standard emission factors (aligned with Ecoinvent/DEFRA principles) provides a robust estimate but can be refined with product-specific Life Cycle Inventory (LCI) data. Further primary data collection for supplier-specific emission factors, actual transport routes, and user energy mixes would enhance accuracy.</w:t>
      </w:r>
    </w:p>
    <w:bookmarkEnd w:id="42"/>
    <w:bookmarkStart w:id="43" w:name="recommendations-for-emission-reduction"/>
    <w:p>
      <w:pPr>
        <w:pStyle w:val="Heading3"/>
      </w:pPr>
      <w:r>
        <w:t xml:space="preserve">Recommendations for Emission Reduction</w:t>
      </w:r>
    </w:p>
    <w:p>
      <w:pPr>
        <w:numPr>
          <w:ilvl w:val="0"/>
          <w:numId w:val="1013"/>
        </w:numPr>
        <w:pStyle w:val="Compact"/>
      </w:pPr>
      <w:r>
        <w:rPr>
          <w:bCs/>
          <w:b/>
        </w:rPr>
        <w:t xml:space="preserve">Optimize Use Phase Efficiency:</w:t>
      </w:r>
      <w:r>
        <w:t xml:space="preserve"> </w:t>
      </w:r>
      <w:r>
        <w:t xml:space="preserve">Invest in R&amp;D to reduce the product\'s energy consumption during its lifespan. Promote usage habits that minimize energy draw and explore options for renewable energy integration at the consumer level.</w:t>
      </w:r>
    </w:p>
    <w:p>
      <w:pPr>
        <w:numPr>
          <w:ilvl w:val="0"/>
          <w:numId w:val="1013"/>
        </w:numPr>
        <w:pStyle w:val="Compact"/>
      </w:pPr>
      <w:r>
        <w:rPr>
          <w:bCs/>
          <w:b/>
        </w:rPr>
        <w:t xml:space="preserve">Decarbonize Supply Chain Logistics:</w:t>
      </w:r>
      <w:r>
        <w:t xml:space="preserve"> </w:t>
      </w:r>
      <w:r>
        <w:t xml:space="preserve">Work with logistics partners to shift to lower-emission transport modes (e.g., electric vehicles for last-mile, rail for longer distances) and optimize routes to reduce transport distances.</w:t>
      </w:r>
    </w:p>
    <w:p>
      <w:pPr>
        <w:numPr>
          <w:ilvl w:val="0"/>
          <w:numId w:val="1013"/>
        </w:numPr>
        <w:pStyle w:val="Compact"/>
      </w:pPr>
      <w:r>
        <w:rPr>
          <w:bCs/>
          <w:b/>
        </w:rPr>
        <w:t xml:space="preserve">Material Optimization:</w:t>
      </w:r>
      <w:r>
        <w:t xml:space="preserve"> </w:t>
      </w:r>
      <w:r>
        <w:t xml:space="preserve">Continue to explore lower-carbon material alternatives and design for lightweighting without compromising product integrity. Focus on materials with high embedded carbon footprints, such as primary aluminum.</w:t>
      </w:r>
    </w:p>
    <w:p>
      <w:pPr>
        <w:numPr>
          <w:ilvl w:val="0"/>
          <w:numId w:val="1013"/>
        </w:numPr>
        <w:pStyle w:val="Compact"/>
      </w:pPr>
      <w:r>
        <w:rPr>
          <w:bCs/>
          <w:b/>
        </w:rPr>
        <w:t xml:space="preserve">Enhance Circularity:</w:t>
      </w:r>
      <w:r>
        <w:t xml:space="preserve"> </w:t>
      </w:r>
      <w:r>
        <w:t xml:space="preserve">Leverage the established take-back program (zoxnlkqnud) to maximize actual recycling rates beyond the current 80% target (rsytryoyxh). Explore repairability and refurbishment options to extend product lifespan (hvyjjkkkov).</w:t>
      </w:r>
    </w:p>
    <w:p>
      <w:pPr>
        <w:numPr>
          <w:ilvl w:val="0"/>
          <w:numId w:val="1013"/>
        </w:numPr>
        <w:pStyle w:val="Compact"/>
      </w:pPr>
      <w:r>
        <w:rPr>
          <w:bCs/>
          <w:b/>
        </w:rPr>
        <w:t xml:space="preserve">Renewable Energy Adoption:</w:t>
      </w:r>
      <w:r>
        <w:t xml:space="preserve"> </w:t>
      </w:r>
      <w:r>
        <w:t xml:space="preserve">Increase the percentage of renewable energy (zowzxodukg) used in manufacturing facilities and encourage suppliers to do the same. This directly reduces Scope 2 emissions.</w:t>
      </w:r>
    </w:p>
    <w:p>
      <w:pPr>
        <w:numPr>
          <w:ilvl w:val="0"/>
          <w:numId w:val="1013"/>
        </w:numPr>
        <w:pStyle w:val="Compact"/>
      </w:pPr>
      <w:r>
        <w:rPr>
          <w:bCs/>
          <w:b/>
        </w:rPr>
        <w:t xml:space="preserve">Supplier Engagement:</w:t>
      </w:r>
      <w:r>
        <w:t xml:space="preserve"> </w:t>
      </w:r>
      <w:r>
        <w:t xml:space="preserve">Collaborate with suppliers to collect primary data on their manufacturing processes and encourage them to adopt lower-carbon practices, improving the accuracy and reduction potential within Scope 3.</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dlwwoxelkg</dc:title>
  <dc:creator/>
  <dc:description>Detailed Product Carbon Footprint (PCF) analysis report for dlwwoxelkg, following GHG Protocol standards and 2026 LSR updates, conducted by yolvqjqhpj, Senior Sustainability Consultant for klknhprjql.</dc:description>
  <cp:keywords/>
  <dcterms:created xsi:type="dcterms:W3CDTF">2026-05-30T13:41:12Z</dcterms:created>
  <dcterms:modified xsi:type="dcterms:W3CDTF">2026-05-30T13:41:12Z</dcterms:modified>
</cp:coreProperties>
</file>

<file path=docProps/custom.xml><?xml version="1.0" encoding="utf-8"?>
<Properties xmlns="http://schemas.openxmlformats.org/officeDocument/2006/custom-properties" xmlns:vt="http://schemas.openxmlformats.org/officeDocument/2006/docPropsVTypes"/>
</file>