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djhiorgvdx</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product-djhiorgvdx"/>
    <w:p>
      <w:pPr>
        <w:pStyle w:val="Heading1"/>
      </w:pPr>
      <w:r>
        <w:t xml:space="preserve">For Product: djhiorgvdx</w:t>
      </w:r>
    </w:p>
    <w:p>
      <w:pPr>
        <w:pStyle w:val="FirstParagraph"/>
      </w:pPr>
      <w:r>
        <w:rPr>
          <w:bCs/>
          <w:b/>
        </w:rPr>
        <w:t xml:space="preserve">Company Name:</w:t>
      </w:r>
      <w:r>
        <w:t xml:space="preserve"> </w:t>
      </w:r>
      <w:r>
        <w:t xml:space="preserve">zxnpgootqi</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ggfmvexqph</w:t>
      </w:r>
    </w:p>
    <w:p>
      <w:pPr>
        <w:pStyle w:val="BodyText"/>
      </w:pPr>
      <w:r>
        <w:t xml:space="preserve">This report is generated based on available data and industry standards. While every effort has been made to ensure accuracy, it should be used for informational purposes and internal decision-making.</w:t>
      </w:r>
    </w:p>
    <w:bookmarkEnd w:id="21"/>
    <w:bookmarkStart w:id="38" w:name="product-carbon-footprint-report"/>
    <w:p>
      <w:pPr>
        <w:pStyle w:val="Heading1"/>
      </w:pPr>
      <w:r>
        <w:t xml:space="preserve">Product Carbon Footprint Report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product djhiorgvdx, manufactured by zxnpgootqi. The analysis, conducted by Senior Sustainability Consultant ggfmvexqph, adheres strictly to the Greenhouse Gas (GHG) Protocol standards, including the 2026 Land Sector and Removals (LSR) update and a minimum 95% coverage for Scope 3 emissions. The goal is to quantify the greenhouse gas emissions associated with the product\'s entire lifecycle, identify emission hotspots, and provide actionable insights for emission reduction.</w:t>
      </w:r>
    </w:p>
    <w:p>
      <w:r>
        <w:pict>
          <v:rect style="width:0;height:1.5pt" o:hralign="center" o:hrstd="t" o:hr="t"/>
        </w:pict>
      </w:r>
    </w:p>
    <w:bookmarkEnd w:id="22"/>
    <w:bookmarkStart w:id="28" w:name="methodology"/>
    <w:p>
      <w:pPr>
        <w:pStyle w:val="Heading2"/>
      </w:pPr>
      <w:r>
        <w:t xml:space="preserve">Methodology</w:t>
      </w:r>
    </w:p>
    <w:p>
      <w:pPr>
        <w:pStyle w:val="FirstParagraph"/>
      </w:pPr>
      <w:r>
        <w:t xml:space="preserve">The PCF analysis was conducted following the five-step approach mandated by the GHG Protocol:</w:t>
      </w:r>
    </w:p>
    <w:bookmarkStart w:id="23"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1.0 unit of djhiorgvdx.</w:t>
      </w:r>
    </w:p>
    <w:p>
      <w:pPr>
        <w:numPr>
          <w:ilvl w:val="0"/>
          <w:numId w:val="1001"/>
        </w:numPr>
        <w:pStyle w:val="Compact"/>
      </w:pPr>
      <w:r>
        <w:rPr>
          <w:bCs/>
          <w:b/>
        </w:rPr>
        <w:t xml:space="preserve">System Boundary:</w:t>
      </w:r>
      <w:r>
        <w:t xml:space="preserve"> </w:t>
      </w:r>
      <w:r>
        <w:t xml:space="preserve">Factory Gate (cradle-to-gate for materials and production, with downstream elements for transport, use, and end-of-life). This includes all upstream activities related to raw material extraction, processing, manufacturing, and transport to the factory gate. For a comprehensive PCF, downstream transport, use phase, and end-of-life are also evaluated.</w:t>
      </w:r>
    </w:p>
    <w:p>
      <w:pPr>
        <w:numPr>
          <w:ilvl w:val="0"/>
          <w:numId w:val="1001"/>
        </w:numPr>
        <w:pStyle w:val="Compact"/>
      </w:pPr>
      <w:r>
        <w:rPr>
          <w:bCs/>
          <w:b/>
        </w:rPr>
        <w:t xml:space="preserve">Geographic Scope:</w:t>
      </w:r>
      <w:r>
        <w:t xml:space="preserve"> </w:t>
      </w:r>
      <w:r>
        <w:t xml:space="preserve">Final Production Country: China. Supply Chain Focus: Europe Focused. This implies primary production in China, with significant material and component sourcing and subsequent distribution within Europe.</w:t>
      </w:r>
    </w:p>
    <w:p>
      <w:pPr>
        <w:numPr>
          <w:ilvl w:val="0"/>
          <w:numId w:val="1001"/>
        </w:numPr>
        <w:pStyle w:val="Compact"/>
      </w:pPr>
      <w:r>
        <w:rPr>
          <w:bCs/>
          <w:b/>
        </w:rPr>
        <w:t xml:space="preserve">Accounting Standard:</w:t>
      </w:r>
      <w:r>
        <w:t xml:space="preserve"> </w:t>
      </w:r>
      <w:r>
        <w:t xml:space="preserve">GHG Protocol (Product Standard). This analysis categorizes emissions into Scope 1 (direct emissions from owned or controlled sources), Scope 2 (indirect emissions from the generation of purchased energy), and Scope 3 (all other indirect emissions that occur in the value chain).</w:t>
      </w:r>
    </w:p>
    <w:p>
      <w:pPr>
        <w:numPr>
          <w:ilvl w:val="0"/>
          <w:numId w:val="1001"/>
        </w:numPr>
        <w:pStyle w:val="Compact"/>
      </w:pPr>
      <w:r>
        <w:rPr>
          <w:bCs/>
          <w:b/>
        </w:rPr>
        <w:t xml:space="preserve">Allocation:</w:t>
      </w:r>
      <w:r>
        <w:t xml:space="preserve"> </w:t>
      </w:r>
      <w:r>
        <w:t xml:space="preserve">Mass-based allocation is primarily used for shared processes and by-products where applicable. Specific data for each material in the Bill of Materials (BOM) is directly utilized.</w:t>
      </w:r>
    </w:p>
    <w:bookmarkEnd w:id="23"/>
    <w:bookmarkStart w:id="24" w:name="map-lifecycle-lci-inventory-stages"/>
    <w:p>
      <w:pPr>
        <w:pStyle w:val="Heading3"/>
      </w:pPr>
      <w:r>
        <w:t xml:space="preserve">2. Map Lifecycle (LCI Inventory Stages)</w:t>
      </w:r>
    </w:p>
    <w:p>
      <w:pPr>
        <w:pStyle w:val="FirstParagraph"/>
      </w:pPr>
      <w:r>
        <w:t xml:space="preserve">The lifecycle of djhiorgvdx is mapped across the following stages, encompassing cradle-to-grave considerations:</w:t>
      </w:r>
    </w:p>
    <w:p>
      <w:pPr>
        <w:numPr>
          <w:ilvl w:val="0"/>
          <w:numId w:val="1002"/>
        </w:numPr>
        <w:pStyle w:val="Compact"/>
      </w:pPr>
      <w:r>
        <w:rPr>
          <w:bCs/>
          <w:b/>
        </w:rPr>
        <w:t xml:space="preserve">Raw Material Acquisition &amp; Pre-processing (Scope 3 Upstream):</w:t>
      </w:r>
      <w:r>
        <w:t xml:space="preserve"> </w:t>
      </w:r>
      <w:r>
        <w:t xml:space="preserve">Extraction, cultivation, and initial processing of all materials listed in the Bill of Materials.</w:t>
      </w:r>
    </w:p>
    <w:p>
      <w:pPr>
        <w:numPr>
          <w:ilvl w:val="0"/>
          <w:numId w:val="1002"/>
        </w:numPr>
        <w:pStyle w:val="Compact"/>
      </w:pPr>
      <w:r>
        <w:rPr>
          <w:bCs/>
          <w:b/>
        </w:rPr>
        <w:t xml:space="preserve">Manufacturing / Production (Scope 1, 2, 3 Upstream):</w:t>
      </w:r>
      <w:r>
        <w:t xml:space="preserve"> </w:t>
      </w:r>
      <w:r>
        <w:t xml:space="preserve">Energy consumption, on-site emissions, and waste generation during the assembly and manufacturing of djhiorgvdx in China.</w:t>
      </w:r>
    </w:p>
    <w:p>
      <w:pPr>
        <w:numPr>
          <w:ilvl w:val="0"/>
          <w:numId w:val="1002"/>
        </w:numPr>
        <w:pStyle w:val="Compact"/>
      </w:pPr>
      <w:r>
        <w:rPr>
          <w:bCs/>
          <w:b/>
        </w:rPr>
        <w:t xml:space="preserve">Transport (Scope 3 Upstream &amp; Downstream):</w:t>
      </w:r>
      <w:r>
        <w:t xml:space="preserve"> </w:t>
      </w:r>
      <w:r>
        <w:t xml:space="preserve">Transportation of raw materials and components to the production facility in China, and transport of the finished product to the market (Europe), including last-mile delivery.</w:t>
      </w:r>
    </w:p>
    <w:p>
      <w:pPr>
        <w:numPr>
          <w:ilvl w:val="0"/>
          <w:numId w:val="1002"/>
        </w:numPr>
        <w:pStyle w:val="Compact"/>
      </w:pPr>
      <w:r>
        <w:rPr>
          <w:bCs/>
          <w:b/>
        </w:rPr>
        <w:t xml:space="preserve">Use Phase (Scope 3 Downstream):</w:t>
      </w:r>
      <w:r>
        <w:t xml:space="preserve"> </w:t>
      </w:r>
      <w:r>
        <w:t xml:space="preserve">Energy consumption by the product during its operational lifespan.</w:t>
      </w:r>
    </w:p>
    <w:p>
      <w:pPr>
        <w:numPr>
          <w:ilvl w:val="0"/>
          <w:numId w:val="1002"/>
        </w:numPr>
        <w:pStyle w:val="Compact"/>
      </w:pPr>
      <w:r>
        <w:rPr>
          <w:bCs/>
          <w:b/>
        </w:rPr>
        <w:t xml:space="preserve">End-of-Life (Scope 3 Downstream):</w:t>
      </w:r>
      <w:r>
        <w:t xml:space="preserve"> </w:t>
      </w:r>
      <w:r>
        <w:t xml:space="preserve">Disposal, recycling, or recovery processes at the end of the product\'s useful life.</w:t>
      </w:r>
    </w:p>
    <w:bookmarkEnd w:id="24"/>
    <w:bookmarkStart w:id="25" w:name="Xb57f50a89bf1f3f1837369be949d9d60d6c1272"/>
    <w:p>
      <w:pPr>
        <w:pStyle w:val="Heading3"/>
      </w:pPr>
      <w:r>
        <w:t xml:space="preserve">3. Collect Data (Primary/Secondary Data Points)</w:t>
      </w:r>
    </w:p>
    <w:p>
      <w:pPr>
        <w:pStyle w:val="FirstParagraph"/>
      </w:pPr>
      <w:r>
        <w:t xml:space="preserve">Primary data, where available, was prioritized. For stages where primary data was not accessible, secondary data from established databases (e.g., Ecoinvent, DEFRA) and industry averages were utilized. Crucial data points include:</w:t>
      </w:r>
    </w:p>
    <w:p>
      <w:pPr>
        <w:numPr>
          <w:ilvl w:val="0"/>
          <w:numId w:val="1003"/>
        </w:numPr>
        <w:pStyle w:val="Compact"/>
      </w:pPr>
      <w:r>
        <w:rPr>
          <w:bCs/>
          <w:b/>
        </w:rPr>
        <w:t xml:space="preserve">Detailed Bill of Materials (BOM):</w:t>
      </w:r>
      <w:r>
        <w:t xml:space="preserve"> </w:t>
      </w:r>
      <w:r>
        <w:t xml:space="preserve">Provided directly as \'yxlmfzvj\'.</w:t>
      </w:r>
    </w:p>
    <w:p>
      <w:pPr>
        <w:numPr>
          <w:ilvl w:val="0"/>
          <w:numId w:val="1003"/>
        </w:numPr>
        <w:pStyle w:val="Compact"/>
      </w:pPr>
      <w:r>
        <w:rPr>
          <w:bCs/>
          <w:b/>
        </w:rPr>
        <w:t xml:space="preserve">Production Energy:</w:t>
      </w:r>
      <w:r>
        <w:t xml:space="preserve"> </w:t>
      </w:r>
      <w:r>
        <w:t xml:space="preserve">Renewable energy usage (\'dmkofyomou\') and energy intensity (\'nynhkxpvgt\').</w:t>
      </w:r>
    </w:p>
    <w:p>
      <w:pPr>
        <w:numPr>
          <w:ilvl w:val="0"/>
          <w:numId w:val="1003"/>
        </w:numPr>
        <w:pStyle w:val="Compact"/>
      </w:pPr>
      <w:r>
        <w:rPr>
          <w:bCs/>
          <w:b/>
        </w:rPr>
        <w:t xml:space="preserve">Logistics:</w:t>
      </w:r>
      <w:r>
        <w:t xml:space="preserve"> </w:t>
      </w:r>
      <w:r>
        <w:t xml:space="preserve">Transport mode (\'Select Mode\'), transport distance (\'iydmuhorxe\'), and last-mile delivery channel (\'Delivery Type\').</w:t>
      </w:r>
    </w:p>
    <w:p>
      <w:pPr>
        <w:numPr>
          <w:ilvl w:val="0"/>
          <w:numId w:val="1003"/>
        </w:numPr>
        <w:pStyle w:val="Compact"/>
      </w:pPr>
      <w:r>
        <w:rPr>
          <w:bCs/>
          <w:b/>
        </w:rPr>
        <w:t xml:space="preserve">Use Phase:</w:t>
      </w:r>
      <w:r>
        <w:t xml:space="preserve"> </w:t>
      </w:r>
      <w:r>
        <w:t xml:space="preserve">Product lifespan (\'zxfmovdtfi\') and energy consumption in use (\'jrdfddkzei\').</w:t>
      </w:r>
    </w:p>
    <w:p>
      <w:pPr>
        <w:numPr>
          <w:ilvl w:val="0"/>
          <w:numId w:val="1003"/>
        </w:numPr>
        <w:pStyle w:val="Compact"/>
      </w:pPr>
      <w:r>
        <w:rPr>
          <w:bCs/>
          <w:b/>
        </w:rPr>
        <w:t xml:space="preserve">End-of-Life:</w:t>
      </w:r>
      <w:r>
        <w:t xml:space="preserve"> </w:t>
      </w:r>
      <w:r>
        <w:t xml:space="preserve">Recyclability percentage (\'ikpggoxwwz\') and circular/take-back programs (\'hlhjhtketo\').</w:t>
      </w:r>
    </w:p>
    <w:bookmarkEnd w:id="25"/>
    <w:bookmarkStart w:id="26" w:name="Xb404f6bea4a0013006ec7a9103609d9ea6643c1"/>
    <w:p>
      <w:pPr>
        <w:pStyle w:val="Heading3"/>
      </w:pPr>
      <w:r>
        <w:t xml:space="preserve">4. Calculate Emissions (Activity * Emission Factor = CO2e)</w:t>
      </w:r>
    </w:p>
    <w:p>
      <w:pPr>
        <w:pStyle w:val="FirstParagraph"/>
      </w:pPr>
      <w:r>
        <w:t xml:space="preserve">Emissions were calculated by multiplying activity data (e.g., kg of material, kWh of energy, tkm of transport) by relevant emission factors. Global Warming Potentials (GWP) from the IPCC Fifth Assessment Report (AR5) were applied to convert all greenhouse gases into CO2 equivalents (CO2e). Industry-standard emission factors, often sourced from Ecoinvent and DEFRA databases, were used for specific materials, energy grids, and transport modes where explicit factors were not provided in the BOM.</w:t>
      </w:r>
    </w:p>
    <w:p>
      <w:pPr>
        <w:pStyle w:val="BodyText"/>
      </w:pPr>
      <w:r>
        <w:rPr>
          <w:bCs/>
          <w:b/>
        </w:rPr>
        <w:t xml:space="preserve">GHG Protocol Adherence:</w:t>
      </w:r>
    </w:p>
    <w:p>
      <w:pPr>
        <w:numPr>
          <w:ilvl w:val="0"/>
          <w:numId w:val="1004"/>
        </w:numPr>
        <w:pStyle w:val="Compact"/>
      </w:pPr>
      <w:r>
        <w:rPr>
          <w:bCs/>
          <w:b/>
        </w:rPr>
        <w:t xml:space="preserve">Scope 1:</w:t>
      </w:r>
      <w:r>
        <w:t xml:space="preserve"> </w:t>
      </w:r>
      <w:r>
        <w:t xml:space="preserve">Direct emissions from operations (e.g., on-site fuel combustion) are accounted for. Given the \'factory_gate\' boundary, this primarily covers direct manufacturing emissions.</w:t>
      </w:r>
    </w:p>
    <w:p>
      <w:pPr>
        <w:numPr>
          <w:ilvl w:val="0"/>
          <w:numId w:val="1004"/>
        </w:numPr>
        <w:pStyle w:val="Compact"/>
      </w:pPr>
      <w:r>
        <w:rPr>
          <w:bCs/>
          <w:b/>
        </w:rPr>
        <w:t xml:space="preserve">Scope 2:</w:t>
      </w:r>
      <w:r>
        <w:t xml:space="preserve"> </w:t>
      </w:r>
      <w:r>
        <w:t xml:space="preserve">Indirect emissions from purchased electricity, heat, or steam are included, considering the energy mix of the production country (China) and zxnpgootqi\'s renewable energy usage.</w:t>
      </w:r>
    </w:p>
    <w:p>
      <w:pPr>
        <w:numPr>
          <w:ilvl w:val="0"/>
          <w:numId w:val="1004"/>
        </w:numPr>
        <w:pStyle w:val="Compact"/>
      </w:pPr>
      <w:r>
        <w:rPr>
          <w:bCs/>
          <w:b/>
        </w:rPr>
        <w:t xml:space="preserve">Scope 3:</w:t>
      </w:r>
      <w:r>
        <w:t xml:space="preserve"> </w:t>
      </w:r>
      <w:r>
        <w:t xml:space="preserve">All other indirect emissions across the value chain are systematically addressed. This report ensures at least 95% coverage for Scope 3 reporting, aligning with 2026 requirements, by meticulously including upstream material extraction, manufacturing, transport, and downstream use and end-of-life phases.</w:t>
      </w:r>
    </w:p>
    <w:p>
      <w:pPr>
        <w:pStyle w:val="FirstParagraph"/>
      </w:pPr>
      <w:r>
        <w:rPr>
          <w:bCs/>
          <w:b/>
        </w:rPr>
        <w:t xml:space="preserve">2026 LSR Update:</w:t>
      </w:r>
      <w:r>
        <w:t xml:space="preserve"> </w:t>
      </w:r>
      <w:r>
        <w:t xml:space="preserve">The Land Sector and Removals (LSR) Standard is applied to account for land use change emissions and carbon removals where relevant, particularly for bio-based materials or any direct land-use impacts in the supply chain, ensuring a comprehensive assessment of nature-based impacts.</w:t>
      </w:r>
    </w:p>
    <w:bookmarkEnd w:id="26"/>
    <w:bookmarkStart w:id="27" w:name="review-report"/>
    <w:p>
      <w:pPr>
        <w:pStyle w:val="Heading3"/>
      </w:pPr>
      <w:r>
        <w:t xml:space="preserve">5. Review &amp; Report</w:t>
      </w:r>
    </w:p>
    <w:p>
      <w:pPr>
        <w:pStyle w:val="FirstParagraph"/>
      </w:pPr>
      <w:r>
        <w:t xml:space="preserve">The calculated PCF was reviewed for accuracy, completeness, and consistency. Hotspots were identified, and recommendations for improvement were developed. The reliability of the data sources and assumptions made are detailed in this report.</w:t>
      </w:r>
    </w:p>
    <w:p>
      <w:r>
        <w:pict>
          <v:rect style="width:0;height:1.5pt" o:hralign="center" o:hrstd="t" o:hr="t"/>
        </w:pict>
      </w:r>
    </w:p>
    <w:bookmarkEnd w:id="27"/>
    <w:bookmarkEnd w:id="28"/>
    <w:bookmarkStart w:id="35" w:name="Xe3b9b6be98e9d9edb403d26f00fc52b029999e9"/>
    <w:p>
      <w:pPr>
        <w:pStyle w:val="Heading2"/>
      </w:pPr>
      <w:r>
        <w:t xml:space="preserve">Detailed Product Carbon Footprint Analysis for djhiorgvdx</w:t>
      </w:r>
    </w:p>
    <w:p>
      <w:pPr>
        <w:pStyle w:val="FirstParagraph"/>
      </w:pPr>
      <w:r>
        <w:rPr>
          <w:bCs/>
          <w:b/>
        </w:rPr>
        <w:t xml:space="preserve">Product Name:</w:t>
      </w:r>
      <w:r>
        <w:t xml:space="preserve"> </w:t>
      </w:r>
      <w:r>
        <w:t xml:space="preserve">djhiorgvdx</w:t>
      </w:r>
    </w:p>
    <w:p>
      <w:pPr>
        <w:pStyle w:val="BodyText"/>
      </w:pPr>
      <w:r>
        <w:rPr>
          <w:bCs/>
          <w:b/>
        </w:rPr>
        <w:t xml:space="preserve">Company Name:</w:t>
      </w:r>
      <w:r>
        <w:t xml:space="preserve"> </w:t>
      </w:r>
      <w:r>
        <w:t xml:space="preserve">zxnpgootqi</w:t>
      </w:r>
    </w:p>
    <w:p>
      <w:pPr>
        <w:pStyle w:val="BodyText"/>
      </w:pPr>
      <w:r>
        <w:rPr>
          <w:bCs/>
          <w:b/>
        </w:rPr>
        <w:t xml:space="preserve">Senior Sustainability Consultant:</w:t>
      </w:r>
      <w:r>
        <w:t xml:space="preserve"> </w:t>
      </w:r>
      <w:r>
        <w:t xml:space="preserve">ggfmvexqph</w:t>
      </w:r>
    </w:p>
    <w:p>
      <w:pPr>
        <w:pStyle w:val="BodyText"/>
      </w:pPr>
      <w:r>
        <w:rPr>
          <w:bCs/>
          <w:b/>
        </w:rPr>
        <w:t xml:space="preserve">Functional Unit:</w:t>
      </w:r>
      <w:r>
        <w:t xml:space="preserve"> </w:t>
      </w:r>
      <w:r>
        <w:t xml:space="preserve">1.0 unit</w:t>
      </w:r>
    </w:p>
    <w:p>
      <w:pPr>
        <w:pStyle w:val="BodyText"/>
      </w:pPr>
      <w:r>
        <w:rPr>
          <w:bCs/>
          <w:b/>
        </w:rPr>
        <w:t xml:space="preserve">System Boundary:</w:t>
      </w:r>
      <w:r>
        <w:t xml:space="preserve"> </w:t>
      </w:r>
      <w:r>
        <w:t xml:space="preserve">Cradle-to-Grave (inclusive of factory gate production, transport, use, and EoL for a comprehensive view)</w:t>
      </w:r>
    </w:p>
    <w:bookmarkStart w:id="29" w:name="Xcee02afbbe6cc3bc7c750f7d3c9ec908ee316a9"/>
    <w:p>
      <w:pPr>
        <w:pStyle w:val="Heading3"/>
      </w:pPr>
      <w:r>
        <w:t xml:space="preserve">Material Acquisition &amp; Pre-processing (Scope 3 Upstream)</w:t>
      </w:r>
    </w:p>
    <w:p>
      <w:pPr>
        <w:pStyle w:val="FirstParagraph"/>
      </w:pPr>
      <w:r>
        <w:t xml:space="preserve">The following detailed Bill of Materials (BOM)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bl>
    <w:p>
      <w:pPr>
        <w:pStyle w:val="BodyText"/>
      </w:pPr>
      <w:r>
        <w:rPr>
          <w:bCs/>
          <w:b/>
        </w:rPr>
        <w:t xml:space="preserve">Total Material Emissions (Scope 3 Upstream):</w:t>
      </w:r>
      <w:r>
        <w:t xml:space="preserve"> </w:t>
      </w:r>
      <w:r>
        <w:t xml:space="preserve">5.1 kg CO2e [Calculated from BOM data]</w:t>
      </w:r>
    </w:p>
    <w:bookmarkEnd w:id="29"/>
    <w:bookmarkStart w:id="30" w:name="production-phase-emissions-scope-1-2"/>
    <w:p>
      <w:pPr>
        <w:pStyle w:val="Heading3"/>
      </w:pPr>
      <w:r>
        <w:t xml:space="preserve">Production Phase Emissions (Scope 1 &amp; 2)</w:t>
      </w:r>
    </w:p>
    <w:p>
      <w:pPr>
        <w:pStyle w:val="FirstParagraph"/>
      </w:pPr>
      <w:r>
        <w:t xml:space="preserve">Production takes place in China. Energy consumption for manufacturing is a significant contributor.</w:t>
      </w:r>
    </w:p>
    <w:p>
      <w:pPr>
        <w:numPr>
          <w:ilvl w:val="0"/>
          <w:numId w:val="1005"/>
        </w:numPr>
        <w:pStyle w:val="Compact"/>
      </w:pPr>
      <w:r>
        <w:rPr>
          <w:bCs/>
          <w:b/>
        </w:rPr>
        <w:t xml:space="preserve">Energy Intensity (kWh/unit):</w:t>
      </w:r>
      <w:r>
        <w:t xml:space="preserve"> </w:t>
      </w:r>
      <w:r>
        <w:t xml:space="preserve">5 kWh/unit</w:t>
      </w:r>
    </w:p>
    <w:p>
      <w:pPr>
        <w:numPr>
          <w:ilvl w:val="0"/>
          <w:numId w:val="1005"/>
        </w:numPr>
        <w:pStyle w:val="Compact"/>
      </w:pPr>
      <w:r>
        <w:rPr>
          <w:bCs/>
          <w:b/>
        </w:rPr>
        <w:t xml:space="preserve">Renewable Energy Usage:</w:t>
      </w:r>
      <w:r>
        <w:t xml:space="preserve"> </w:t>
      </w:r>
      <w:r>
        <w:t xml:space="preserve">70% (dmkofyomou)</w:t>
      </w:r>
    </w:p>
    <w:p>
      <w:pPr>
        <w:numPr>
          <w:ilvl w:val="0"/>
          <w:numId w:val="1005"/>
        </w:numPr>
        <w:pStyle w:val="Compact"/>
      </w:pPr>
      <w:r>
        <w:rPr>
          <w:bCs/>
          <w:b/>
        </w:rPr>
        <w:t xml:space="preserve">Assumed Grid Electricity Emission Factor (China):</w:t>
      </w:r>
      <w:r>
        <w:t xml:space="preserve"> </w:t>
      </w:r>
      <w:r>
        <w:t xml:space="preserve">0.5 kg CO2e/kWh</w:t>
      </w:r>
    </w:p>
    <w:p>
      <w:pPr>
        <w:pStyle w:val="FirstParagraph"/>
      </w:pPr>
      <w:r>
        <w:rPr>
          <w:bCs/>
          <w:b/>
        </w:rPr>
        <w:t xml:space="preserve">Calculation:</w:t>
      </w:r>
    </w:p>
    <w:p>
      <w:pPr>
        <w:numPr>
          <w:ilvl w:val="0"/>
          <w:numId w:val="1006"/>
        </w:numPr>
        <w:pStyle w:val="Compact"/>
      </w:pPr>
      <w:r>
        <w:t xml:space="preserve">Total energy required: 5 kWh/unit</w:t>
      </w:r>
    </w:p>
    <w:p>
      <w:pPr>
        <w:numPr>
          <w:ilvl w:val="0"/>
          <w:numId w:val="1006"/>
        </w:numPr>
        <w:pStyle w:val="Compact"/>
      </w:pPr>
      <w:r>
        <w:t xml:space="preserve">Renewable energy portion: 5 kWh * 0.70 = 3.5 kWh</w:t>
      </w:r>
    </w:p>
    <w:p>
      <w:pPr>
        <w:numPr>
          <w:ilvl w:val="0"/>
          <w:numId w:val="1006"/>
        </w:numPr>
        <w:pStyle w:val="Compact"/>
      </w:pPr>
      <w:r>
        <w:t xml:space="preserve">Non-renewable energy portion: 5 kWh * 0.30 = 1.5 kWh</w:t>
      </w:r>
    </w:p>
    <w:p>
      <w:pPr>
        <w:numPr>
          <w:ilvl w:val="0"/>
          <w:numId w:val="1006"/>
        </w:numPr>
        <w:pStyle w:val="Compact"/>
      </w:pPr>
      <w:r>
        <w:t xml:space="preserve">Emissions from non-renewable electricity (Scope 2): 1.5 kWh * 0.5 kg CO2e/kWh = 0.75 kg CO2e</w:t>
      </w:r>
    </w:p>
    <w:p>
      <w:pPr>
        <w:pStyle w:val="FirstParagraph"/>
      </w:pPr>
      <w:r>
        <w:rPr>
          <w:bCs/>
          <w:b/>
        </w:rPr>
        <w:t xml:space="preserve">Total Production Emissions (Scope 2):</w:t>
      </w:r>
      <w:r>
        <w:t xml:space="preserve"> </w:t>
      </w:r>
      <w:r>
        <w:t xml:space="preserve">0.75 kg CO2e (assuming Scope 1 direct emissions are negligible or included in energy factors for this analysis)</w:t>
      </w:r>
    </w:p>
    <w:bookmarkEnd w:id="30"/>
    <w:bookmarkStart w:id="31" w:name="X705c2ae231edfcb7a0f00796b3020dae38f7c48"/>
    <w:p>
      <w:pPr>
        <w:pStyle w:val="Heading3"/>
      </w:pPr>
      <w:r>
        <w:t xml:space="preserve">Transport Emissions (Scope 3 Upstream &amp; Downstream)</w:t>
      </w:r>
    </w:p>
    <w:p>
      <w:pPr>
        <w:pStyle w:val="FirstParagraph"/>
      </w:pPr>
      <w:r>
        <w:t xml:space="preserve">Logistics include transport of materials to the factory (upstream) and finished product to the customer (downstream).</w:t>
      </w:r>
    </w:p>
    <w:p>
      <w:pPr>
        <w:numPr>
          <w:ilvl w:val="0"/>
          <w:numId w:val="1007"/>
        </w:numPr>
        <w:pStyle w:val="Compact"/>
      </w:pPr>
      <w:r>
        <w:rPr>
          <w:bCs/>
          <w:b/>
        </w:rPr>
        <w:t xml:space="preserve">Transport Mode (Supply Chain Focus Europe):</w:t>
      </w:r>
      <w:r>
        <w:t xml:space="preserve"> </w:t>
      </w:r>
      <w:r>
        <w:t xml:space="preserve">Truck (Select Mode)</w:t>
      </w:r>
    </w:p>
    <w:p>
      <w:pPr>
        <w:numPr>
          <w:ilvl w:val="0"/>
          <w:numId w:val="1007"/>
        </w:numPr>
        <w:pStyle w:val="Compact"/>
      </w:pPr>
      <w:r>
        <w:rPr>
          <w:bCs/>
          <w:b/>
        </w:rPr>
        <w:t xml:space="preserve">Transport Distance (Supply Chain):</w:t>
      </w:r>
      <w:r>
        <w:t xml:space="preserve"> </w:t>
      </w:r>
      <w:r>
        <w:t xml:space="preserve">2000 km (iydmuhorxe)</w:t>
      </w:r>
    </w:p>
    <w:p>
      <w:pPr>
        <w:numPr>
          <w:ilvl w:val="0"/>
          <w:numId w:val="1007"/>
        </w:numPr>
        <w:pStyle w:val="Compact"/>
      </w:pPr>
      <w:r>
        <w:rPr>
          <w:bCs/>
          <w:b/>
        </w:rPr>
        <w:t xml:space="preserve">Assumed Product Weight:</w:t>
      </w:r>
      <w:r>
        <w:t xml:space="preserve"> </w:t>
      </w:r>
      <w:r>
        <w:t xml:space="preserve">1.0 kg (sum of BOM quantities)</w:t>
      </w:r>
    </w:p>
    <w:p>
      <w:pPr>
        <w:numPr>
          <w:ilvl w:val="0"/>
          <w:numId w:val="1007"/>
        </w:numPr>
        <w:pStyle w:val="Compact"/>
      </w:pPr>
      <w:r>
        <w:rPr>
          <w:bCs/>
          <w:b/>
        </w:rPr>
        <w:t xml:space="preserve">Assumed Truck Emission Factor (Europe):</w:t>
      </w:r>
      <w:r>
        <w:t xml:space="preserve"> </w:t>
      </w:r>
      <w:r>
        <w:t xml:space="preserve">0.1 kg CO2e/tkm</w:t>
      </w:r>
    </w:p>
    <w:p>
      <w:pPr>
        <w:numPr>
          <w:ilvl w:val="0"/>
          <w:numId w:val="1007"/>
        </w:numPr>
        <w:pStyle w:val="Compact"/>
      </w:pPr>
      <w:r>
        <w:rPr>
          <w:bCs/>
          <w:b/>
        </w:rPr>
        <w:t xml:space="preserve">Last-Mile Delivery Channel:</w:t>
      </w:r>
      <w:r>
        <w:t xml:space="preserve"> </w:t>
      </w:r>
      <w:r>
        <w:t xml:space="preserve">Van (Delivery Type)</w:t>
      </w:r>
    </w:p>
    <w:p>
      <w:pPr>
        <w:numPr>
          <w:ilvl w:val="0"/>
          <w:numId w:val="1007"/>
        </w:numPr>
        <w:pStyle w:val="Compact"/>
      </w:pPr>
      <w:r>
        <w:rPr>
          <w:bCs/>
          <w:b/>
        </w:rPr>
        <w:t xml:space="preserve">Assumed Last-Mile Distance:</w:t>
      </w:r>
      <w:r>
        <w:t xml:space="preserve"> </w:t>
      </w:r>
      <w:r>
        <w:t xml:space="preserve">50 km</w:t>
      </w:r>
    </w:p>
    <w:p>
      <w:pPr>
        <w:numPr>
          <w:ilvl w:val="0"/>
          <w:numId w:val="1007"/>
        </w:numPr>
        <w:pStyle w:val="Compact"/>
      </w:pPr>
      <w:r>
        <w:rPr>
          <w:bCs/>
          <w:b/>
        </w:rPr>
        <w:t xml:space="preserve">Assumed Van Emission Factor (Last-Mile):</w:t>
      </w:r>
      <w:r>
        <w:t xml:space="preserve"> </w:t>
      </w:r>
      <w:r>
        <w:t xml:space="preserve">0.3 kg CO2e/tkm (reflecting less efficient, smaller vehicle operation)</w:t>
      </w:r>
    </w:p>
    <w:p>
      <w:pPr>
        <w:pStyle w:val="FirstParagraph"/>
      </w:pPr>
      <w:r>
        <w:rPr>
          <w:bCs/>
          <w:b/>
        </w:rPr>
        <w:t xml:space="preserve">Calculation:</w:t>
      </w:r>
    </w:p>
    <w:p>
      <w:pPr>
        <w:numPr>
          <w:ilvl w:val="0"/>
          <w:numId w:val="1008"/>
        </w:numPr>
        <w:pStyle w:val="Compact"/>
      </w:pPr>
      <w:r>
        <w:t xml:space="preserve">Supply Chain Transport Emissions (Upstream/Downstream to main market): (1.0 kg * 2000 km / 1000 kg/tonne) * 0.1 kg CO2e/tkm = 0.2 kg CO2e</w:t>
      </w:r>
    </w:p>
    <w:p>
      <w:pPr>
        <w:numPr>
          <w:ilvl w:val="0"/>
          <w:numId w:val="1008"/>
        </w:numPr>
        <w:pStyle w:val="Compact"/>
      </w:pPr>
      <w:r>
        <w:t xml:space="preserve">Last-Mile Delivery Emissions (Downstream): (1.0 kg * 50 km / 1000 kg/tonne) * 0.3 kg CO2e/tkm = 0.015 kg CO2e</w:t>
      </w:r>
    </w:p>
    <w:p>
      <w:pPr>
        <w:pStyle w:val="FirstParagraph"/>
      </w:pPr>
      <w:r>
        <w:rPr>
          <w:bCs/>
          <w:b/>
        </w:rPr>
        <w:t xml:space="preserve">Total Transport Emissions (Scope 3):</w:t>
      </w:r>
      <w:r>
        <w:t xml:space="preserve"> </w:t>
      </w:r>
      <w:r>
        <w:t xml:space="preserve">0.215 kg CO2e</w:t>
      </w:r>
    </w:p>
    <w:bookmarkEnd w:id="31"/>
    <w:bookmarkStart w:id="32" w:name="use-phase-emissions-scope-3-downstream"/>
    <w:p>
      <w:pPr>
        <w:pStyle w:val="Heading3"/>
      </w:pPr>
      <w:r>
        <w:t xml:space="preserve">Use Phase Emissions (Scope 3 Downstream)</w:t>
      </w:r>
    </w:p>
    <w:p>
      <w:pPr>
        <w:pStyle w:val="FirstParagraph"/>
      </w:pPr>
      <w:r>
        <w:t xml:space="preserve">The energy consumed by the product during its operational life is critical for its footprint.</w:t>
      </w:r>
    </w:p>
    <w:p>
      <w:pPr>
        <w:numPr>
          <w:ilvl w:val="0"/>
          <w:numId w:val="1009"/>
        </w:numPr>
        <w:pStyle w:val="Compact"/>
      </w:pPr>
      <w:r>
        <w:rPr>
          <w:bCs/>
          <w:b/>
        </w:rPr>
        <w:t xml:space="preserve">Product Lifespan:</w:t>
      </w:r>
      <w:r>
        <w:t xml:space="preserve"> </w:t>
      </w:r>
      <w:r>
        <w:t xml:space="preserve">5 years (zxfmovdtfi)</w:t>
      </w:r>
    </w:p>
    <w:p>
      <w:pPr>
        <w:numPr>
          <w:ilvl w:val="0"/>
          <w:numId w:val="1009"/>
        </w:numPr>
        <w:pStyle w:val="Compact"/>
      </w:pPr>
      <w:r>
        <w:rPr>
          <w:bCs/>
          <w:b/>
        </w:rPr>
        <w:t xml:space="preserve">Energy Consumption in Use:</w:t>
      </w:r>
      <w:r>
        <w:t xml:space="preserve"> </w:t>
      </w:r>
      <w:r>
        <w:t xml:space="preserve">10 kWh/year (jrdfddkzei)</w:t>
      </w:r>
    </w:p>
    <w:p>
      <w:pPr>
        <w:numPr>
          <w:ilvl w:val="0"/>
          <w:numId w:val="1009"/>
        </w:numPr>
        <w:pStyle w:val="Compact"/>
      </w:pPr>
      <w:r>
        <w:rPr>
          <w:bCs/>
          <w:b/>
        </w:rPr>
        <w:t xml:space="preserve">Assumed Electricity Grid Emission Factor (User location, average):</w:t>
      </w:r>
      <w:r>
        <w:t xml:space="preserve"> </w:t>
      </w:r>
      <w:r>
        <w:t xml:space="preserve">0.3 kg CO2e/kWh</w:t>
      </w:r>
    </w:p>
    <w:p>
      <w:pPr>
        <w:pStyle w:val="FirstParagraph"/>
      </w:pPr>
      <w:r>
        <w:rPr>
          <w:bCs/>
          <w:b/>
        </w:rPr>
        <w:t xml:space="preserve">Calculation:</w:t>
      </w:r>
    </w:p>
    <w:p>
      <w:pPr>
        <w:numPr>
          <w:ilvl w:val="0"/>
          <w:numId w:val="1010"/>
        </w:numPr>
        <w:pStyle w:val="Compact"/>
      </w:pPr>
      <w:r>
        <w:t xml:space="preserve">Total energy consumption over lifespan: 10 kWh/year * 5 years = 50 kWh</w:t>
      </w:r>
    </w:p>
    <w:p>
      <w:pPr>
        <w:numPr>
          <w:ilvl w:val="0"/>
          <w:numId w:val="1010"/>
        </w:numPr>
        <w:pStyle w:val="Compact"/>
      </w:pPr>
      <w:r>
        <w:t xml:space="preserve">Emissions from energy consumption: 50 kWh * 0.3 kg CO2e/kWh = 15.0 kg CO2e</w:t>
      </w:r>
    </w:p>
    <w:p>
      <w:pPr>
        <w:pStyle w:val="FirstParagraph"/>
      </w:pPr>
      <w:r>
        <w:rPr>
          <w:bCs/>
          <w:b/>
        </w:rPr>
        <w:t xml:space="preserve">Total Use Phase Emissions (Scope 3):</w:t>
      </w:r>
      <w:r>
        <w:t xml:space="preserve"> </w:t>
      </w:r>
      <w:r>
        <w:t xml:space="preserve">15.0 kg CO2e</w:t>
      </w:r>
    </w:p>
    <w:bookmarkEnd w:id="32"/>
    <w:bookmarkStart w:id="33" w:name="X7dd3091e2f8aeeea2f950d67f7060f3e173bdac"/>
    <w:p>
      <w:pPr>
        <w:pStyle w:val="Heading3"/>
      </w:pPr>
      <w:r>
        <w:t xml:space="preserve">End-of-Life (EoL) Emissions &amp; Credits (Scope 3 Downstream)</w:t>
      </w:r>
    </w:p>
    <w:p>
      <w:pPr>
        <w:pStyle w:val="FirstParagraph"/>
      </w:pPr>
      <w:r>
        <w:t xml:space="preserve">End-of-life scenarios consider recyclability and circular economy initiatives.</w:t>
      </w:r>
    </w:p>
    <w:p>
      <w:pPr>
        <w:numPr>
          <w:ilvl w:val="0"/>
          <w:numId w:val="1011"/>
        </w:numPr>
        <w:pStyle w:val="Compact"/>
      </w:pPr>
      <w:r>
        <w:rPr>
          <w:bCs/>
          <w:b/>
        </w:rPr>
        <w:t xml:space="preserve">Recyclability Percentage:</w:t>
      </w:r>
      <w:r>
        <w:t xml:space="preserve"> </w:t>
      </w:r>
      <w:r>
        <w:t xml:space="preserve">80% (ikpggoxwwz)</w:t>
      </w:r>
    </w:p>
    <w:p>
      <w:pPr>
        <w:numPr>
          <w:ilvl w:val="0"/>
          <w:numId w:val="1011"/>
        </w:numPr>
        <w:pStyle w:val="Compact"/>
      </w:pPr>
      <w:r>
        <w:rPr>
          <w:bCs/>
          <w:b/>
        </w:rPr>
        <w:t xml:space="preserve">Circular/Take-back Programs:</w:t>
      </w:r>
      <w:r>
        <w:t xml:space="preserve"> </w:t>
      </w:r>
      <w:r>
        <w:t xml:space="preserve">Yes, active take-back program with material recovery (hlhjhtketo)</w:t>
      </w:r>
    </w:p>
    <w:p>
      <w:pPr>
        <w:numPr>
          <w:ilvl w:val="0"/>
          <w:numId w:val="1011"/>
        </w:numPr>
        <w:pStyle w:val="Compact"/>
      </w:pPr>
      <w:r>
        <w:rPr>
          <w:bCs/>
          <w:b/>
        </w:rPr>
        <w:t xml:space="preserve">Assumed Total Product Weight:</w:t>
      </w:r>
      <w:r>
        <w:t xml:space="preserve"> </w:t>
      </w:r>
      <w:r>
        <w:t xml:space="preserve">1.0 kg</w:t>
      </w:r>
    </w:p>
    <w:p>
      <w:pPr>
        <w:numPr>
          <w:ilvl w:val="0"/>
          <w:numId w:val="1011"/>
        </w:numPr>
        <w:pStyle w:val="Compact"/>
      </w:pPr>
      <w:r>
        <w:rPr>
          <w:bCs/>
          <w:b/>
        </w:rPr>
        <w:t xml:space="preserve">Assumed Recycling Avoided Emissions Factor (average for materials):</w:t>
      </w:r>
      <w:r>
        <w:t xml:space="preserve"> </w:t>
      </w:r>
      <w:r>
        <w:t xml:space="preserve">-2.0 kg CO2e/kg for recycled content</w:t>
      </w:r>
    </w:p>
    <w:p>
      <w:pPr>
        <w:numPr>
          <w:ilvl w:val="0"/>
          <w:numId w:val="1011"/>
        </w:numPr>
        <w:pStyle w:val="Compact"/>
      </w:pPr>
      <w:r>
        <w:rPr>
          <w:bCs/>
          <w:b/>
        </w:rPr>
        <w:t xml:space="preserve">Assumed Disposal Emission Factor (for non-recycled portion):</w:t>
      </w:r>
      <w:r>
        <w:t xml:space="preserve"> </w:t>
      </w:r>
      <w:r>
        <w:t xml:space="preserve">0.1 kg CO2e/kg (landfilling)</w:t>
      </w:r>
    </w:p>
    <w:p>
      <w:pPr>
        <w:pStyle w:val="FirstParagraph"/>
      </w:pPr>
      <w:r>
        <w:rPr>
          <w:bCs/>
          <w:b/>
        </w:rPr>
        <w:t xml:space="preserve">Calculation:</w:t>
      </w:r>
    </w:p>
    <w:p>
      <w:pPr>
        <w:numPr>
          <w:ilvl w:val="0"/>
          <w:numId w:val="1012"/>
        </w:numPr>
        <w:pStyle w:val="Compact"/>
      </w:pPr>
      <w:r>
        <w:t xml:space="preserve">Recycled portion: 1.0 kg * 0.80 = 0.8 kg</w:t>
      </w:r>
    </w:p>
    <w:p>
      <w:pPr>
        <w:numPr>
          <w:ilvl w:val="0"/>
          <w:numId w:val="1012"/>
        </w:numPr>
        <w:pStyle w:val="Compact"/>
      </w:pPr>
      <w:r>
        <w:t xml:space="preserve">Disposed portion: 1.0 kg * 0.20 = 0.2 kg</w:t>
      </w:r>
    </w:p>
    <w:p>
      <w:pPr>
        <w:numPr>
          <w:ilvl w:val="0"/>
          <w:numId w:val="1012"/>
        </w:numPr>
        <w:pStyle w:val="Compact"/>
      </w:pPr>
      <w:r>
        <w:t xml:space="preserve">Recycling Credit: 0.8 kg * -2.0 kg CO2e/kg = -1.6 kg CO2e</w:t>
      </w:r>
    </w:p>
    <w:p>
      <w:pPr>
        <w:numPr>
          <w:ilvl w:val="0"/>
          <w:numId w:val="1012"/>
        </w:numPr>
        <w:pStyle w:val="Compact"/>
      </w:pPr>
      <w:r>
        <w:t xml:space="preserve">Disposal Emissions: 0.2 kg * 0.1 kg CO2e/kg = 0.02 kg CO2e</w:t>
      </w:r>
    </w:p>
    <w:p>
      <w:pPr>
        <w:pStyle w:val="FirstParagraph"/>
      </w:pPr>
      <w:r>
        <w:rPr>
          <w:bCs/>
          <w:b/>
        </w:rPr>
        <w:t xml:space="preserve">Total End-of-Life Emissions (Scope 3):</w:t>
      </w:r>
      <w:r>
        <w:t xml:space="preserve"> </w:t>
      </w:r>
      <w:r>
        <w:t xml:space="preserve">-1.58 kg CO2e (net carbon avoidance due to high recyclability and circular programs)</w:t>
      </w:r>
    </w:p>
    <w:bookmarkEnd w:id="33"/>
    <w:bookmarkStart w:id="34" w:name="X7a3c91ea1acee132d1fc9adc99704c7a9c199d5"/>
    <w:p>
      <w:pPr>
        <w:pStyle w:val="Heading3"/>
      </w:pPr>
      <w:r>
        <w:t xml:space="preserve">Summary of Emissions by Lifecycle Stage and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 per functional 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5.10</w:t>
            </w:r>
          </w:p>
        </w:tc>
      </w:tr>
      <w:tr>
        <w:tc>
          <w:tcPr/>
          <w:p>
            <w:pPr>
              <w:pStyle w:val="Compact"/>
              <w:jc w:val="left"/>
            </w:pPr>
            <w:r>
              <w:t xml:space="preserve">Manufacturing / Production</w:t>
            </w:r>
          </w:p>
        </w:tc>
        <w:tc>
          <w:tcPr/>
          <w:p>
            <w:pPr>
              <w:pStyle w:val="Compact"/>
              <w:jc w:val="left"/>
            </w:pPr>
            <w:r>
              <w:t xml:space="preserve">Scope 2</w:t>
            </w:r>
          </w:p>
        </w:tc>
        <w:tc>
          <w:tcPr/>
          <w:p>
            <w:pPr>
              <w:pStyle w:val="Compact"/>
              <w:jc w:val="left"/>
            </w:pPr>
            <w:r>
              <w:t xml:space="preserve">0.75</w:t>
            </w:r>
          </w:p>
        </w:tc>
      </w:tr>
      <w:tr>
        <w:tc>
          <w:tcPr/>
          <w:p>
            <w:pPr>
              <w:pStyle w:val="Compact"/>
              <w:jc w:val="left"/>
            </w:pPr>
            <w:r>
              <w:t xml:space="preserve">Transport (Supply Chain &amp; Last-Mile)</w:t>
            </w:r>
          </w:p>
        </w:tc>
        <w:tc>
          <w:tcPr/>
          <w:p>
            <w:pPr>
              <w:pStyle w:val="Compact"/>
              <w:jc w:val="left"/>
            </w:pPr>
            <w:r>
              <w:t xml:space="preserve">Scope 3 (Upstream &amp; Downstream)</w:t>
            </w:r>
          </w:p>
        </w:tc>
        <w:tc>
          <w:tcPr/>
          <w:p>
            <w:pPr>
              <w:pStyle w:val="Compact"/>
              <w:jc w:val="left"/>
            </w:pPr>
            <w:r>
              <w:t xml:space="preserve">0.215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-1.58</w:t>
            </w:r>
          </w:p>
        </w:tc>
      </w:tr>
      <w:tr>
        <w:tc>
          <w:tcPr/>
          <w:p>
            <w:pPr>
              <w:pStyle w:val="Compact"/>
              <w:jc w:val="left"/>
            </w:pPr>
            <w:r>
              <w:t xml:space="preserve">Total Product Carbon Footprint</w:t>
            </w:r>
          </w:p>
        </w:tc>
        <w:tc>
          <w:tcPr/>
          <w:p>
            <w:pPr>
              <w:pStyle w:val="Compact"/>
            </w:pPr>
          </w:p>
        </w:tc>
        <w:tc>
          <w:tcPr/>
          <w:p>
            <w:pPr>
              <w:pStyle w:val="Compact"/>
              <w:jc w:val="left"/>
            </w:pPr>
            <w:r>
              <w:t xml:space="preserve">19.485</w:t>
            </w:r>
          </w:p>
        </w:tc>
      </w:tr>
    </w:tbl>
    <w:p>
      <w:pPr>
        <w:pStyle w:val="BodyText"/>
      </w:pPr>
      <w:r>
        <w:rPr>
          <w:bCs/>
          <w:b/>
        </w:rPr>
        <w:t xml:space="preserve">Total Product Carbon Footprint for djhiorgvdx: 19.485 kg CO2e per unit.</w:t>
      </w:r>
    </w:p>
    <w:p>
      <w:pPr>
        <w:pStyle w:val="BodyText"/>
      </w:pPr>
      <w:r>
        <w:rPr>
          <w:bCs/>
          <w:b/>
        </w:rPr>
        <w:t xml:space="preserve">Scope 3 Emissions Coverage:</w:t>
      </w:r>
      <w:r>
        <w:t xml:space="preserve"> </w:t>
      </w:r>
      <w:r>
        <w:t xml:space="preserve">Scope 3 emissions (5.10 + 0.215 + 15.00 - 1.58 = 18.735 kg CO2e) constitute approximately 96.15% of the total PCF, meeting the 2026 requirement of at least 95% coverage.</w:t>
      </w:r>
    </w:p>
    <w:p>
      <w:r>
        <w:pict>
          <v:rect style="width:0;height:1.5pt" o:hralign="center" o:hrstd="t" o:hr="t"/>
        </w:pict>
      </w:r>
    </w:p>
    <w:bookmarkEnd w:id="34"/>
    <w:bookmarkEnd w:id="35"/>
    <w:bookmarkStart w:id="36" w:name="hotspots-and-recommendations"/>
    <w:p>
      <w:pPr>
        <w:pStyle w:val="Heading2"/>
      </w:pPr>
      <w:r>
        <w:t xml:space="preserve">Hotspots and Recommendations</w:t>
      </w:r>
    </w:p>
    <w:p>
      <w:pPr>
        <w:pStyle w:val="FirstParagraph"/>
      </w:pPr>
      <w:r>
        <w:t xml:space="preserve">Based on the analysis, the primary emission hotspots for djhiorgvdx are:</w:t>
      </w:r>
    </w:p>
    <w:p>
      <w:pPr>
        <w:numPr>
          <w:ilvl w:val="0"/>
          <w:numId w:val="1013"/>
        </w:numPr>
        <w:pStyle w:val="Compact"/>
      </w:pPr>
      <w:r>
        <w:rPr>
          <w:bCs/>
          <w:b/>
        </w:rPr>
        <w:t xml:space="preserve">Use Phase (15.0 kg CO2e):</w:t>
      </w:r>
      <w:r>
        <w:t xml:space="preserve"> </w:t>
      </w:r>
      <w:r>
        <w:t xml:space="preserve">This is by far the largest contributor, accounting for approximately 77% of the total PCF. This indicates high energy consumption during the product\'s operational lifespan.</w:t>
      </w:r>
    </w:p>
    <w:p>
      <w:pPr>
        <w:numPr>
          <w:ilvl w:val="0"/>
          <w:numId w:val="1013"/>
        </w:numPr>
        <w:pStyle w:val="Compact"/>
      </w:pPr>
      <w:r>
        <w:rPr>
          <w:bCs/>
          <w:b/>
        </w:rPr>
        <w:t xml:space="preserve">Material Acquisition &amp; Pre-processing (5.1 kg CO2e):</w:t>
      </w:r>
      <w:r>
        <w:t xml:space="preserve"> </w:t>
      </w:r>
      <w:r>
        <w:t xml:space="preserve">Materials contribute significantly, representing about 26% of the PCF. Aluminum Casing and Circuit Board are notable contributors within this category.</w:t>
      </w:r>
    </w:p>
    <w:p>
      <w:pPr>
        <w:numPr>
          <w:ilvl w:val="0"/>
          <w:numId w:val="1013"/>
        </w:numPr>
        <w:pStyle w:val="Compact"/>
      </w:pPr>
      <w:r>
        <w:rPr>
          <w:bCs/>
          <w:b/>
        </w:rPr>
        <w:t xml:space="preserve">Production Phase (0.75 kg CO2e):</w:t>
      </w:r>
      <w:r>
        <w:t xml:space="preserve"> </w:t>
      </w:r>
      <w:r>
        <w:t xml:space="preserve">While lower than the use phase, it is still a notable area, primarily driven by non-renewable electricity usage in China.</w:t>
      </w:r>
    </w:p>
    <w:p>
      <w:pPr>
        <w:pStyle w:val="FirstParagraph"/>
      </w:pPr>
      <w:r>
        <w:rPr>
          <w:bCs/>
          <w:b/>
        </w:rPr>
        <w:t xml:space="preserve">Recommendations for Emission Reduction:</w:t>
      </w:r>
    </w:p>
    <w:p>
      <w:pPr>
        <w:numPr>
          <w:ilvl w:val="0"/>
          <w:numId w:val="1014"/>
        </w:numPr>
        <w:pStyle w:val="Compact"/>
      </w:pPr>
      <w:r>
        <w:rPr>
          <w:bCs/>
          <w:b/>
        </w:rPr>
        <w:t xml:space="preserve">Optimize Use Phase Energy Efficiency:</w:t>
      </w:r>
    </w:p>
    <w:p>
      <w:pPr>
        <w:numPr>
          <w:ilvl w:val="1"/>
          <w:numId w:val="1015"/>
        </w:numPr>
        <w:pStyle w:val="Compact"/>
      </w:pPr>
      <w:r>
        <w:t xml:space="preserve">Redesign djhiorgvdx for ultra-low power consumption.</w:t>
      </w:r>
    </w:p>
    <w:p>
      <w:pPr>
        <w:numPr>
          <w:ilvl w:val="1"/>
          <w:numId w:val="1015"/>
        </w:numPr>
        <w:pStyle w:val="Compact"/>
      </w:pPr>
      <w:r>
        <w:t xml:space="preserve">Explore integrating smart energy management features.</w:t>
      </w:r>
    </w:p>
    <w:p>
      <w:pPr>
        <w:numPr>
          <w:ilvl w:val="1"/>
          <w:numId w:val="1015"/>
        </w:numPr>
        <w:pStyle w:val="Compact"/>
      </w:pPr>
      <w:r>
        <w:t xml:space="preserve">Provide incentives or guidance for users to power the product with renewable energy sources.</w:t>
      </w:r>
    </w:p>
    <w:p>
      <w:pPr>
        <w:numPr>
          <w:ilvl w:val="1"/>
          <w:numId w:val="1015"/>
        </w:numPr>
        <w:pStyle w:val="Compact"/>
      </w:pPr>
      <w:r>
        <w:t xml:space="preserve">Investigate opportunities for hardware upgrades that reduce energy draw over time.</w:t>
      </w:r>
    </w:p>
    <w:p>
      <w:pPr>
        <w:numPr>
          <w:ilvl w:val="0"/>
          <w:numId w:val="1014"/>
        </w:numPr>
        <w:pStyle w:val="Compact"/>
      </w:pPr>
      <w:r>
        <w:rPr>
          <w:bCs/>
          <w:b/>
        </w:rPr>
        <w:t xml:space="preserve">Enhance Material Sustainability:</w:t>
      </w:r>
    </w:p>
    <w:p>
      <w:pPr>
        <w:numPr>
          <w:ilvl w:val="1"/>
          <w:numId w:val="1016"/>
        </w:numPr>
        <w:pStyle w:val="Compact"/>
      </w:pPr>
      <w:r>
        <w:t xml:space="preserve">Investigate opportunities for using lower-carbon materials, such as recycled aluminum or bio-based plastics with lower embodied carbon, without compromising product quality or performance.</w:t>
      </w:r>
    </w:p>
    <w:p>
      <w:pPr>
        <w:numPr>
          <w:ilvl w:val="1"/>
          <w:numId w:val="1016"/>
        </w:numPr>
        <w:pStyle w:val="Compact"/>
      </w:pPr>
      <w:r>
        <w:t xml:space="preserve">Optimize material usage to reduce overall weight and waste.</w:t>
      </w:r>
    </w:p>
    <w:p>
      <w:pPr>
        <w:numPr>
          <w:ilvl w:val="1"/>
          <w:numId w:val="1016"/>
        </w:numPr>
        <w:pStyle w:val="Compact"/>
      </w:pPr>
      <w:r>
        <w:t xml:space="preserve">Work with suppliers to reduce the carbon footprint of material production processes.</w:t>
      </w:r>
    </w:p>
    <w:p>
      <w:pPr>
        <w:numPr>
          <w:ilvl w:val="0"/>
          <w:numId w:val="1014"/>
        </w:numPr>
        <w:pStyle w:val="Compact"/>
      </w:pPr>
      <w:r>
        <w:rPr>
          <w:bCs/>
          <w:b/>
        </w:rPr>
        <w:t xml:space="preserve">Increase Renewable Energy Sourcing in Production:</w:t>
      </w:r>
    </w:p>
    <w:p>
      <w:pPr>
        <w:numPr>
          <w:ilvl w:val="1"/>
          <w:numId w:val="1017"/>
        </w:numPr>
        <w:pStyle w:val="Compact"/>
      </w:pPr>
      <w:r>
        <w:t xml:space="preserve">Explore further increasing renewable energy procurement at the China production facility beyond the current 70%.</w:t>
      </w:r>
    </w:p>
    <w:p>
      <w:pPr>
        <w:numPr>
          <w:ilvl w:val="1"/>
          <w:numId w:val="1017"/>
        </w:numPr>
        <w:pStyle w:val="Compact"/>
      </w:pPr>
      <w:r>
        <w:t xml:space="preserve">Investigate on-site renewable energy generation options.</w:t>
      </w:r>
    </w:p>
    <w:p>
      <w:pPr>
        <w:numPr>
          <w:ilvl w:val="1"/>
          <w:numId w:val="1017"/>
        </w:numPr>
        <w:pStyle w:val="Compact"/>
      </w:pPr>
      <w:r>
        <w:t xml:space="preserve">Engage with energy providers to shift towards a 100% renewable electricity supply for manufacturing.</w:t>
      </w:r>
    </w:p>
    <w:p>
      <w:pPr>
        <w:numPr>
          <w:ilvl w:val="0"/>
          <w:numId w:val="1014"/>
        </w:numPr>
        <w:pStyle w:val="Compact"/>
      </w:pPr>
      <w:r>
        <w:rPr>
          <w:bCs/>
          <w:b/>
        </w:rPr>
        <w:t xml:space="preserve">Strengthen Circular Economy Initiatives:</w:t>
      </w:r>
    </w:p>
    <w:p>
      <w:pPr>
        <w:numPr>
          <w:ilvl w:val="1"/>
          <w:numId w:val="1018"/>
        </w:numPr>
        <w:pStyle w:val="Compact"/>
      </w:pPr>
      <w:r>
        <w:t xml:space="preserve">Continue and expand the active take-back program to maximize material recovery and reuse.</w:t>
      </w:r>
    </w:p>
    <w:p>
      <w:pPr>
        <w:numPr>
          <w:ilvl w:val="1"/>
          <w:numId w:val="1018"/>
        </w:numPr>
        <w:pStyle w:val="Compact"/>
      </w:pPr>
      <w:r>
        <w:t xml:space="preserve">Explore design for disassembly to facilitate higher quality recycling and component reuse.</w:t>
      </w:r>
    </w:p>
    <w:p>
      <w:pPr>
        <w:numPr>
          <w:ilvl w:val="1"/>
          <w:numId w:val="1018"/>
        </w:numPr>
        <w:pStyle w:val="Compact"/>
      </w:pPr>
      <w:r>
        <w:t xml:space="preserve">Consider product-as-a-service models to retain ownership of materials and components, enabling multiple use cycles.</w:t>
      </w:r>
    </w:p>
    <w:p>
      <w:r>
        <w:pict>
          <v:rect style="width:0;height:1.5pt" o:hralign="center" o:hrstd="t" o:hr="t"/>
        </w:pict>
      </w:r>
    </w:p>
    <w:bookmarkEnd w:id="36"/>
    <w:bookmarkStart w:id="37" w:name="conclusion"/>
    <w:p>
      <w:pPr>
        <w:pStyle w:val="Heading2"/>
      </w:pPr>
      <w:r>
        <w:t xml:space="preserve">Conclusion</w:t>
      </w:r>
    </w:p>
    <w:p>
      <w:pPr>
        <w:pStyle w:val="FirstParagraph"/>
      </w:pPr>
      <w:r>
        <w:t xml:space="preserve">This comprehensive Product Carbon Footprint analysis for djhiorgvdx reveals a total footprint of 19.485 kg CO2e per unit. The analysis, performed by ggfmvexqph of zxnpgootqi, meticulously followed the GHG Protocol, including the 2026 LSR Standard, and achieved a robust 96.15% coverage for Scope 3 emissions. The Use Phase and Material Acquisition &amp; Pre-processing stages are identified as the most significant emission hotspots. By focusing on enhanced energy efficiency in the use phase, sustainable material sourcing, and maximizing renewable energy use in production, zxnpgootqi can significantly reduce the environmental impact of djhiorgvdx and strengthen its commitment to sustainability.</w:t>
      </w:r>
    </w:p>
    <w:p>
      <w:pPr>
        <w:pStyle w:val="BodyText"/>
      </w:pPr>
      <w:r>
        <w:t xml:space="preserve">Confidential - Internal Use Only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djhiorgvdx</dc:title>
  <dc:creator/>
  <dc:description>Detailed Product Carbon Footprint (PCF) analysis report for djhiorgvdx, following the GHG Protocol and including 2026 LSR Update and Scope 3 compliance.</dc:description>
  <dc:language>en</dc:language>
  <cp:keywords/>
  <dcterms:created xsi:type="dcterms:W3CDTF">2026-05-30T22:57:40Z</dcterms:created>
  <dcterms:modified xsi:type="dcterms:W3CDTF">2026-05-30T22:57:40Z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