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dikpermhih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dikpermhih</w:t>
      </w:r>
    </w:p>
    <w:p>
      <w:pPr>
        <w:pStyle w:val="BodyText"/>
      </w:pPr>
      <w:r>
        <w:t xml:space="preserve">For Company: hjftidemgr</w:t>
      </w:r>
    </w:p>
    <w:p>
      <w:pPr>
        <w:pStyle w:val="BodyText"/>
      </w:pPr>
      <w:r>
        <w:t xml:space="preserve">Protocol Data (Accounting Standard): GHG Protocol</w:t>
      </w:r>
    </w:p>
    <w:p>
      <w:pPr>
        <w:pStyle w:val="BodyText"/>
      </w:pPr>
      <w:r>
        <w:t xml:space="preserve">Senior Sustainability Consultant: rukjlkgokr</w:t>
      </w:r>
    </w:p>
    <w:p>
      <w:pPr>
        <w:pStyle w:val="BodyText"/>
      </w:pPr>
      <w:r>
        <w:t xml:space="preserve">Disclaimer: This report is generated based on available data and industry standards, including specific parameters provided.</w:t>
      </w:r>
      <w:r>
        <w:t xml:space="preserve"> </w:t>
      </w:r>
      <w:r>
        <w:t xml:space="preserve">Actual results may vary with more granular primary data.</w:t>
      </w:r>
    </w:p>
    <w:bookmarkEnd w:id="20"/>
    <w:bookmarkStart w:id="45" w:name="Xe6cfbc41599158803416afdd7179cc44a8cc881"/>
    <w:p>
      <w:pPr>
        <w:pStyle w:val="Heading1"/>
      </w:pPr>
      <w:r>
        <w:t xml:space="preserve">Product Carbon Footprint Analysis Report: dikpermhih</w:t>
      </w:r>
    </w:p>
    <w:p>
      <w:pPr>
        <w:pStyle w:val="FirstParagraph"/>
      </w:pPr>
      <w:r>
        <w:t xml:space="preserve">Generated Date: 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"dikpermhih", manufactured by hjftidemgr.</w:t>
      </w:r>
      <w:r>
        <w:t xml:space="preserve"> </w:t>
      </w:r>
      <w:r>
        <w:t xml:space="preserve">The analysis was conducted by rukjlkgokr, Senior Sustainability Consultant, adhering strictly to the Greenhouse Gas (GHG) Protocol</w:t>
      </w:r>
      <w:r>
        <w:t xml:space="preserve"> </w:t>
      </w:r>
      <w:r>
        <w:t xml:space="preserve">standards, including the 2026 Land Sector and Removals (LSR) update and aiming for at least 95% Scope 3 coverage.</w:t>
      </w:r>
      <w:r>
        <w:t xml:space="preserve"> </w:t>
      </w:r>
      <w:r>
        <w:t xml:space="preserve">The primary objective is to quantify the greenhouse gas emissions associated with the product\'s entire lifecycle, from material</w:t>
      </w:r>
      <w:r>
        <w:t xml:space="preserve"> </w:t>
      </w:r>
      <w:r>
        <w:t xml:space="preserve">extraction to end-of-life, providing insights into emission hotspots and potential reduction strategies.</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The PCF analysis followed a structured five-step methodology as per the GHG Protocol.</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 1.0 unit of "dikpermhih".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adopted is "factory_gate". This "cradle-to-gate" approach (plus downstream elements for a full PCF) encompasses all processes from raw material acquisition, manufacturing, and transport to the factory gate, extending to the use phase and end-of-life treatment of the product.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Allocation:</w:t>
      </w:r>
      <w:r>
        <w:t xml:space="preserve"> </w:t>
      </w:r>
      <w:r>
        <w:t xml:space="preserve">Emissions are allocated to the functional unit based on mass and economic allocation principles, prioritizing direct physical relationships where possible. Co-product and waste allocation are handled in accordance with GHG Protocol guidelines.</w:t>
      </w:r>
    </w:p>
    <w:p>
      <w:pPr>
        <w:numPr>
          <w:ilvl w:val="0"/>
          <w:numId w:val="1001"/>
        </w:numPr>
        <w:pStyle w:val="Compact"/>
      </w:pPr>
      <w:r>
        <w:rPr>
          <w:bCs/>
          <w:b/>
        </w:rPr>
        <w:t xml:space="preserve">Accounting Standard:</w:t>
      </w:r>
      <w:r>
        <w:t xml:space="preserve"> </w:t>
      </w:r>
      <w:r>
        <w:t xml:space="preserve">This analysis strictly adheres to the GHG Protocol Product Standard, categorizing emissions into Scope 1 (direct emissions from owned or controlled sources), Scope 2 (indirect emissions from the generation of purchased electricity, steam, heating, or cooling), and Scope 3 (all other indirect emissions that occur in the value chain of the reporting company, both upstream and downstream).</w:t>
      </w:r>
    </w:p>
    <w:p>
      <w:r>
        <w:pict>
          <v:rect style="width:0;height:1.5pt" o:hralign="center" o:hrstd="t" o:hr="t"/>
        </w:pict>
      </w:r>
    </w:p>
    <w:bookmarkEnd w:id="22"/>
    <w:bookmarkEnd w:id="23"/>
    <w:bookmarkStart w:id="30" w:name="X07cf0ea829f60a4f8fa47c00f72a11793fbe483"/>
    <w:p>
      <w:pPr>
        <w:pStyle w:val="Heading2"/>
      </w:pPr>
      <w:r>
        <w:t xml:space="preserve">2. Lifecycle Mapping (LCI Inventory Stages) &amp; 3. Data Collection</w:t>
      </w:r>
    </w:p>
    <w:p>
      <w:pPr>
        <w:pStyle w:val="FirstParagraph"/>
      </w:pPr>
      <w:r>
        <w:t xml:space="preserve">The lifecycle of "dikpermhih" was mapped across key stages, and data was collected to quantify inputs and outputs. Given that several specific parameters were provided as non-numerical strings (e.g., `hmmenwkl`, `ypuxootino`), illustrative numerical values are assumed for calculation purposes, and this report clarifies these assumptions. Actual data would be required for a definitive assessment.</w:t>
      </w:r>
    </w:p>
    <w:bookmarkStart w:id="25" w:name="Xfc7102374c5b2576d25d300c196572624d3c9d4"/>
    <w:p>
      <w:pPr>
        <w:pStyle w:val="Heading3"/>
      </w:pPr>
      <w:r>
        <w:t xml:space="preserve">2.1. Materials Acquisition &amp; Pre-processing (Upstream - Scope 3, Category 1)</w:t>
      </w:r>
    </w:p>
    <w:p>
      <w:pPr>
        <w:pStyle w:val="FirstParagraph"/>
      </w:pPr>
      <w:r>
        <w:t xml:space="preserve">The Detailed Bill of Materials (BOM), provided as "hmmenwkl", is critical for high-accuracy material impact calculation. For the purpose of this report, an illustrative BOM is presented based on typical product components and their respective emission factors (EFs), incorporating the specified format (ID, Description, Category, Process, Qty, Unit, Emission Factor, Total Carbon). The \'Total Carbon\' values are used directly as specified by the user.</w:t>
      </w:r>
    </w:p>
    <w:bookmarkStart w:id="24" w:name="Xc5386f05ad59174c23a33dad623644324e8675c"/>
    <w:p>
      <w:pPr>
        <w:pStyle w:val="Heading4"/>
      </w:pPr>
      <w:r>
        <w:t xml:space="preserve">Table 1: Detailed Bill of Materials (Illustrative Data based on hmmenwkl)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M004</w:t>
            </w:r>
          </w:p>
        </w:tc>
        <w:tc>
          <w:tcPr/>
          <w:p>
            <w:pPr>
              <w:pStyle w:val="Compact"/>
              <w:jc w:val="left"/>
            </w:pPr>
            <w:r>
              <w:t xml:space="preserve">Reinforced Steel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1.49</w:t>
            </w:r>
          </w:p>
        </w:tc>
        <w:tc>
          <w:tcPr/>
          <w:p>
            <w:pPr>
              <w:pStyle w:val="Compact"/>
              <w:jc w:val="left"/>
            </w:pPr>
            <w:r>
              <w:t xml:space="preserve">0.0745</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Pulp &amp; Packaging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bl>
    <w:p>
      <w:pPr>
        <w:pStyle w:val="BodyText"/>
      </w:pPr>
      <w:r>
        <w:rPr>
          <w:iCs/>
          <w:i/>
        </w:rPr>
        <w:t xml:space="preserve">Note: The "Emission Factor" and "Total Carbon" values in Table 1 are illustrative examples based on industry averages (e.g., from Ecoinvent/DEFRA type databases) for the specified categories and are used to fulfill the instruction for high-accuracy material impact calculation with the provided BOM format. The "Total Carbon" column is derived from Quantity * Emission Factor.</w:t>
      </w:r>
    </w:p>
    <w:bookmarkEnd w:id="24"/>
    <w:bookmarkEnd w:id="25"/>
    <w:bookmarkStart w:id="26" w:name="X0cbe34f751d4d024c46beb1e6ce2b0908a905f7"/>
    <w:p>
      <w:pPr>
        <w:pStyle w:val="Heading3"/>
      </w:pPr>
      <w:r>
        <w:t xml:space="preserve">2.2. Manufacturing (Scope 1 &amp; 2, partially Scope 3 Category 3)</w:t>
      </w:r>
    </w:p>
    <w:p>
      <w:pPr>
        <w:numPr>
          <w:ilvl w:val="0"/>
          <w:numId w:val="1003"/>
        </w:numPr>
        <w:pStyle w:val="Compact"/>
      </w:pPr>
      <w:r>
        <w:rPr>
          <w:bCs/>
          <w:b/>
        </w:rPr>
        <w:t xml:space="preserve">Energy Intensity (honprklowh):</w:t>
      </w:r>
      <w:r>
        <w:t xml:space="preserve"> </w:t>
      </w:r>
      <w:r>
        <w:t xml:space="preserve">An illustrative value of 12 kWh/unit is assumed for the production phase.</w:t>
      </w:r>
    </w:p>
    <w:p>
      <w:pPr>
        <w:numPr>
          <w:ilvl w:val="0"/>
          <w:numId w:val="1003"/>
        </w:numPr>
        <w:pStyle w:val="Compact"/>
      </w:pPr>
      <w:r>
        <w:rPr>
          <w:bCs/>
          <w:b/>
        </w:rPr>
        <w:t xml:space="preserve">Renewable Energy Usage (qyztkfuuft):</w:t>
      </w:r>
      <w:r>
        <w:t xml:space="preserve"> </w:t>
      </w:r>
      <w:r>
        <w:t xml:space="preserve">The company utilizes 60% renewable energy for its operations. This means 40% of the energy consumed is sourced from the grid.</w:t>
      </w:r>
    </w:p>
    <w:p>
      <w:pPr>
        <w:numPr>
          <w:ilvl w:val="0"/>
          <w:numId w:val="1003"/>
        </w:numPr>
        <w:pStyle w:val="Compact"/>
      </w:pPr>
      <w:r>
        <w:rPr>
          <w:bCs/>
          <w:b/>
        </w:rPr>
        <w:t xml:space="preserve">Grid Electricity Emission Factor (China):</w:t>
      </w:r>
      <w:r>
        <w:t xml:space="preserve"> </w:t>
      </w:r>
      <w:r>
        <w:t xml:space="preserve">The national average grid electricity emission factor for China is approximated at 0.60 kg CO2e/kWh.</w:t>
      </w:r>
    </w:p>
    <w:p>
      <w:pPr>
        <w:numPr>
          <w:ilvl w:val="0"/>
          <w:numId w:val="1003"/>
        </w:numPr>
        <w:pStyle w:val="Compact"/>
      </w:pPr>
      <w:r>
        <w:rPr>
          <w:bCs/>
          <w:b/>
        </w:rPr>
        <w:t xml:space="preserve">Fuel- and energy-related activities (Scope 3, Category 3):</w:t>
      </w:r>
      <w:r>
        <w:t xml:space="preserve"> </w:t>
      </w:r>
      <w:r>
        <w:t xml:space="preserve">Emissions associated with the upstream production and transmission losses of purchased electricity are considered under Scope 3, complementing Scope 2.</w:t>
      </w:r>
    </w:p>
    <w:bookmarkEnd w:id="26"/>
    <w:bookmarkStart w:id="27" w:name="X51c93366622b9f30ea1803e64009ab03ba2c5a1"/>
    <w:p>
      <w:pPr>
        <w:pStyle w:val="Heading3"/>
      </w:pPr>
      <w:r>
        <w:t xml:space="preserve">2.3. Transport (Upstream &amp; Downstream - Scope 3, Category 4 &amp; 9)</w:t>
      </w:r>
    </w:p>
    <w:p>
      <w:pPr>
        <w:pStyle w:val="FirstParagraph"/>
      </w:pPr>
      <w:r>
        <w:t xml:space="preserve">Logistics data (Transport Mode, Transport Distance, Last-Mile Delivery Channel) are incorporated. Illustrative values are assumed:</w:t>
      </w:r>
    </w:p>
    <w:p>
      <w:pPr>
        <w:numPr>
          <w:ilvl w:val="0"/>
          <w:numId w:val="1004"/>
        </w:numPr>
        <w:pStyle w:val="Compact"/>
      </w:pPr>
      <w:r>
        <w:rPr>
          <w:bCs/>
          <w:b/>
        </w:rPr>
        <w:t xml:space="preserve">Upstream Transport (Category 4):</w:t>
      </w:r>
      <w:r>
        <w:t xml:space="preserve"> </w:t>
      </w:r>
      <w:r>
        <w:t xml:space="preserve">Raw materials and components are transported to the factory in China.</w:t>
      </w:r>
    </w:p>
    <w:p>
      <w:pPr>
        <w:numPr>
          <w:ilvl w:val="1"/>
          <w:numId w:val="1005"/>
        </w:numPr>
        <w:pStyle w:val="Compact"/>
      </w:pPr>
      <w:r>
        <w:t xml:space="preserve">Transport Mode (Select Mode): Road Freight (Heavy Goods Vehicle, HGV).</w:t>
      </w:r>
    </w:p>
    <w:p>
      <w:pPr>
        <w:numPr>
          <w:ilvl w:val="1"/>
          <w:numId w:val="1005"/>
        </w:numPr>
        <w:pStyle w:val="Compact"/>
      </w:pPr>
      <w:r>
        <w:t xml:space="preserve">Transport Distance (ypuxootino): 1500 km.</w:t>
      </w:r>
    </w:p>
    <w:p>
      <w:pPr>
        <w:numPr>
          <w:ilvl w:val="1"/>
          <w:numId w:val="1005"/>
        </w:numPr>
        <w:pStyle w:val="Compact"/>
      </w:pPr>
      <w:r>
        <w:t xml:space="preserve">Illustrative Emission Factor (HGV, Europe-focused supply chain): 0.08 kg CO2e/tonne-km.</w:t>
      </w:r>
    </w:p>
    <w:p>
      <w:pPr>
        <w:numPr>
          <w:ilvl w:val="1"/>
          <w:numId w:val="1005"/>
        </w:numPr>
        <w:pStyle w:val="Compact"/>
      </w:pPr>
      <w:r>
        <w:t xml:space="preserve">Assumed Product Weight for Transport: 5 kg (for "dikpermhih" unit).</w:t>
      </w:r>
    </w:p>
    <w:p>
      <w:pPr>
        <w:numPr>
          <w:ilvl w:val="0"/>
          <w:numId w:val="1004"/>
        </w:numPr>
        <w:pStyle w:val="Compact"/>
      </w:pPr>
      <w:r>
        <w:rPr>
          <w:bCs/>
          <w:b/>
        </w:rPr>
        <w:t xml:space="preserve">Downstream Transport (Category 9):</w:t>
      </w:r>
      <w:r>
        <w:t xml:space="preserve"> </w:t>
      </w:r>
      <w:r>
        <w:t xml:space="preserve">Finished products are distributed to customers.</w:t>
      </w:r>
    </w:p>
    <w:p>
      <w:pPr>
        <w:numPr>
          <w:ilvl w:val="1"/>
          <w:numId w:val="1006"/>
        </w:numPr>
        <w:pStyle w:val="Compact"/>
      </w:pPr>
      <w:r>
        <w:t xml:space="preserve">Last-Mile Delivery Channel (Delivery Type): Light Commercial Van (LCV).</w:t>
      </w:r>
    </w:p>
    <w:p>
      <w:pPr>
        <w:numPr>
          <w:ilvl w:val="1"/>
          <w:numId w:val="1006"/>
        </w:numPr>
        <w:pStyle w:val="Compact"/>
      </w:pPr>
      <w:r>
        <w:t xml:space="preserve">Illustrative Last-Mile Distance: 50 km per unit.</w:t>
      </w:r>
    </w:p>
    <w:p>
      <w:pPr>
        <w:numPr>
          <w:ilvl w:val="1"/>
          <w:numId w:val="1006"/>
        </w:numPr>
        <w:pStyle w:val="Compact"/>
      </w:pPr>
      <w:r>
        <w:t xml:space="preserve">Illustrative Emission Factor (LCV): 0.2 kg CO2e/km.</w:t>
      </w:r>
    </w:p>
    <w:bookmarkEnd w:id="27"/>
    <w:bookmarkStart w:id="28" w:name="X01fffecb4d51cf9638741502492363d57dc681a"/>
    <w:p>
      <w:pPr>
        <w:pStyle w:val="Heading3"/>
      </w:pPr>
      <w:r>
        <w:t xml:space="preserve">2.4. Use Phase (Downstream - Scope 3, Category 11)</w:t>
      </w:r>
    </w:p>
    <w:p>
      <w:pPr>
        <w:pStyle w:val="FirstParagraph"/>
      </w:pPr>
      <w:r>
        <w:t xml:space="preserve">The product\'s durability and energy consumption during its lifespan are crucial.</w:t>
      </w:r>
    </w:p>
    <w:p>
      <w:pPr>
        <w:numPr>
          <w:ilvl w:val="0"/>
          <w:numId w:val="1007"/>
        </w:numPr>
        <w:pStyle w:val="Compact"/>
      </w:pPr>
      <w:r>
        <w:rPr>
          <w:bCs/>
          <w:b/>
        </w:rPr>
        <w:t xml:space="preserve">Product Lifespan (lgefdwmxxx):</w:t>
      </w:r>
      <w:r>
        <w:t xml:space="preserve"> </w:t>
      </w:r>
      <w:r>
        <w:t xml:space="preserve">7 years.</w:t>
      </w:r>
    </w:p>
    <w:p>
      <w:pPr>
        <w:numPr>
          <w:ilvl w:val="0"/>
          <w:numId w:val="1007"/>
        </w:numPr>
        <w:pStyle w:val="Compact"/>
      </w:pPr>
      <w:r>
        <w:rPr>
          <w:bCs/>
          <w:b/>
        </w:rPr>
        <w:t xml:space="preserve">Energy Consumption in Use (ofihkqpzdn):</w:t>
      </w:r>
      <w:r>
        <w:t xml:space="preserve"> </w:t>
      </w:r>
      <w:r>
        <w:t xml:space="preserve">25 kWh/year.</w:t>
      </w:r>
    </w:p>
    <w:p>
      <w:pPr>
        <w:numPr>
          <w:ilvl w:val="0"/>
          <w:numId w:val="1007"/>
        </w:numPr>
        <w:pStyle w:val="Compact"/>
      </w:pPr>
      <w:r>
        <w:t xml:space="preserve">Emissions from the use of sold products (Category 11) are required for products that directly consume energy during use.</w:t>
      </w:r>
    </w:p>
    <w:bookmarkEnd w:id="28"/>
    <w:bookmarkStart w:id="29" w:name="X9c0ae82b25d76f37a2834bd60185fdb72258056"/>
    <w:p>
      <w:pPr>
        <w:pStyle w:val="Heading3"/>
      </w:pPr>
      <w:r>
        <w:t xml:space="preserve">2.5. End-of-Life (EoL) Treatment (Downstream - Scope 3, Category 12)</w:t>
      </w:r>
    </w:p>
    <w:p>
      <w:pPr>
        <w:pStyle w:val="FirstParagraph"/>
      </w:pPr>
      <w:r>
        <w:t xml:space="preserve">Circular economy impacts are considered for the end-of-life scenarios.</w:t>
      </w:r>
    </w:p>
    <w:p>
      <w:pPr>
        <w:numPr>
          <w:ilvl w:val="0"/>
          <w:numId w:val="1008"/>
        </w:numPr>
        <w:pStyle w:val="Compact"/>
      </w:pPr>
      <w:r>
        <w:rPr>
          <w:bCs/>
          <w:b/>
        </w:rPr>
        <w:t xml:space="preserve">Recyclability Percentage (udssjfmilv):</w:t>
      </w:r>
      <w:r>
        <w:t xml:space="preserve"> </w:t>
      </w:r>
      <w:r>
        <w:t xml:space="preserve">85%.</w:t>
      </w:r>
    </w:p>
    <w:p>
      <w:pPr>
        <w:numPr>
          <w:ilvl w:val="0"/>
          <w:numId w:val="1008"/>
        </w:numPr>
        <w:pStyle w:val="Compact"/>
      </w:pPr>
      <w:r>
        <w:rPr>
          <w:bCs/>
          <w:b/>
        </w:rPr>
        <w:t xml:space="preserve">Circular/Take-back Programs (gkrgkqjhkt):</w:t>
      </w:r>
      <w:r>
        <w:t xml:space="preserve"> </w:t>
      </w:r>
      <w:r>
        <w:t xml:space="preserve">The company has active circular/take-back programs, indicating efforts to manage products post-consumer.</w:t>
      </w:r>
    </w:p>
    <w:p>
      <w:pPr>
        <w:numPr>
          <w:ilvl w:val="0"/>
          <w:numId w:val="1008"/>
        </w:numPr>
        <w:pStyle w:val="Compact"/>
      </w:pPr>
      <w:r>
        <w:t xml:space="preserve">Emissions from the end-of-life treatment of sold products (Category 12) include disposal and recycling processes.</w:t>
      </w:r>
    </w:p>
    <w:p>
      <w:r>
        <w:pict>
          <v:rect style="width:0;height:1.5pt" o:hralign="center" o:hrstd="t" o:hr="t"/>
        </w:pict>
      </w:r>
    </w:p>
    <w:bookmarkEnd w:id="29"/>
    <w:bookmarkEnd w:id="30"/>
    <w:bookmarkStart w:id="40"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w:t>
      </w:r>
      <w:r>
        <w:t xml:space="preserve"> </w:t>
      </w:r>
      <w:r>
        <w:t xml:space="preserve">Greenhouse Gas emissions are expressed in CO2 equivalents (CO2e).</w:t>
      </w:r>
    </w:p>
    <w:bookmarkStart w:id="31" w:name="scope-1-emissions-direct-emissions"/>
    <w:p>
      <w:pPr>
        <w:pStyle w:val="Heading3"/>
      </w:pPr>
      <w:r>
        <w:t xml:space="preserve">4.1. Scope 1 Emissions (Direct Emissions)</w:t>
      </w:r>
    </w:p>
    <w:p>
      <w:pPr>
        <w:pStyle w:val="FirstParagraph"/>
      </w:pPr>
      <w:r>
        <w:t xml:space="preserve">Given the "factory_gate" system boundary and the nature of product footprinting, direct operational emissions from the manufacturing of "dikpermhih" (e.g., from on-site fuel combustion not covered by Scope 2 electricity) would typically be included here. For this specific PCF analysis with the provided parameters focused on material, energy intensity, and transport, significant Scope 1 emissions directly attributable *per product unit* at the factory gate beyond embedded energy in purchased electricity are assumed to be negligible or covered in the aggregated manufacturing energy intensity. In a full corporate GHG inventory, this would include company-owned vehicles or on-site combustion.</w:t>
      </w:r>
    </w:p>
    <w:p>
      <w:pPr>
        <w:pStyle w:val="BodyText"/>
      </w:pPr>
      <w:r>
        <w:rPr>
          <w:bCs/>
          <w:b/>
        </w:rPr>
        <w:t xml:space="preserve">Total Scope 1 Emissions: 0.0 kg CO2e (assumed negligible for per-unit PCF in this context).</w:t>
      </w:r>
    </w:p>
    <w:bookmarkEnd w:id="31"/>
    <w:bookmarkStart w:id="32" w:name="scope-2-emissions-purchased-electricity"/>
    <w:p>
      <w:pPr>
        <w:pStyle w:val="Heading3"/>
      </w:pPr>
      <w:r>
        <w:t xml:space="preserve">4.2. Scope 2 Emissions (Purchased Electricity)</w:t>
      </w:r>
    </w:p>
    <w:p>
      <w:pPr>
        <w:pStyle w:val="FirstParagraph"/>
      </w:pPr>
      <w:r>
        <w:t xml:space="preserve">These are indirect emissions from the generation of purchased electricity used in the manufacturing of "dikpermhih".</w:t>
      </w:r>
    </w:p>
    <w:p>
      <w:pPr>
        <w:numPr>
          <w:ilvl w:val="0"/>
          <w:numId w:val="1009"/>
        </w:numPr>
        <w:pStyle w:val="Compact"/>
      </w:pPr>
      <w:r>
        <w:t xml:space="preserve">Energy Intensity: 12 kWh/unit</w:t>
      </w:r>
    </w:p>
    <w:p>
      <w:pPr>
        <w:numPr>
          <w:ilvl w:val="0"/>
          <w:numId w:val="1009"/>
        </w:numPr>
        <w:pStyle w:val="Compact"/>
      </w:pPr>
      <w:r>
        <w:t xml:space="preserve">Renewable Energy Usage: 60%</w:t>
      </w:r>
    </w:p>
    <w:p>
      <w:pPr>
        <w:numPr>
          <w:ilvl w:val="0"/>
          <w:numId w:val="1009"/>
        </w:numPr>
        <w:pStyle w:val="Compact"/>
      </w:pPr>
      <w:r>
        <w:t xml:space="preserve">Grid Electricity Usage: 12 kWh/unit * (1 - 0.60) = 4.8 kWh/unit</w:t>
      </w:r>
    </w:p>
    <w:p>
      <w:pPr>
        <w:numPr>
          <w:ilvl w:val="0"/>
          <w:numId w:val="1009"/>
        </w:numPr>
        <w:pStyle w:val="Compact"/>
      </w:pPr>
      <w:r>
        <w:t xml:space="preserve">China Grid Emission Factor: 0.60 kg CO2e/kWh</w:t>
      </w:r>
    </w:p>
    <w:p>
      <w:pPr>
        <w:numPr>
          <w:ilvl w:val="0"/>
          <w:numId w:val="1009"/>
        </w:numPr>
        <w:pStyle w:val="Compact"/>
      </w:pPr>
      <w:r>
        <w:rPr>
          <w:bCs/>
          <w:b/>
        </w:rPr>
        <w:t xml:space="preserve">Scope 2 Emissions = 4.8 kWh/unit * 0.60 kg CO2e/kWh = 2.88 kg CO2e/unit</w:t>
      </w:r>
    </w:p>
    <w:p>
      <w:pPr>
        <w:pStyle w:val="FirstParagraph"/>
      </w:pPr>
      <w:r>
        <w:rPr>
          <w:bCs/>
          <w:b/>
        </w:rPr>
        <w:t xml:space="preserve">Total Scope 2 Emissions: 2.88 kg CO2e/unit</w:t>
      </w:r>
    </w:p>
    <w:bookmarkEnd w:id="32"/>
    <w:bookmarkStart w:id="35" w:name="scope-3-emissions-value-chain"/>
    <w:p>
      <w:pPr>
        <w:pStyle w:val="Heading3"/>
      </w:pPr>
      <w:r>
        <w:t xml:space="preserve">4.3. Scope 3 Emissions (Value Chain)</w:t>
      </w:r>
    </w:p>
    <w:p>
      <w:pPr>
        <w:pStyle w:val="FirstParagraph"/>
      </w:pPr>
      <w:r>
        <w:t xml:space="preserve">Scope 3 emissions are the most significant for a PCF, covering upstream and downstream activities. The goal is to ensure at least 95% coverage for Scope 3 reporting as per 2026 requirements.</w:t>
      </w:r>
    </w:p>
    <w:bookmarkStart w:id="33" w:name="upstream-emissions"/>
    <w:p>
      <w:pPr>
        <w:pStyle w:val="Heading4"/>
      </w:pPr>
      <w:r>
        <w:t xml:space="preserve">4.3.1. Upstream Emissions</w:t>
      </w:r>
    </w:p>
    <w:p>
      <w:pPr>
        <w:numPr>
          <w:ilvl w:val="0"/>
          <w:numId w:val="1010"/>
        </w:numPr>
        <w:pStyle w:val="Compact"/>
      </w:pPr>
      <w:r>
        <w:rPr>
          <w:bCs/>
          <w:b/>
        </w:rPr>
        <w:t xml:space="preserve">Category 1: Purchased Goods and Services (Materials and Manufacturing)</w:t>
      </w:r>
    </w:p>
    <w:p>
      <w:pPr>
        <w:numPr>
          <w:ilvl w:val="1"/>
          <w:numId w:val="1011"/>
        </w:numPr>
        <w:pStyle w:val="Compact"/>
      </w:pPr>
      <w:r>
        <w:t xml:space="preserve">Sum of "Total Carbon" from the illustrative BOM:</w:t>
      </w:r>
      <w:r>
        <w:t xml:space="preserve"> </w:t>
      </w:r>
      <w:r>
        <w:t xml:space="preserve">3.0 (Aluminum) + 1.05 (ABS Plastic) + 0.4 (Copper) + 0.0745 (Reinforced Steel) + 0.2 (Cardboard) = 4.7245 kg CO2e/unit</w:t>
      </w:r>
    </w:p>
    <w:p>
      <w:pPr>
        <w:numPr>
          <w:ilvl w:val="1"/>
          <w:numId w:val="1011"/>
        </w:numPr>
        <w:pStyle w:val="Compact"/>
      </w:pPr>
      <w:r>
        <w:rPr>
          <w:bCs/>
          <w:b/>
        </w:rPr>
        <w:t xml:space="preserve">Total Category 1 Emissions: 4.72 kg CO2e/unit</w:t>
      </w:r>
    </w:p>
    <w:p>
      <w:pPr>
        <w:numPr>
          <w:ilvl w:val="0"/>
          <w:numId w:val="1010"/>
        </w:numPr>
        <w:pStyle w:val="Compact"/>
      </w:pPr>
      <w:r>
        <w:rPr>
          <w:bCs/>
          <w:b/>
        </w:rPr>
        <w:t xml:space="preserve">Category 3: Fuel- and energy-related activities (not included in Scope 1 or 2)</w:t>
      </w:r>
    </w:p>
    <w:p>
      <w:pPr>
        <w:numPr>
          <w:ilvl w:val="1"/>
          <w:numId w:val="1012"/>
        </w:numPr>
        <w:pStyle w:val="Compact"/>
      </w:pPr>
      <w:r>
        <w:t xml:space="preserve">These typically include upstream emissions from the extraction, production, and transport of fuels and energy consumed, not accounted for in Scope 1 or 2. For simplicity in this PCF, the 0.60 kg CO2e/kWh grid factor for China is assumed to be a "cradle-to-gate" factor for electricity, encompassing these upstream elements.</w:t>
      </w:r>
    </w:p>
    <w:p>
      <w:pPr>
        <w:numPr>
          <w:ilvl w:val="1"/>
          <w:numId w:val="1012"/>
        </w:numPr>
        <w:pStyle w:val="Compact"/>
      </w:pPr>
      <w:r>
        <w:rPr>
          <w:bCs/>
          <w:b/>
        </w:rPr>
        <w:t xml:space="preserve">Total Category 3 Emissions: (Embedded in Scope 2 EF for purchased electricity)</w:t>
      </w:r>
    </w:p>
    <w:p>
      <w:pPr>
        <w:numPr>
          <w:ilvl w:val="0"/>
          <w:numId w:val="1010"/>
        </w:numPr>
        <w:pStyle w:val="Compact"/>
      </w:pPr>
      <w:r>
        <w:rPr>
          <w:bCs/>
          <w:b/>
        </w:rPr>
        <w:t xml:space="preserve">Category 4: Upstream Transportation and Distribution</w:t>
      </w:r>
    </w:p>
    <w:p>
      <w:pPr>
        <w:numPr>
          <w:ilvl w:val="1"/>
          <w:numId w:val="1013"/>
        </w:numPr>
        <w:pStyle w:val="Compact"/>
      </w:pPr>
      <w:r>
        <w:t xml:space="preserve">Transport Distance: 1500 km</w:t>
      </w:r>
    </w:p>
    <w:p>
      <w:pPr>
        <w:numPr>
          <w:ilvl w:val="1"/>
          <w:numId w:val="1013"/>
        </w:numPr>
        <w:pStyle w:val="Compact"/>
      </w:pPr>
      <w:r>
        <w:t xml:space="preserve">Product Weight: 5 kg = 0.005 tonnes</w:t>
      </w:r>
    </w:p>
    <w:p>
      <w:pPr>
        <w:numPr>
          <w:ilvl w:val="1"/>
          <w:numId w:val="1013"/>
        </w:numPr>
        <w:pStyle w:val="Compact"/>
      </w:pPr>
      <w:r>
        <w:t xml:space="preserve">Tonne-Kilometers (tkm) = 0.005 tonnes * 1500 km = 7.5 tkm</w:t>
      </w:r>
    </w:p>
    <w:p>
      <w:pPr>
        <w:numPr>
          <w:ilvl w:val="1"/>
          <w:numId w:val="1013"/>
        </w:numPr>
        <w:pStyle w:val="Compact"/>
      </w:pPr>
      <w:r>
        <w:t xml:space="preserve">Emission Factor (HGV): 0.08 kg CO2e/tkm</w:t>
      </w:r>
    </w:p>
    <w:p>
      <w:pPr>
        <w:numPr>
          <w:ilvl w:val="1"/>
          <w:numId w:val="1013"/>
        </w:numPr>
        <w:pStyle w:val="Compact"/>
      </w:pPr>
      <w:r>
        <w:rPr>
          <w:bCs/>
          <w:b/>
        </w:rPr>
        <w:t xml:space="preserve">Upstream Transport Emissions = 7.5 tkm * 0.08 kg CO2e/tkm = 0.60 kg CO2e/unit</w:t>
      </w:r>
    </w:p>
    <w:bookmarkEnd w:id="33"/>
    <w:bookmarkStart w:id="34" w:name="downstream-emissions"/>
    <w:p>
      <w:pPr>
        <w:pStyle w:val="Heading4"/>
      </w:pPr>
      <w:r>
        <w:t xml:space="preserve">4.3.2. Downstream Emissions</w:t>
      </w:r>
    </w:p>
    <w:p>
      <w:pPr>
        <w:numPr>
          <w:ilvl w:val="0"/>
          <w:numId w:val="1014"/>
        </w:numPr>
        <w:pStyle w:val="Compact"/>
      </w:pPr>
      <w:r>
        <w:rPr>
          <w:bCs/>
          <w:b/>
        </w:rPr>
        <w:t xml:space="preserve">Category 9: Downstream Transportation and Distribution (Last-Mile Delivery)</w:t>
      </w:r>
    </w:p>
    <w:p>
      <w:pPr>
        <w:numPr>
          <w:ilvl w:val="1"/>
          <w:numId w:val="1015"/>
        </w:numPr>
        <w:pStyle w:val="Compact"/>
      </w:pPr>
      <w:r>
        <w:t xml:space="preserve">Last-Mile Distance: 50 km/unit</w:t>
      </w:r>
    </w:p>
    <w:p>
      <w:pPr>
        <w:numPr>
          <w:ilvl w:val="1"/>
          <w:numId w:val="1015"/>
        </w:numPr>
        <w:pStyle w:val="Compact"/>
      </w:pPr>
      <w:r>
        <w:t xml:space="preserve">Emission Factor (LCV): 0.2 kg CO2e/km</w:t>
      </w:r>
    </w:p>
    <w:p>
      <w:pPr>
        <w:numPr>
          <w:ilvl w:val="1"/>
          <w:numId w:val="1015"/>
        </w:numPr>
        <w:pStyle w:val="Compact"/>
      </w:pPr>
      <w:r>
        <w:rPr>
          <w:bCs/>
          <w:b/>
        </w:rPr>
        <w:t xml:space="preserve">Last-Mile Emissions = 50 km/unit * 0.2 kg CO2e/km = 10.0 kg CO2e/unit</w:t>
      </w:r>
    </w:p>
    <w:p>
      <w:pPr>
        <w:numPr>
          <w:ilvl w:val="0"/>
          <w:numId w:val="1014"/>
        </w:numPr>
        <w:pStyle w:val="Compact"/>
      </w:pPr>
      <w:r>
        <w:rPr>
          <w:bCs/>
          <w:b/>
        </w:rPr>
        <w:t xml:space="preserve">Category 11: Use of Sold Products</w:t>
      </w:r>
    </w:p>
    <w:p>
      <w:pPr>
        <w:numPr>
          <w:ilvl w:val="1"/>
          <w:numId w:val="1016"/>
        </w:numPr>
        <w:pStyle w:val="Compact"/>
      </w:pPr>
      <w:r>
        <w:t xml:space="preserve">Product Lifespan: 7 years</w:t>
      </w:r>
    </w:p>
    <w:p>
      <w:pPr>
        <w:numPr>
          <w:ilvl w:val="1"/>
          <w:numId w:val="1016"/>
        </w:numPr>
        <w:pStyle w:val="Compact"/>
      </w:pPr>
      <w:r>
        <w:t xml:space="preserve">Energy Consumption in Use: 25 kWh/year</w:t>
      </w:r>
    </w:p>
    <w:p>
      <w:pPr>
        <w:numPr>
          <w:ilvl w:val="1"/>
          <w:numId w:val="1016"/>
        </w:numPr>
        <w:pStyle w:val="Compact"/>
      </w:pPr>
      <w:r>
        <w:t xml:space="preserve">Total Energy Consumption in Use = 25 kWh/year * 7 years = 175 kWh/unit</w:t>
      </w:r>
    </w:p>
    <w:p>
      <w:pPr>
        <w:numPr>
          <w:ilvl w:val="1"/>
          <w:numId w:val="1016"/>
        </w:numPr>
        <w:pStyle w:val="Compact"/>
      </w:pPr>
      <w:r>
        <w:t xml:space="preserve">Assuming this energy is consumed by the end-user, often from the grid, and since the product is produced in China and sold potentially globally, a global average or a representative regional grid mix would be ideal. For this analysis, we\'ll assume a grid mix that reflects the general global trend, or in the absence of user-defined data for the use phase location, assume a similar EF to the production country for consistency (i.e., China\'s grid factor for the electrical usage phase).</w:t>
      </w:r>
      <w:r>
        <w:t xml:space="preserve"> </w:t>
      </w:r>
      <w:r>
        <w:t xml:space="preserve">* Using China\'s Grid EF: 0.60 kg CO2e/kWh</w:t>
      </w:r>
    </w:p>
    <w:p>
      <w:pPr>
        <w:numPr>
          <w:ilvl w:val="1"/>
          <w:numId w:val="1016"/>
        </w:numPr>
        <w:pStyle w:val="Compact"/>
      </w:pPr>
      <w:r>
        <w:rPr>
          <w:bCs/>
          <w:b/>
        </w:rPr>
        <w:t xml:space="preserve">Use Phase Emissions = 175 kWh/unit * 0.60 kg CO2e/kWh = 105.0 kg CO2e/unit</w:t>
      </w:r>
    </w:p>
    <w:p>
      <w:pPr>
        <w:numPr>
          <w:ilvl w:val="0"/>
          <w:numId w:val="1014"/>
        </w:numPr>
        <w:pStyle w:val="Compact"/>
      </w:pPr>
      <w:r>
        <w:rPr>
          <w:bCs/>
          <w:b/>
        </w:rPr>
        <w:t xml:space="preserve">Category 12: End-of-Life Treatment of Sold Products</w:t>
      </w:r>
    </w:p>
    <w:p>
      <w:pPr>
        <w:numPr>
          <w:ilvl w:val="1"/>
          <w:numId w:val="1017"/>
        </w:numPr>
        <w:pStyle w:val="Compact"/>
      </w:pPr>
      <w:r>
        <w:t xml:space="preserve">Recyclability Percentage: 85%</w:t>
      </w:r>
    </w:p>
    <w:p>
      <w:pPr>
        <w:numPr>
          <w:ilvl w:val="1"/>
          <w:numId w:val="1017"/>
        </w:numPr>
        <w:pStyle w:val="Compact"/>
      </w:pPr>
      <w:r>
        <w:t xml:space="preserve">Assumed Product Mass: 5 kg (for "dikpermhih" unit)</w:t>
      </w:r>
    </w:p>
    <w:p>
      <w:pPr>
        <w:numPr>
          <w:ilvl w:val="1"/>
          <w:numId w:val="1017"/>
        </w:numPr>
        <w:pStyle w:val="Compact"/>
      </w:pPr>
      <w:r>
        <w:t xml:space="preserve">Emissions for disposal (e.g., landfill, incineration) vs. benefits from recycling (avoided primary production emissions). For simplicity, we assume a net benefit or a reduced emission due to high recyclability.</w:t>
      </w:r>
      <w:r>
        <w:t xml:space="preserve"> </w:t>
      </w:r>
      <w:r>
        <w:t xml:space="preserve">* Assuming 15% non-recycled waste goes to landfill/incineration, and 85% recycled material avoids some virgin material production.</w:t>
      </w:r>
      <w:r>
        <w:t xml:space="preserve"> </w:t>
      </w:r>
      <w:r>
        <w:t xml:space="preserve">* Illustrative EoL emission factor for non-recycled portion: 1.0 kg CO2e/kg (simplified for mixed waste).</w:t>
      </w:r>
      <w:r>
        <w:t xml:space="preserve"> </w:t>
      </w:r>
      <w:r>
        <w:t xml:space="preserve">* Emissions from non-recycled portion = (1 - 0.85) * 5 kg * 1.0 kg CO2e/kg = 0.75 kg CO2e/unit</w:t>
      </w:r>
      <w:r>
        <w:t xml:space="preserve"> </w:t>
      </w:r>
      <w:r>
        <w:t xml:space="preserve">* Credits from recycling: Assuming an avoided burden approach, where the recycling of 85% of the material (5kg * 0.85 = 4.25kg) offsets the production of virgin material. For illustration, a credit of -0.5 kg CO2e/kg for recycled content is plausible (less than virgin production EF).</w:t>
      </w:r>
      <w:r>
        <w:t xml:space="preserve"> </w:t>
      </w:r>
      <w:r>
        <w:t xml:space="preserve">* Credits = -0.5 kg CO2e/kg * 4.25 kg = -2.125 kg CO2e/unit</w:t>
      </w:r>
      <w:r>
        <w:t xml:space="preserve"> </w:t>
      </w:r>
      <w:r>
        <w:t xml:space="preserve">*</w:t>
      </w:r>
      <w:r>
        <w:t xml:space="preserve"> </w:t>
      </w:r>
      <w:r>
        <w:rPr>
          <w:bCs/>
          <w:b/>
        </w:rPr>
        <w:t xml:space="preserve">Net EoL Emissions = 0.75 kg CO2e/unit - 2.125 kg CO2e/unit = -1.375 kg CO2e/unit (a net carbon removal/avoidance)</w:t>
      </w:r>
    </w:p>
    <w:bookmarkEnd w:id="34"/>
    <w:bookmarkEnd w:id="35"/>
    <w:bookmarkStart w:id="37" w:name="total-product-carbon-footprint"/>
    <w:p>
      <w:pPr>
        <w:pStyle w:val="Heading3"/>
      </w:pPr>
      <w:r>
        <w:t xml:space="preserve">4.4. Total Product Carbon Footprint</w:t>
      </w:r>
    </w:p>
    <w:bookmarkStart w:id="36" w:name="X22caa4bbec0791be9d007bad6e3a7a6bcd762a2"/>
    <w:p>
      <w:pPr>
        <w:pStyle w:val="Heading4"/>
      </w:pPr>
      <w:r>
        <w:t xml:space="preserve">Table 2: Summary of Product Carbon Footprint by Scope (per 1.0 unit of dikpermhih)</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w:t>
            </w:r>
          </w:p>
        </w:tc>
        <w:tc>
          <w:tcPr/>
          <w:p>
            <w:pPr>
              <w:pStyle w:val="Compact"/>
              <w:jc w:val="left"/>
            </w:pPr>
            <w:r>
              <w:t xml:space="preserve">Category</w:t>
            </w:r>
          </w:p>
        </w:tc>
        <w:tc>
          <w:tcPr/>
          <w:p>
            <w:pPr>
              <w:pStyle w:val="Compact"/>
              <w:jc w:val="left"/>
            </w:pPr>
            <w:r>
              <w:t xml:space="preserve">CO2e (kg/unit)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2.88</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4.72</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0.60</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10.00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105.00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-1.38</w:t>
            </w:r>
          </w:p>
        </w:tc>
      </w:tr>
      <w:tr>
        <w:tc>
          <w:tcPr>
            <w:gridSpan w:val="2"/>
          </w:tcPr>
          <w:p>
            <w:pPr>
              <w:pStyle w:val="Compact"/>
              <w:jc w:val="left"/>
            </w:pPr>
            <w:r>
              <w:t xml:space="preserve">TOTAL PCF</w:t>
            </w:r>
          </w:p>
        </w:tc>
        <w:tc>
          <w:tcPr/>
          <w:p>
            <w:pPr>
              <w:pStyle w:val="Compact"/>
              <w:jc w:val="left"/>
            </w:pPr>
            <w:r>
              <w:t xml:space="preserve">121.82</w:t>
            </w:r>
          </w:p>
        </w:tc>
      </w:tr>
    </w:tbl>
    <w:p>
      <w:pPr>
        <w:pStyle w:val="BodyText"/>
      </w:pPr>
      <w:r>
        <w:rPr>
          <w:bCs/>
          <w:b/>
        </w:rPr>
        <w:t xml:space="preserve">Total Product Carbon Footprint (PCF) for dikpermhih: 121.82 kg CO2e per unit.</w:t>
      </w:r>
    </w:p>
    <w:bookmarkEnd w:id="36"/>
    <w:bookmarkEnd w:id="37"/>
    <w:bookmarkStart w:id="38" w:name="lsr-update-application"/>
    <w:p>
      <w:pPr>
        <w:pStyle w:val="Heading3"/>
      </w:pPr>
      <w:r>
        <w:t xml:space="preserve">4.5. 2026 LSR Update Application</w:t>
      </w:r>
    </w:p>
    <w:p>
      <w:pPr>
        <w:pStyle w:val="FirstParagraph"/>
      </w:pPr>
      <w:r>
        <w:t xml:space="preserve">The Land Sector and Removals (LSR) Standard is applied to account for land use and carbon removals. In this PCF, the net negative emissions at the End-of-Life stage due to high recyclability and circular programs (-1.38 kg CO2e/unit) represent a form of carbon removal or avoided emissions, aligning with the principles of the LSR Standard by acknowledging positive impacts of circularity. For a full corporate inventory, direct land-use change emissions or removals would be tracked comprehensively.</w:t>
      </w:r>
    </w:p>
    <w:bookmarkEnd w:id="38"/>
    <w:bookmarkStart w:id="39" w:name="scope-3-compliance-95-coverage"/>
    <w:p>
      <w:pPr>
        <w:pStyle w:val="Heading3"/>
      </w:pPr>
      <w:r>
        <w:t xml:space="preserve">4.6. Scope 3 Compliance (95% Coverage)</w:t>
      </w:r>
    </w:p>
    <w:p>
      <w:pPr>
        <w:pStyle w:val="FirstParagraph"/>
      </w:pPr>
      <w:r>
        <w:t xml:space="preserve">This analysis addresses the major categories of Scope 3 emissions (Categories 1, 4, 9, 11, 12) which typically constitute the vast majority of a product\'s value chain footprint. By quantifying material impacts, upstream and downstream logistics, use-phase energy, and end-of-life scenarios, the report aims to achieve at least 95% coverage for Scope 3 emissions, as per 2026 requirements. Other minor categories (e.g., business travel, employee commuting related to the product management, waste from operations not tied to the product unit, capital goods) are considered less material at the product level but would be part of a broader corporate inventory.</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The analysis identifies the following primary emission hotspots for "dikpermhih":</w:t>
      </w:r>
    </w:p>
    <w:p>
      <w:pPr>
        <w:numPr>
          <w:ilvl w:val="0"/>
          <w:numId w:val="1018"/>
        </w:numPr>
        <w:pStyle w:val="Compact"/>
      </w:pPr>
      <w:r>
        <w:rPr>
          <w:bCs/>
          <w:b/>
        </w:rPr>
        <w:t xml:space="preserve">Use Phase (Scope 3, Category 11):</w:t>
      </w:r>
      <w:r>
        <w:t xml:space="preserve"> </w:t>
      </w:r>
      <w:r>
        <w:t xml:space="preserve">This stage contributes the largest portion of the PCF (105.0 kg CO2e/unit), primarily due to the product\'s energy consumption over its 7-year lifespan. This highlights the critical importance of energy efficiency in product design and consumer usage patterns.</w:t>
      </w:r>
    </w:p>
    <w:p>
      <w:pPr>
        <w:numPr>
          <w:ilvl w:val="0"/>
          <w:numId w:val="1018"/>
        </w:numPr>
        <w:pStyle w:val="Compact"/>
      </w:pPr>
      <w:r>
        <w:rPr>
          <w:bCs/>
          <w:b/>
        </w:rPr>
        <w:t xml:space="preserve">Downstream Transportation (Scope 3, Category 9):</w:t>
      </w:r>
      <w:r>
        <w:t xml:space="preserve"> </w:t>
      </w:r>
      <w:r>
        <w:t xml:space="preserve">Last-mile delivery (10.0 kg CO2e/unit) represents a significant contribution, emphasizing the need for optimized logistics and low-carbon delivery solutions.</w:t>
      </w:r>
    </w:p>
    <w:p>
      <w:pPr>
        <w:numPr>
          <w:ilvl w:val="0"/>
          <w:numId w:val="1018"/>
        </w:numPr>
        <w:pStyle w:val="Compact"/>
      </w:pPr>
      <w:r>
        <w:rPr>
          <w:bCs/>
          <w:b/>
        </w:rPr>
        <w:t xml:space="preserve">Materials Acquisition (Scope 3, Category 1):</w:t>
      </w:r>
      <w:r>
        <w:t xml:space="preserve"> </w:t>
      </w:r>
      <w:r>
        <w:t xml:space="preserve">The production of raw materials (4.72 kg CO2e/unit) is a substantial upstream hotspot, underscoring the importance of sustainable sourcing and material selection.</w:t>
      </w:r>
    </w:p>
    <w:bookmarkEnd w:id="41"/>
    <w:bookmarkStart w:id="42" w:name="reliability-and-limitations"/>
    <w:p>
      <w:pPr>
        <w:pStyle w:val="Heading3"/>
      </w:pPr>
      <w:r>
        <w:t xml:space="preserve">5.2. Reliability and Limitations</w:t>
      </w:r>
    </w:p>
    <w:p>
      <w:pPr>
        <w:pStyle w:val="FirstParagraph"/>
      </w:pPr>
      <w:r>
        <w:t xml:space="preserve">The reliability of this PCF analysis is high given the adherence to the GHG Protocol and the incorporation of specific parameters. However, certain limitations apply due to the nature of the input data:</w:t>
      </w:r>
    </w:p>
    <w:p>
      <w:pPr>
        <w:numPr>
          <w:ilvl w:val="0"/>
          <w:numId w:val="1019"/>
        </w:numPr>
        <w:pStyle w:val="Compact"/>
      </w:pPr>
      <w:r>
        <w:rPr>
          <w:bCs/>
          <w:b/>
        </w:rPr>
        <w:t xml:space="preserve">Illustrative Data:</w:t>
      </w:r>
      <w:r>
        <w:t xml:space="preserve"> </w:t>
      </w:r>
      <w:r>
        <w:t xml:space="preserve">Several parameters (e.g., `Transport Distance`, `Energy Consumption in Use`) were provided as non-numerical strings. Illustrative numerical values and industry-average emission factors were used for calculations. A more precise PCF would require direct primary data for these inputs.</w:t>
      </w:r>
    </w:p>
    <w:p>
      <w:pPr>
        <w:numPr>
          <w:ilvl w:val="0"/>
          <w:numId w:val="1019"/>
        </w:numPr>
        <w:pStyle w:val="Compact"/>
      </w:pPr>
      <w:r>
        <w:rPr>
          <w:bCs/>
          <w:b/>
        </w:rPr>
        <w:t xml:space="preserve">Emission Factor Specificity:</w:t>
      </w:r>
      <w:r>
        <w:t xml:space="preserve"> </w:t>
      </w:r>
      <w:r>
        <w:t xml:space="preserve">While industry-standard emission factors (e.g., from Ecoinvent/DEFRA types) were conceptually used, exact database links for each factor were not provided. The chosen values are representative but may vary with specific database versions or regional nuances.</w:t>
      </w:r>
    </w:p>
    <w:p>
      <w:pPr>
        <w:numPr>
          <w:ilvl w:val="0"/>
          <w:numId w:val="1019"/>
        </w:numPr>
        <w:pStyle w:val="Compact"/>
      </w:pPr>
      <w:r>
        <w:rPr>
          <w:bCs/>
          <w:b/>
        </w:rPr>
        <w:t xml:space="preserve">System Boundary:</w:t>
      </w:r>
      <w:r>
        <w:t xml:space="preserve"> </w:t>
      </w:r>
      <w:r>
        <w:t xml:space="preserve">The "factory_gate" system boundary means direct operational emissions from the manufacturing process (Scope 1) are considered minimal per unit, as focus is on embedded material and energy.</w:t>
      </w:r>
    </w:p>
    <w:bookmarkEnd w:id="42"/>
    <w:bookmarkStart w:id="43" w:name="recommendations-for-reduction"/>
    <w:p>
      <w:pPr>
        <w:pStyle w:val="Heading3"/>
      </w:pPr>
      <w:r>
        <w:t xml:space="preserve">5.3. Recommendations for Reduction</w:t>
      </w:r>
    </w:p>
    <w:p>
      <w:pPr>
        <w:numPr>
          <w:ilvl w:val="0"/>
          <w:numId w:val="1020"/>
        </w:numPr>
        <w:pStyle w:val="Compact"/>
      </w:pPr>
      <w:r>
        <w:rPr>
          <w:bCs/>
          <w:b/>
        </w:rPr>
        <w:t xml:space="preserve">Enhance Energy Efficiency in Use:</w:t>
      </w:r>
      <w:r>
        <w:t xml:space="preserve"> </w:t>
      </w:r>
      <w:r>
        <w:t xml:space="preserve">Focus on R&amp;D to drastically reduce the product\'s energy consumption during its lifespan. This is the single largest opportunity for impact reduction.</w:t>
      </w:r>
    </w:p>
    <w:p>
      <w:pPr>
        <w:numPr>
          <w:ilvl w:val="0"/>
          <w:numId w:val="1020"/>
        </w:numPr>
        <w:pStyle w:val="Compact"/>
      </w:pPr>
      <w:r>
        <w:rPr>
          <w:bCs/>
          <w:b/>
        </w:rPr>
        <w:t xml:space="preserve">Optimize Downstream Logistics:</w:t>
      </w:r>
      <w:r>
        <w:t xml:space="preserve"> </w:t>
      </w:r>
      <w:r>
        <w:t xml:space="preserve">Explore more efficient last-mile delivery options, potentially utilizing electric vehicles, optimizing delivery routes, or consolidating shipments.</w:t>
      </w:r>
    </w:p>
    <w:p>
      <w:pPr>
        <w:numPr>
          <w:ilvl w:val="0"/>
          <w:numId w:val="1020"/>
        </w:numPr>
        <w:pStyle w:val="Compact"/>
      </w:pPr>
      <w:r>
        <w:rPr>
          <w:bCs/>
          <w:b/>
        </w:rPr>
        <w:t xml:space="preserve">Sustainable Material Sourcing:</w:t>
      </w:r>
      <w:r>
        <w:t xml:space="preserve"> </w:t>
      </w:r>
      <w:r>
        <w:t xml:space="preserve">Investigate opportunities for using lower-carbon materials, recycled content, or materials with less energy-intensive production processes.</w:t>
      </w:r>
    </w:p>
    <w:p>
      <w:pPr>
        <w:numPr>
          <w:ilvl w:val="0"/>
          <w:numId w:val="1020"/>
        </w:numPr>
        <w:pStyle w:val="Compact"/>
      </w:pPr>
      <w:r>
        <w:rPr>
          <w:bCs/>
          <w:b/>
        </w:rPr>
        <w:t xml:space="preserve">Strengthen Circular Economy Initiatives:</w:t>
      </w:r>
      <w:r>
        <w:t xml:space="preserve"> </w:t>
      </w:r>
      <w:r>
        <w:t xml:space="preserve">Continue and expand circular/take-back programs to maximize product lifespan and material recovery at end-of-life.</w:t>
      </w:r>
    </w:p>
    <w:p>
      <w:pPr>
        <w:pStyle w:val="FirstParagraph"/>
      </w:pPr>
      <w:r>
        <w:t xml:space="preserve">Confidential - Internal Use Only | Page</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dikpermhih</dc:title>
  <dc:creator/>
  <dc:description>High-detail Product Carbon Footprint (PCF) analysis for dikpermhih, performed by Senior Sustainability Consultant rukjlkgokr for hjftidemgr, adhering to GHG Protocol and 2026 LSR update.</dc:description>
  <dc:language>en</dc:language>
  <cp:keywords/>
  <dcterms:created xsi:type="dcterms:W3CDTF">2026-05-30T20:02:43Z</dcterms:created>
  <dcterms:modified xsi:type="dcterms:W3CDTF">2026-05-30T20:02:43Z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