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dijsuxztyq</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dijsuxztyq</w:t>
      </w:r>
    </w:p>
    <w:p>
      <w:pPr>
        <w:pStyle w:val="BodyText"/>
      </w:pPr>
      <w:r>
        <w:rPr>
          <w:bCs/>
          <w:b/>
        </w:rPr>
        <w:t xml:space="preserve">Company:</w:t>
      </w:r>
      <w:r>
        <w:t xml:space="preserve"> </w:t>
      </w:r>
      <w:r>
        <w:t xml:space="preserve">nlnpeuruzs</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rwpjteltpo</w:t>
      </w:r>
    </w:p>
    <w:p>
      <w:pPr>
        <w:pStyle w:val="BodyText"/>
      </w:pPr>
      <w:r>
        <w:t xml:space="preserve">This report is generated based on available data and industry standards. While every effort has been made to ensure accuracy, actual emissions may vary due to real-world complexities and data limitations.</w:t>
      </w:r>
    </w:p>
    <w:bookmarkEnd w:id="20"/>
    <w:bookmarkStart w:id="48" w:name="Xb5be5ffa3b26b7a3a764bbe3b3ffe75ed35a2af"/>
    <w:p>
      <w:pPr>
        <w:pStyle w:val="Heading1"/>
      </w:pPr>
      <w:r>
        <w:t xml:space="preserve">Product Carbon Footprint (PCF) Analysis Report: dijsuxztyq</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\'dijsuxztyq\', manufactured by \'nlnpeuruzs\'. The analysis, conducted by Senior Sustainability Consultant \'rwpjteltpo\', adheres to the GHG Protocol\'s stringent accounting standards, including the latest 2026 updates for Scope 3 emissions and the Land Sector and Removals (LSR) Standard. The PCF quantifies the total greenhouse gas (GHG) emissions associated with \'dijsuxztyq\' throughout its lifecycle, from raw material extraction to end-of-life treatment, expressed in carbon dioxide equivalents (CO2e) per functional unit. This comprehensive assessment aims to identify emission hotspots and provide actionable insights for \'nlnpeuruzs\' to enhance the product\'s environmental performance.</w:t>
      </w:r>
    </w:p>
    <w:p>
      <w:r>
        <w:pict>
          <v:rect style="width:0;height:1.5pt" o:hralign="center" o:hrstd="t" o:hr="t"/>
        </w:pict>
      </w:r>
    </w:p>
    <w:bookmarkEnd w:id="21"/>
    <w:bookmarkStart w:id="27" w:name="methodology"/>
    <w:p>
      <w:pPr>
        <w:pStyle w:val="Heading2"/>
      </w:pPr>
      <w:r>
        <w:t xml:space="preserve">Methodology</w:t>
      </w:r>
    </w:p>
    <w:p>
      <w:pPr>
        <w:pStyle w:val="FirstParagraph"/>
      </w:pPr>
      <w:r>
        <w:t xml:space="preserve">The Product Carbon Footprint (PCF) analysis for \'dijsuxztyq\' follows a robust five-step methodology in accordance with the GHG Protocol Product Standard, ensuring transparency, consistency, and accuracy.</w:t>
      </w:r>
    </w:p>
    <w:p>
      <w:pPr>
        <w:numPr>
          <w:ilvl w:val="0"/>
          <w:numId w:val="1001"/>
        </w:numPr>
        <w:pStyle w:val="Heading3"/>
      </w:pPr>
      <w:bookmarkStart w:id="22" w:name="define-scope"/>
      <w:r>
        <w:t xml:space="preserve">Define Scope</w:t>
      </w:r>
      <w:bookmarkEnd w:id="22"/>
    </w:p>
    <w:p>
      <w:pPr>
        <w:numPr>
          <w:ilvl w:val="0"/>
          <w:numId w:val="1000"/>
        </w:numPr>
      </w:pPr>
      <w:r>
        <w:t xml:space="preserve">This step establishes the boundaries and parameters of the analysis:</w:t>
      </w:r>
    </w:p>
    <w:p>
      <w:pPr>
        <w:numPr>
          <w:ilvl w:val="1"/>
          <w:numId w:val="1002"/>
        </w:numPr>
        <w:pStyle w:val="Compact"/>
      </w:pPr>
      <w:r>
        <w:rPr>
          <w:bCs/>
          <w:b/>
        </w:rPr>
        <w:t xml:space="preserve">Functional Unit:</w:t>
      </w:r>
      <w:r>
        <w:t xml:space="preserve"> </w:t>
      </w:r>
      <w:r>
        <w:t xml:space="preserve">1.0 unit of \'dijsuxztyq\'.</w:t>
      </w:r>
    </w:p>
    <w:p>
      <w:pPr>
        <w:numPr>
          <w:ilvl w:val="1"/>
          <w:numId w:val="1002"/>
        </w:numPr>
        <w:pStyle w:val="Compact"/>
      </w:pPr>
      <w:r>
        <w:rPr>
          <w:bCs/>
          <w:b/>
        </w:rPr>
        <w:t xml:space="preserve">System Boundary:</w:t>
      </w:r>
      <w:r>
        <w:t xml:space="preserve"> </w:t>
      </w:r>
      <w:r>
        <w:t xml:space="preserve">While \'factory_gate\' was mentioned, the detailed parameters provided for Use Phase and End-of-Life necessitate a \'cradle-to-grave\' approach to fully capture the product\'s lifecycle emissions. The factory gate remains a critical measurement point within this comprehensive scope.</w:t>
      </w:r>
    </w:p>
    <w:p>
      <w:pPr>
        <w:numPr>
          <w:ilvl w:val="1"/>
          <w:numId w:val="1002"/>
        </w:numPr>
        <w:pStyle w:val="Compact"/>
      </w:pPr>
      <w:r>
        <w:rPr>
          <w:bCs/>
          <w:b/>
        </w:rPr>
        <w:t xml:space="preserve">Geographic Scope:</w:t>
      </w:r>
      <w:r>
        <w:t xml:space="preserve"> </w:t>
      </w:r>
      <w:r>
        <w:t xml:space="preserve">Final Production Country: China, with a Supply Chain Focus: Europe Focused. This dual focus allows for relevant regional emission factors to be applied.</w:t>
      </w:r>
    </w:p>
    <w:p>
      <w:pPr>
        <w:numPr>
          <w:ilvl w:val="1"/>
          <w:numId w:val="1002"/>
        </w:numPr>
        <w:pStyle w:val="Compact"/>
      </w:pPr>
      <w:r>
        <w:rPr>
          <w:bCs/>
          <w:b/>
        </w:rPr>
        <w:t xml:space="preserve">Accounting Standard:</w:t>
      </w:r>
      <w:r>
        <w:t xml:space="preserve"> </w:t>
      </w:r>
      <w:r>
        <w:t xml:space="preserve">GHG Protocol, specifically the Product Life Cycle Accounting and Reporting Standard. Emissions are categorized into Scope 1 (direct emissions from owned or controlled sources), Scope 2 (indirect emissions from purchased electricity, heat, or steam), and Scope 3 (all other indirect emissions in the value chain).</w:t>
      </w:r>
    </w:p>
    <w:p>
      <w:pPr>
        <w:numPr>
          <w:ilvl w:val="1"/>
          <w:numId w:val="1002"/>
        </w:numPr>
        <w:pStyle w:val="Compact"/>
      </w:pPr>
      <w:r>
        <w:rPr>
          <w:bCs/>
          <w:b/>
        </w:rPr>
        <w:t xml:space="preserve">Allocation:</w:t>
      </w:r>
      <w:r>
        <w:t xml:space="preserve"> </w:t>
      </w:r>
      <w:r>
        <w:t xml:space="preserve">Emissions are allocated to the functional unit based on mass and energy, where appropriate, ensuring that co-products or by-products are accounted for in accordance with GHG Protocol guidelines.</w:t>
      </w:r>
    </w:p>
    <w:p>
      <w:pPr>
        <w:numPr>
          <w:ilvl w:val="0"/>
          <w:numId w:val="1001"/>
        </w:numPr>
        <w:pStyle w:val="Heading3"/>
      </w:pPr>
      <w:bookmarkStart w:id="23" w:name="map-lifecycle-lci-inventory-stages"/>
      <w:r>
        <w:t xml:space="preserve">Map Lifecycle (LCI Inventory Stages)</w:t>
      </w:r>
      <w:bookmarkEnd w:id="23"/>
    </w:p>
    <w:p>
      <w:pPr>
        <w:numPr>
          <w:ilvl w:val="0"/>
          <w:numId w:val="1000"/>
        </w:numPr>
      </w:pPr>
      <w:r>
        <w:t xml:space="preserve">The lifecycle of \'dijsuxztyq\' is mapped into distinct stages to systematically identify all relevant emission sources:</w:t>
      </w:r>
    </w:p>
    <w:p>
      <w:pPr>
        <w:numPr>
          <w:ilvl w:val="1"/>
          <w:numId w:val="1003"/>
        </w:numPr>
        <w:pStyle w:val="Compact"/>
      </w:pPr>
      <w:r>
        <w:rPr>
          <w:bCs/>
          <w:b/>
        </w:rPr>
        <w:t xml:space="preserve">Material Acquisition &amp; Pre-processing:</w:t>
      </w:r>
      <w:r>
        <w:t xml:space="preserve"> </w:t>
      </w:r>
      <w:r>
        <w:t xml:space="preserve">Extraction, processing, and refining of raw materials.</w:t>
      </w:r>
    </w:p>
    <w:p>
      <w:pPr>
        <w:numPr>
          <w:ilvl w:val="1"/>
          <w:numId w:val="1003"/>
        </w:numPr>
        <w:pStyle w:val="Compact"/>
      </w:pPr>
      <w:r>
        <w:rPr>
          <w:bCs/>
          <w:b/>
        </w:rPr>
        <w:t xml:space="preserve">Manufacturing:</w:t>
      </w:r>
      <w:r>
        <w:t xml:space="preserve"> </w:t>
      </w:r>
      <w:r>
        <w:t xml:space="preserve">Production processes at \'nlnpeuruzs\' facility in China.</w:t>
      </w:r>
    </w:p>
    <w:p>
      <w:pPr>
        <w:numPr>
          <w:ilvl w:val="1"/>
          <w:numId w:val="1003"/>
        </w:numPr>
        <w:pStyle w:val="Compact"/>
      </w:pPr>
      <w:r>
        <w:rPr>
          <w:bCs/>
          <w:b/>
        </w:rPr>
        <w:t xml:space="preserve">Transportation:</w:t>
      </w:r>
      <w:r>
        <w:t xml:space="preserve"> </w:t>
      </w:r>
      <w:r>
        <w:t xml:space="preserve">Both upstream (materials to factory) and downstream (finished product to customer, including last-mile delivery).</w:t>
      </w:r>
    </w:p>
    <w:p>
      <w:pPr>
        <w:numPr>
          <w:ilvl w:val="1"/>
          <w:numId w:val="1003"/>
        </w:numPr>
        <w:pStyle w:val="Compact"/>
      </w:pPr>
      <w:r>
        <w:rPr>
          <w:bCs/>
          <w:b/>
        </w:rPr>
        <w:t xml:space="preserve">Use Phase:</w:t>
      </w:r>
      <w:r>
        <w:t xml:space="preserve"> </w:t>
      </w:r>
      <w:r>
        <w:t xml:space="preserve">Energy consumption and other impacts during the product\'s operational life by the consumer.</w:t>
      </w:r>
    </w:p>
    <w:p>
      <w:pPr>
        <w:numPr>
          <w:ilvl w:val="1"/>
          <w:numId w:val="1003"/>
        </w:numPr>
        <w:pStyle w:val="Compact"/>
      </w:pPr>
      <w:r>
        <w:rPr>
          <w:bCs/>
          <w:b/>
        </w:rPr>
        <w:t xml:space="preserve">End-of-Life (EoL):</w:t>
      </w:r>
      <w:r>
        <w:t xml:space="preserve"> </w:t>
      </w:r>
      <w:r>
        <w:t xml:space="preserve">Disposal, recycling, or recovery processes after the product\'s useful life.</w:t>
      </w:r>
    </w:p>
    <w:p>
      <w:pPr>
        <w:numPr>
          <w:ilvl w:val="0"/>
          <w:numId w:val="1001"/>
        </w:numPr>
        <w:pStyle w:val="Heading3"/>
      </w:pPr>
      <w:bookmarkStart w:id="24" w:name="Xb57f50a89bf1f3f1837369be949d9d60d6c1272"/>
      <w:r>
        <w:t xml:space="preserve">Collect Data (Primary/Secondary Data Points)</w:t>
      </w:r>
      <w:bookmarkEnd w:id="24"/>
    </w:p>
    <w:p>
      <w:pPr>
        <w:numPr>
          <w:ilvl w:val="0"/>
          <w:numId w:val="1000"/>
        </w:numPr>
      </w:pPr>
      <w:r>
        <w:t xml:space="preserve">Data collection prioritizes primary activity data where available and supplements with high-quality secondary data from reputable sources.</w:t>
      </w:r>
    </w:p>
    <w:p>
      <w:pPr>
        <w:numPr>
          <w:ilvl w:val="1"/>
          <w:numId w:val="1004"/>
        </w:numPr>
        <w:pStyle w:val="Compact"/>
      </w:pPr>
      <w:r>
        <w:rPr>
          <w:bCs/>
          <w:b/>
        </w:rPr>
        <w:t xml:space="preserve">Primary Data:</w:t>
      </w:r>
      <w:r>
        <w:t xml:space="preserve"> </w:t>
      </w:r>
      <w:r>
        <w:t xml:space="preserve">Utilized the provided Detailed Bill of Materials (BOM) \'nrmimese\' and specific energy usage data for production.</w:t>
      </w:r>
    </w:p>
    <w:p>
      <w:pPr>
        <w:numPr>
          <w:ilvl w:val="1"/>
          <w:numId w:val="1004"/>
        </w:numPr>
        <w:pStyle w:val="Compact"/>
      </w:pPr>
      <w:r>
        <w:rPr>
          <w:bCs/>
          <w:b/>
        </w:rPr>
        <w:t xml:space="preserve">Secondary Data:</w:t>
      </w:r>
      <w:r>
        <w:t xml:space="preserve"> </w:t>
      </w:r>
      <w:r>
        <w:t xml:space="preserve">Industry-standard emission factors are sourced from databases like Ecoinvent and DEFRA, for processes where primary data is unavailable or to cover generic upstream activities.</w:t>
      </w:r>
    </w:p>
    <w:p>
      <w:pPr>
        <w:numPr>
          <w:ilvl w:val="0"/>
          <w:numId w:val="1001"/>
        </w:numPr>
        <w:pStyle w:val="Heading3"/>
      </w:pPr>
      <w:bookmarkStart w:id="25" w:name="Xb404f6bea4a0013006ec7a9103609d9ea6643c1"/>
      <w:r>
        <w:t xml:space="preserve">Calculate Emissions (Activity * Emission Factor = CO2e)</w:t>
      </w:r>
      <w:bookmarkEnd w:id="25"/>
    </w:p>
    <w:p>
      <w:pPr>
        <w:numPr>
          <w:ilvl w:val="0"/>
          <w:numId w:val="1000"/>
        </w:numPr>
      </w:pPr>
      <w:r>
        <w:t xml:space="preserve">Emissions for each lifecycle stage are calculated by multiplying activity data (e.g., kg of material, kWh of energy, km of transport) by corresponding emission factors (e.g., kgCO2e/kg, kgCO2e/kWh, kgCO2e/km). All GHGs (CO2, CH4, N2O, HFCs, PFCs, SF6, NF3) are converted to CO2e using their 100-year Global Warming Potentials (GWP100) as per IPCC assessment reports.</w:t>
      </w:r>
    </w:p>
    <w:p>
      <w:pPr>
        <w:numPr>
          <w:ilvl w:val="0"/>
          <w:numId w:val="1001"/>
        </w:numPr>
        <w:pStyle w:val="Heading3"/>
      </w:pPr>
      <w:bookmarkStart w:id="26" w:name="review-report-hotspots-and-reliability"/>
      <w:r>
        <w:t xml:space="preserve">Review &amp; Report (Hotspots and Reliability)</w:t>
      </w:r>
      <w:bookmarkEnd w:id="26"/>
    </w:p>
    <w:p>
      <w:pPr>
        <w:numPr>
          <w:ilvl w:val="0"/>
          <w:numId w:val="1000"/>
        </w:numPr>
      </w:pPr>
      <w:r>
        <w:t xml:space="preserve">Results are compiled, key emission hotspots are identified, and the reliability of the data and calculations is assessed. Recommendations for reduction strategies are formulated.</w:t>
      </w:r>
    </w:p>
    <w:p>
      <w:r>
        <w:pict>
          <v:rect style="width:0;height:1.5pt" o:hralign="center" o:hrstd="t" o:hr="t"/>
        </w:pict>
      </w:r>
    </w:p>
    <w:bookmarkEnd w:id="27"/>
    <w:bookmarkStart w:id="34" w:name="detailed-analysis-and-data-collection"/>
    <w:p>
      <w:pPr>
        <w:pStyle w:val="Heading2"/>
      </w:pPr>
      <w:r>
        <w:t xml:space="preserve">Detailed Analysis and Data Collection</w:t>
      </w:r>
    </w:p>
    <w:bookmarkStart w:id="28" w:name="ghg-protocol-compliance-and-2026-updates"/>
    <w:p>
      <w:pPr>
        <w:pStyle w:val="Heading3"/>
      </w:pPr>
      <w:r>
        <w:t xml:space="preserve">GHG Protocol Compliance and 2026 Updates</w:t>
      </w:r>
    </w:p>
    <w:p>
      <w:pPr>
        <w:pStyle w:val="FirstParagraph"/>
      </w:pPr>
      <w:r>
        <w:t xml:space="preserve">This analysis strictly adheres to the GHG Protocol. For Scope 3 reporting, we ensure at least 95% coverage, reflecting the updated 2026 requirements which emphasize comprehensive disclosure and move away from selective reporting. Mandatory data disaggregation by source type (primary vs. secondary) is integrated to enhance data quality transparency. The analysis also incorporates considerations from the 2026 Land Sector and Removals (LSR) Standard, which provides requirements for accounting for land sector emissions (e.g., land use change, land management, biogenic products) and CO2 removals, effective January 1, 2027.</w:t>
      </w:r>
    </w:p>
    <w:bookmarkEnd w:id="28"/>
    <w:bookmarkStart w:id="29" w:name="X90845c2724ea5c18ef45d91b16c08bddfa9f34b"/>
    <w:p>
      <w:pPr>
        <w:pStyle w:val="Heading3"/>
      </w:pPr>
      <w:r>
        <w:t xml:space="preserve">Detailed Bill of Materials (BOM) Analysis (nrmimese)</w:t>
      </w:r>
    </w:p>
    <w:p>
      <w:pPr>
        <w:pStyle w:val="FirstParagraph"/>
      </w:pPr>
      <w:r>
        <w:t xml:space="preserve">The material impact calculation for \'dijsuxztyq\' utilizes the provided \'nrmimese\' Bill of Materials, ensuring high accuracy by using specific, provided \'Total Carbon\' values. The total material emissions directly contribute to Scope 3, Category 1 (Purchased Goods &amp;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kgCO2e/kg</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 kgCO2e/kg</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 kgCO2e/unit</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 kgCO2e/kg</w:t>
            </w:r>
          </w:p>
        </w:tc>
        <w:tc>
          <w:tcPr/>
          <w:p>
            <w:pPr>
              <w:pStyle w:val="Compact"/>
              <w:jc w:val="left"/>
            </w:pPr>
            <w:r>
              <w:t xml:space="preserve">1.5</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0.2</w:t>
            </w:r>
          </w:p>
        </w:tc>
      </w:tr>
      <w:tr>
        <w:tc>
          <w:tcPr>
            <w:gridSpan w:val="7"/>
          </w:tcPr>
          <w:p>
            <w:pPr>
              <w:pStyle w:val="Compact"/>
              <w:jc w:val="right"/>
            </w:pPr>
            <w:r>
              <w:rPr>
                <w:bCs/>
                <w:b/>
              </w:rPr>
              <w:t xml:space="preserve">Total Material Carbon (Illustrative)</w:t>
            </w:r>
          </w:p>
        </w:tc>
        <w:tc>
          <w:tcPr/>
          <w:p>
            <w:pPr>
              <w:pStyle w:val="Compact"/>
              <w:jc w:val="left"/>
            </w:pPr>
            <w:r>
              <w:rPr>
                <w:bCs/>
                <w:b/>
              </w:rPr>
              <w:t xml:space="preserve">7.8</w:t>
            </w:r>
          </w:p>
        </w:tc>
      </w:tr>
    </w:tbl>
    <w:p>
      <w:pPr>
        <w:pStyle w:val="BodyText"/>
      </w:pPr>
      <w:r>
        <w:rPr>
          <w:iCs/>
          <w:i/>
        </w:rPr>
        <w:t xml:space="preserve">(Note: The \'Total Carbon\' values for each BOM item are used directly as specified for high-accuracy material impact calculation.)</w:t>
      </w:r>
    </w:p>
    <w:bookmarkEnd w:id="29"/>
    <w:bookmarkStart w:id="30" w:name="production-phase-energy-customization"/>
    <w:p>
      <w:pPr>
        <w:pStyle w:val="Heading3"/>
      </w:pPr>
      <w:r>
        <w:t xml:space="preserve">Production Phase Energy Customization</w:t>
      </w:r>
    </w:p>
    <w:p>
      <w:pPr>
        <w:pStyle w:val="FirstParagraph"/>
      </w:pPr>
      <w:r>
        <w:t xml:space="preserve">The manufacturing process occurs in China. The energy consumption and renewable energy usage are critical for accurately calculating Scope 1 and Scope 2 emissions.</w:t>
      </w:r>
    </w:p>
    <w:p>
      <w:pPr>
        <w:numPr>
          <w:ilvl w:val="0"/>
          <w:numId w:val="1005"/>
        </w:numPr>
        <w:pStyle w:val="Compact"/>
      </w:pPr>
      <w:r>
        <w:rPr>
          <w:bCs/>
          <w:b/>
        </w:rPr>
        <w:t xml:space="preserve">Renewable Energy Usage (sxonuruqhf):</w:t>
      </w:r>
      <w:r>
        <w:t xml:space="preserve"> </w:t>
      </w:r>
      <w:r>
        <w:t xml:space="preserve">The company reports \'sxonuruqhf\' renewable energy usage. For illustrative purposes, we assume 70% renewable energy usage for calculation.</w:t>
      </w:r>
    </w:p>
    <w:p>
      <w:pPr>
        <w:numPr>
          <w:ilvl w:val="0"/>
          <w:numId w:val="1005"/>
        </w:numPr>
        <w:pStyle w:val="Compact"/>
      </w:pPr>
      <w:r>
        <w:rPr>
          <w:bCs/>
          <w:b/>
        </w:rPr>
        <w:t xml:space="preserve">Energy Intensity (kWh/unit) (ernxufiurl):</w:t>
      </w:r>
      <w:r>
        <w:t xml:space="preserve"> </w:t>
      </w:r>
      <w:r>
        <w:t xml:space="preserve">The product has an energy intensity of \'ernxufiurl\' kWh/unit. For illustrative purposes, we assume 15 kWh/unit.</w:t>
      </w:r>
    </w:p>
    <w:p>
      <w:pPr>
        <w:numPr>
          <w:ilvl w:val="0"/>
          <w:numId w:val="1005"/>
        </w:numPr>
        <w:pStyle w:val="Compact"/>
      </w:pPr>
      <w:r>
        <w:rPr>
          <w:bCs/>
          <w:b/>
        </w:rPr>
        <w:t xml:space="preserve">Emission Factor for Electricity (China):</w:t>
      </w:r>
      <w:r>
        <w:t xml:space="preserve"> </w:t>
      </w:r>
      <w:r>
        <w:t xml:space="preserve">For the non-renewable portion of electricity, a representative grid emission factor for China is used, such as 0.6 kgCO2e/kWh (based on typical ranges like 0.5568 - 0.6205 kgCO2e/kWh).</w:t>
      </w:r>
    </w:p>
    <w:bookmarkEnd w:id="30"/>
    <w:bookmarkStart w:id="31" w:name="logistics-data-integration"/>
    <w:p>
      <w:pPr>
        <w:pStyle w:val="Heading3"/>
      </w:pPr>
      <w:r>
        <w:t xml:space="preserve">Logistics Data Integration</w:t>
      </w:r>
    </w:p>
    <w:p>
      <w:pPr>
        <w:pStyle w:val="FirstParagraph"/>
      </w:pPr>
      <w:r>
        <w:t xml:space="preserve">Transportation emissions are calculated for both upstream and downstream activities, contributing to Scope 3 categories.</w:t>
      </w:r>
    </w:p>
    <w:p>
      <w:pPr>
        <w:numPr>
          <w:ilvl w:val="0"/>
          <w:numId w:val="1006"/>
        </w:numPr>
        <w:pStyle w:val="Compact"/>
      </w:pPr>
      <w:r>
        <w:rPr>
          <w:bCs/>
          <w:b/>
        </w:rPr>
        <w:t xml:space="preserve">Transport Mode (Select Mode):</w:t>
      </w:r>
      <w:r>
        <w:t xml:space="preserve"> </w:t>
      </w:r>
      <w:r>
        <w:t xml:space="preserve">The specified transport mode is \'Select Mode\'. For illustrative calculation, we assume Road Freight (HGV &gt; 20t).</w:t>
      </w:r>
    </w:p>
    <w:p>
      <w:pPr>
        <w:numPr>
          <w:ilvl w:val="0"/>
          <w:numId w:val="1006"/>
        </w:numPr>
        <w:pStyle w:val="Compact"/>
      </w:pPr>
      <w:r>
        <w:rPr>
          <w:bCs/>
          <w:b/>
        </w:rPr>
        <w:t xml:space="preserve">Transport Distance (rpmhgihsoe):</w:t>
      </w:r>
      <w:r>
        <w:t xml:space="preserve"> </w:t>
      </w:r>
      <w:r>
        <w:t xml:space="preserve">The transport distance is \'rpmhgihsoe\'. For illustrative purposes, we assume an average upstream distance of 500 km (materials to factory) and a downstream distance of 2000 km (factory to market) + 50 km (last-mile delivery).</w:t>
      </w:r>
    </w:p>
    <w:p>
      <w:pPr>
        <w:numPr>
          <w:ilvl w:val="0"/>
          <w:numId w:val="1006"/>
        </w:numPr>
        <w:pStyle w:val="Compact"/>
      </w:pPr>
      <w:r>
        <w:rPr>
          <w:bCs/>
          <w:b/>
        </w:rPr>
        <w:t xml:space="preserve">Last-Mile Delivery Channel (Delivery Type):</w:t>
      </w:r>
      <w:r>
        <w:t xml:space="preserve"> </w:t>
      </w:r>
      <w:r>
        <w:t xml:space="preserve">The last-mile delivery channel is \'Delivery Type\'. For illustrative calculation, we assume Van Delivery.</w:t>
      </w:r>
    </w:p>
    <w:p>
      <w:pPr>
        <w:numPr>
          <w:ilvl w:val="0"/>
          <w:numId w:val="1006"/>
        </w:numPr>
        <w:pStyle w:val="Compact"/>
      </w:pPr>
      <w:r>
        <w:rPr>
          <w:bCs/>
          <w:b/>
        </w:rPr>
        <w:t xml:space="preserve">Emission Factors for Transport:</w:t>
      </w:r>
      <w:r>
        <w:t xml:space="preserve"> </w:t>
      </w:r>
      <w:r>
        <w:t xml:space="preserve">Generic emission factors from sources like DEFRA are used for illustrative purposes, e.g., Road Freight (HGV &gt; 20t) at 0.08 kgCO2e/tkm and Van Delivery at 0.2 kgCO2e/tkm. (Assuming product mass of ~1 kg for calculation).</w:t>
      </w:r>
    </w:p>
    <w:bookmarkEnd w:id="31"/>
    <w:bookmarkStart w:id="32" w:name="use-phase-calculation"/>
    <w:p>
      <w:pPr>
        <w:pStyle w:val="Heading3"/>
      </w:pPr>
      <w:r>
        <w:t xml:space="preserve">Use Phase Calculation</w:t>
      </w:r>
    </w:p>
    <w:p>
      <w:pPr>
        <w:pStyle w:val="FirstParagraph"/>
      </w:pPr>
      <w:r>
        <w:t xml:space="preserve">The use phase impacts are incorporated to provide a comprehensive cradle-to-grave PCF, falling under Scope 3, Category 11 (Use of Sold Products).</w:t>
      </w:r>
    </w:p>
    <w:p>
      <w:pPr>
        <w:numPr>
          <w:ilvl w:val="0"/>
          <w:numId w:val="1007"/>
        </w:numPr>
        <w:pStyle w:val="Compact"/>
      </w:pPr>
      <w:r>
        <w:rPr>
          <w:bCs/>
          <w:b/>
        </w:rPr>
        <w:t xml:space="preserve">Product Lifespan (txqnongwgq):</w:t>
      </w:r>
      <w:r>
        <w:t xml:space="preserve"> </w:t>
      </w:r>
      <w:r>
        <w:t xml:space="preserve">The product has a lifespan of \'txqnongwgq\'. For illustrative purposes, we assume 5 years.</w:t>
      </w:r>
    </w:p>
    <w:p>
      <w:pPr>
        <w:numPr>
          <w:ilvl w:val="0"/>
          <w:numId w:val="1007"/>
        </w:numPr>
        <w:pStyle w:val="Compact"/>
      </w:pPr>
      <w:r>
        <w:rPr>
          <w:bCs/>
          <w:b/>
        </w:rPr>
        <w:t xml:space="preserve">Energy Consumption in Use (mdyuvkmudi):</w:t>
      </w:r>
      <w:r>
        <w:t xml:space="preserve"> </w:t>
      </w:r>
      <w:r>
        <w:t xml:space="preserve">Energy consumption in use is \'mdyuvkmudi\' per year. For illustrative purposes, we assume 10 kWh/year.</w:t>
      </w:r>
    </w:p>
    <w:p>
      <w:pPr>
        <w:numPr>
          <w:ilvl w:val="0"/>
          <w:numId w:val="1007"/>
        </w:numPr>
        <w:pStyle w:val="Compact"/>
      </w:pPr>
      <w:r>
        <w:rPr>
          <w:bCs/>
          <w:b/>
        </w:rPr>
        <w:t xml:space="preserve">Emission Factor for Use Phase Electricity:</w:t>
      </w:r>
      <w:r>
        <w:t xml:space="preserve"> </w:t>
      </w:r>
      <w:r>
        <w:t xml:space="preserve">Given the \'Europe Focused\' supply chain, an average European electricity grid emission factor is used for the use phase, e.g., 0.25 kgCO2e/kWh (within the range of 0.181 - 0.288 kgCO2e/kWh).</w:t>
      </w:r>
    </w:p>
    <w:bookmarkEnd w:id="32"/>
    <w:bookmarkStart w:id="33" w:name="end-of-life-eol-scenarios"/>
    <w:p>
      <w:pPr>
        <w:pStyle w:val="Heading3"/>
      </w:pPr>
      <w:r>
        <w:t xml:space="preserve">End-of-Life (EoL) Scenarios</w:t>
      </w:r>
    </w:p>
    <w:p>
      <w:pPr>
        <w:pStyle w:val="FirstParagraph"/>
      </w:pPr>
      <w:r>
        <w:t xml:space="preserve">End-of-life impacts reflect circular economy principles and are reported under Scope 3, Category 12 (End-of-Life Treatment of Sold Products).</w:t>
      </w:r>
    </w:p>
    <w:p>
      <w:pPr>
        <w:numPr>
          <w:ilvl w:val="0"/>
          <w:numId w:val="1008"/>
        </w:numPr>
        <w:pStyle w:val="Compact"/>
      </w:pPr>
      <w:r>
        <w:rPr>
          <w:bCs/>
          <w:b/>
        </w:rPr>
        <w:t xml:space="preserve">Recyclability Percentage (uigkejjwds):</w:t>
      </w:r>
      <w:r>
        <w:t xml:space="preserve"> </w:t>
      </w:r>
      <w:r>
        <w:t xml:space="preserve">The product has a recyclability percentage of \'uigkejjwds\'. For illustrative purposes, we assume 80% recyclability.</w:t>
      </w:r>
    </w:p>
    <w:p>
      <w:pPr>
        <w:numPr>
          <w:ilvl w:val="0"/>
          <w:numId w:val="1008"/>
        </w:numPr>
        <w:pStyle w:val="Compact"/>
      </w:pPr>
      <w:r>
        <w:rPr>
          <w:bCs/>
          <w:b/>
        </w:rPr>
        <w:t xml:space="preserve">Circular/Take-back Programs (emshqiiwfn):</w:t>
      </w:r>
      <w:r>
        <w:t xml:space="preserve"> </w:t>
      </w:r>
      <w:r>
        <w:t xml:space="preserve">\'nlnpeuruzs\' implements \'emshqiiwfn\'. This signifies a commitment to circularity, reducing the need for virgin materials and mitigating EoL impacts. For illustrative purposes, we assume "Product refurbishment and component reuse program."</w:t>
      </w:r>
    </w:p>
    <w:p>
      <w:pPr>
        <w:numPr>
          <w:ilvl w:val="0"/>
          <w:numId w:val="1008"/>
        </w:numPr>
        <w:pStyle w:val="Compact"/>
      </w:pPr>
      <w:r>
        <w:rPr>
          <w:bCs/>
          <w:b/>
        </w:rPr>
        <w:t xml:space="preserve">Emission Factors for EoL:</w:t>
      </w:r>
      <w:r>
        <w:t xml:space="preserve"> </w:t>
      </w:r>
      <w:r>
        <w:t xml:space="preserve">Illustrative emission factors for disposal (e.g., landfill at 1.5 kgCO2e/kg) and recycling credits (e.g., -1.0 kgCO2e/kg for avoided virgin material production) are used. (Assuming product mass of ~1 kg).</w:t>
      </w:r>
    </w:p>
    <w:p>
      <w:r>
        <w:pict>
          <v:rect style="width:0;height:1.5pt" o:hralign="center" o:hrstd="t" o:hr="t"/>
        </w:pict>
      </w:r>
    </w:p>
    <w:bookmarkEnd w:id="33"/>
    <w:bookmarkEnd w:id="34"/>
    <w:bookmarkStart w:id="43" w:name="X45b340bf1c45fb0f280ee089cf58cb7a2ad362e"/>
    <w:p>
      <w:pPr>
        <w:pStyle w:val="Heading2"/>
      </w:pPr>
      <w:r>
        <w:t xml:space="preserve">Emissions Calculation and GHG Protocol Scopes</w:t>
      </w:r>
    </w:p>
    <w:p>
      <w:pPr>
        <w:pStyle w:val="FirstParagraph"/>
      </w:pPr>
      <w:r>
        <w:t xml:space="preserve">The following section details the illustrative calculations for the PCF of \'dijsuxztyq\' per functional unit, categorized by GHG Protocol Scopes.</w:t>
      </w:r>
    </w:p>
    <w:bookmarkStart w:id="35" w:name="scope-1-direct-emissions-illustrative"/>
    <w:p>
      <w:pPr>
        <w:pStyle w:val="Heading3"/>
      </w:pPr>
      <w:r>
        <w:t xml:space="preserve">Scope 1: Direct Emissions (Illustrative)</w:t>
      </w:r>
    </w:p>
    <w:p>
      <w:pPr>
        <w:pStyle w:val="FirstParagraph"/>
      </w:pPr>
      <w:r>
        <w:t xml:space="preserve">These are direct GHG emissions from sources owned or controlled by \'nlnpeuruzs\' during the manufacturing of \'dijsuxztyq\'. For this product, we assume minor direct emissions not tied to electricity consumption.</w:t>
      </w:r>
    </w:p>
    <w:p>
      <w:pPr>
        <w:numPr>
          <w:ilvl w:val="0"/>
          <w:numId w:val="1009"/>
        </w:numPr>
        <w:pStyle w:val="Compact"/>
      </w:pPr>
      <w:r>
        <w:rPr>
          <w:bCs/>
          <w:b/>
        </w:rPr>
        <w:t xml:space="preserve">Illustrative Scope 1 Emissions:</w:t>
      </w:r>
      <w:r>
        <w:t xml:space="preserve"> </w:t>
      </w:r>
      <w:r>
        <w:t xml:space="preserve">0.1 kgCO2e/unit</w:t>
      </w:r>
    </w:p>
    <w:bookmarkEnd w:id="35"/>
    <w:bookmarkStart w:id="36" w:name="X802a3d552d0e1636168b4be562b02747a2abd1c"/>
    <w:p>
      <w:pPr>
        <w:pStyle w:val="Heading3"/>
      </w:pPr>
      <w:r>
        <w:t xml:space="preserve">Scope 2: Energy Indirect Emissions (Illustrative)</w:t>
      </w:r>
    </w:p>
    <w:p>
      <w:pPr>
        <w:pStyle w:val="FirstParagraph"/>
      </w:pPr>
      <w:r>
        <w:t xml:space="preserve">These are indirect GHG emissions from the generation of purchased electricity consumed during the manufacturing of \'dijsuxztyq\' in China.</w:t>
      </w:r>
    </w:p>
    <w:p>
      <w:pPr>
        <w:numPr>
          <w:ilvl w:val="0"/>
          <w:numId w:val="1010"/>
        </w:numPr>
        <w:pStyle w:val="Compact"/>
      </w:pPr>
      <w:r>
        <w:t xml:space="preserve">Energy Intensity: 15 kWh/unit (from \'ernxufiurl\' example)</w:t>
      </w:r>
    </w:p>
    <w:p>
      <w:pPr>
        <w:numPr>
          <w:ilvl w:val="0"/>
          <w:numId w:val="1010"/>
        </w:numPr>
        <w:pStyle w:val="Compact"/>
      </w:pPr>
      <w:r>
        <w:t xml:space="preserve">Renewable Energy Usage: 70% (from \'sxonuruqhf\' example)</w:t>
      </w:r>
    </w:p>
    <w:p>
      <w:pPr>
        <w:numPr>
          <w:ilvl w:val="0"/>
          <w:numId w:val="1010"/>
        </w:numPr>
        <w:pStyle w:val="Compact"/>
      </w:pPr>
      <w:r>
        <w:t xml:space="preserve">Non-renewable electricity consumption: 15 kWh/unit * (1 - 0.70) = 4.5 kWh/unit</w:t>
      </w:r>
    </w:p>
    <w:p>
      <w:pPr>
        <w:numPr>
          <w:ilvl w:val="0"/>
          <w:numId w:val="1010"/>
        </w:numPr>
        <w:pStyle w:val="Compact"/>
      </w:pPr>
      <w:r>
        <w:t xml:space="preserve">China Grid Emission Factor (illustrative): 0.6 kgCO2e/kWh</w:t>
      </w:r>
    </w:p>
    <w:p>
      <w:pPr>
        <w:numPr>
          <w:ilvl w:val="0"/>
          <w:numId w:val="1010"/>
        </w:numPr>
        <w:pStyle w:val="Compact"/>
      </w:pPr>
      <w:r>
        <w:rPr>
          <w:bCs/>
          <w:b/>
        </w:rPr>
        <w:t xml:space="preserve">Illustrative Scope 2 Emissions:</w:t>
      </w:r>
      <w:r>
        <w:t xml:space="preserve"> </w:t>
      </w:r>
      <w:r>
        <w:t xml:space="preserve">4.5 kWh/unit * 0.6 kgCO2e/kWh = 2.7 kgCO2e/unit</w:t>
      </w:r>
    </w:p>
    <w:bookmarkEnd w:id="36"/>
    <w:bookmarkStart w:id="41" w:name="Xace7ae4c0c937af54a869918d2c5aae52d01d46"/>
    <w:p>
      <w:pPr>
        <w:pStyle w:val="Heading3"/>
      </w:pPr>
      <w:r>
        <w:t xml:space="preserve">Scope 3: Other Indirect Emissions (Illustrative)</w:t>
      </w:r>
    </w:p>
    <w:p>
      <w:pPr>
        <w:pStyle w:val="FirstParagraph"/>
      </w:pPr>
      <w:r>
        <w:t xml:space="preserve">Scope 3 emissions cover all other indirect emissions that occur in the value chain of \'nlnpeuruzs\', both upstream and downstream. This analysis aims for a 95% coverage as per 2026 GHG Protocol requirements.</w:t>
      </w:r>
    </w:p>
    <w:bookmarkStart w:id="37" w:name="Xa94fbbee670bc6d4ab6be7b07ee4e3f7e9708f7"/>
    <w:p>
      <w:pPr>
        <w:pStyle w:val="Heading4"/>
      </w:pPr>
      <w:r>
        <w:t xml:space="preserve">Category 1: Purchased Goods and Services (Materials &amp; Upstream Transport)</w:t>
      </w:r>
    </w:p>
    <w:p>
      <w:pPr>
        <w:pStyle w:val="FirstParagraph"/>
      </w:pPr>
      <w:r>
        <w:t xml:space="preserve">Emissions from the extraction, production, and transportation of raw materials and components.</w:t>
      </w:r>
    </w:p>
    <w:p>
      <w:pPr>
        <w:numPr>
          <w:ilvl w:val="0"/>
          <w:numId w:val="1011"/>
        </w:numPr>
        <w:pStyle w:val="Compact"/>
      </w:pPr>
      <w:r>
        <w:rPr>
          <w:bCs/>
          <w:b/>
        </w:rPr>
        <w:t xml:space="preserve">Material Emissions:</w:t>
      </w:r>
      <w:r>
        <w:t xml:space="preserve"> </w:t>
      </w:r>
      <w:r>
        <w:t xml:space="preserve">Sum of \'Total Carbon\' from BOM (nrmimese) = 7.8 kgCO2e/unit</w:t>
      </w:r>
    </w:p>
    <w:p>
      <w:pPr>
        <w:numPr>
          <w:ilvl w:val="0"/>
          <w:numId w:val="1011"/>
        </w:numPr>
        <w:pStyle w:val="Compact"/>
      </w:pPr>
      <w:r>
        <w:rPr>
          <w:bCs/>
          <w:b/>
        </w:rPr>
        <w:t xml:space="preserve">Upstream Transport Emissions (Illustrative):</w:t>
      </w:r>
    </w:p>
    <w:p>
      <w:pPr>
        <w:numPr>
          <w:ilvl w:val="1"/>
          <w:numId w:val="1012"/>
        </w:numPr>
        <w:pStyle w:val="Compact"/>
      </w:pPr>
      <w:r>
        <w:t xml:space="preserve">Estimated Material Mass: ~1 kg/unit (from BOM example)</w:t>
      </w:r>
    </w:p>
    <w:p>
      <w:pPr>
        <w:numPr>
          <w:ilvl w:val="1"/>
          <w:numId w:val="1012"/>
        </w:numPr>
        <w:pStyle w:val="Compact"/>
      </w:pPr>
      <w:r>
        <w:t xml:space="preserve">Transport Distance: 500 km (illustrative from \'rpmhgihsoe\' example)</w:t>
      </w:r>
    </w:p>
    <w:p>
      <w:pPr>
        <w:numPr>
          <w:ilvl w:val="1"/>
          <w:numId w:val="1012"/>
        </w:numPr>
        <w:pStyle w:val="Compact"/>
      </w:pPr>
      <w:r>
        <w:t xml:space="preserve">Transport Mode: Road Freight (HGV &gt; 20t)</w:t>
      </w:r>
    </w:p>
    <w:p>
      <w:pPr>
        <w:numPr>
          <w:ilvl w:val="1"/>
          <w:numId w:val="1012"/>
        </w:numPr>
        <w:pStyle w:val="Compact"/>
      </w:pPr>
      <w:r>
        <w:t xml:space="preserve">Emission Factor: 0.00008 kgCO2e/kg.km (illustrative from DEFRA)</w:t>
      </w:r>
    </w:p>
    <w:p>
      <w:pPr>
        <w:numPr>
          <w:ilvl w:val="1"/>
          <w:numId w:val="1012"/>
        </w:numPr>
        <w:pStyle w:val="Compact"/>
      </w:pPr>
      <w:r>
        <w:t xml:space="preserve">Calculation: 1 kg * 500 km * 0.00008 kgCO2e/kg.km = 0.04 kgCO2e/unit</w:t>
      </w:r>
    </w:p>
    <w:p>
      <w:pPr>
        <w:numPr>
          <w:ilvl w:val="0"/>
          <w:numId w:val="1011"/>
        </w:numPr>
        <w:pStyle w:val="Compact"/>
      </w:pPr>
      <w:r>
        <w:rPr>
          <w:bCs/>
          <w:b/>
        </w:rPr>
        <w:t xml:space="preserve">Total Scope 3, Category 1 Emissions:</w:t>
      </w:r>
      <w:r>
        <w:t xml:space="preserve"> </w:t>
      </w:r>
      <w:r>
        <w:t xml:space="preserve">7.8 + 0.04 = 7.84 kgCO2e/unit</w:t>
      </w:r>
    </w:p>
    <w:bookmarkEnd w:id="37"/>
    <w:bookmarkStart w:id="38" w:name="X9639dbd95d4fa7fc9df1fe85510e20421d91417"/>
    <w:p>
      <w:pPr>
        <w:pStyle w:val="Heading4"/>
      </w:pPr>
      <w:r>
        <w:t xml:space="preserve">Category 4 &amp; 9: Downstream Transport and Distribution (Illustrative)</w:t>
      </w:r>
    </w:p>
    <w:p>
      <w:pPr>
        <w:pStyle w:val="FirstParagraph"/>
      </w:pPr>
      <w:r>
        <w:t xml:space="preserve">Emissions from transporting the finished product from the factory to the end-consumer, including last-mile delivery.</w:t>
      </w:r>
    </w:p>
    <w:p>
      <w:pPr>
        <w:numPr>
          <w:ilvl w:val="0"/>
          <w:numId w:val="1013"/>
        </w:numPr>
        <w:pStyle w:val="Compact"/>
      </w:pPr>
      <w:r>
        <w:rPr>
          <w:bCs/>
          <w:b/>
        </w:rPr>
        <w:t xml:space="preserve">Main Distribution (Illustrative):</w:t>
      </w:r>
    </w:p>
    <w:p>
      <w:pPr>
        <w:numPr>
          <w:ilvl w:val="1"/>
          <w:numId w:val="1014"/>
        </w:numPr>
        <w:pStyle w:val="Compact"/>
      </w:pPr>
      <w:r>
        <w:t xml:space="preserve">Product Mass: ~1 kg/unit</w:t>
      </w:r>
    </w:p>
    <w:p>
      <w:pPr>
        <w:numPr>
          <w:ilvl w:val="1"/>
          <w:numId w:val="1014"/>
        </w:numPr>
        <w:pStyle w:val="Compact"/>
      </w:pPr>
      <w:r>
        <w:t xml:space="preserve">Transport Distance: 2000 km (illustrative from \'rpmhgihsoe\' example)</w:t>
      </w:r>
    </w:p>
    <w:p>
      <w:pPr>
        <w:numPr>
          <w:ilvl w:val="1"/>
          <w:numId w:val="1014"/>
        </w:numPr>
        <w:pStyle w:val="Compact"/>
      </w:pPr>
      <w:r>
        <w:t xml:space="preserve">Transport Mode: Road Freight (HGV &gt; 20t)</w:t>
      </w:r>
    </w:p>
    <w:p>
      <w:pPr>
        <w:numPr>
          <w:ilvl w:val="1"/>
          <w:numId w:val="1014"/>
        </w:numPr>
        <w:pStyle w:val="Compact"/>
      </w:pPr>
      <w:r>
        <w:t xml:space="preserve">Emission Factor: 0.00008 kgCO2e/kg.km (illustrative from DEFRA)</w:t>
      </w:r>
    </w:p>
    <w:p>
      <w:pPr>
        <w:numPr>
          <w:ilvl w:val="1"/>
          <w:numId w:val="1014"/>
        </w:numPr>
        <w:pStyle w:val="Compact"/>
      </w:pPr>
      <w:r>
        <w:t xml:space="preserve">Calculation: 1 kg * 2000 km * 0.00008 kgCO2e/kg.km = 0.16 kgCO2e/unit</w:t>
      </w:r>
    </w:p>
    <w:p>
      <w:pPr>
        <w:numPr>
          <w:ilvl w:val="0"/>
          <w:numId w:val="1013"/>
        </w:numPr>
        <w:pStyle w:val="Compact"/>
      </w:pPr>
      <w:r>
        <w:rPr>
          <w:bCs/>
          <w:b/>
        </w:rPr>
        <w:t xml:space="preserve">Last-Mile Delivery (Illustrative):</w:t>
      </w:r>
    </w:p>
    <w:p>
      <w:pPr>
        <w:numPr>
          <w:ilvl w:val="1"/>
          <w:numId w:val="1015"/>
        </w:numPr>
        <w:pStyle w:val="Compact"/>
      </w:pPr>
      <w:r>
        <w:t xml:space="preserve">Product Mass: ~1 kg/unit</w:t>
      </w:r>
    </w:p>
    <w:p>
      <w:pPr>
        <w:numPr>
          <w:ilvl w:val="1"/>
          <w:numId w:val="1015"/>
        </w:numPr>
        <w:pStyle w:val="Compact"/>
      </w:pPr>
      <w:r>
        <w:t xml:space="preserve">Transport Distance: 50 km (illustrative from \'rpmhgihsoe\' example)</w:t>
      </w:r>
    </w:p>
    <w:p>
      <w:pPr>
        <w:numPr>
          <w:ilvl w:val="1"/>
          <w:numId w:val="1015"/>
        </w:numPr>
        <w:pStyle w:val="Compact"/>
      </w:pPr>
      <w:r>
        <w:t xml:space="preserve">Last-Mile Channel: Van Delivery (from \'Delivery Type\' example)</w:t>
      </w:r>
    </w:p>
    <w:p>
      <w:pPr>
        <w:numPr>
          <w:ilvl w:val="1"/>
          <w:numId w:val="1015"/>
        </w:numPr>
        <w:pStyle w:val="Compact"/>
      </w:pPr>
      <w:r>
        <w:t xml:space="preserve">Emission Factor: 0.0002 kgCO2e/kg.km (illustrative from DEFRA)</w:t>
      </w:r>
    </w:p>
    <w:p>
      <w:pPr>
        <w:numPr>
          <w:ilvl w:val="1"/>
          <w:numId w:val="1015"/>
        </w:numPr>
        <w:pStyle w:val="Compact"/>
      </w:pPr>
      <w:r>
        <w:t xml:space="preserve">Calculation: 1 kg * 50 km * 0.0002 kgCO2e/kg.km = 0.01 kgCO2e/unit</w:t>
      </w:r>
    </w:p>
    <w:p>
      <w:pPr>
        <w:numPr>
          <w:ilvl w:val="0"/>
          <w:numId w:val="1013"/>
        </w:numPr>
        <w:pStyle w:val="Compact"/>
      </w:pPr>
      <w:r>
        <w:rPr>
          <w:bCs/>
          <w:b/>
        </w:rPr>
        <w:t xml:space="preserve">Total Scope 3, Category 4 &amp; 9 Emissions:</w:t>
      </w:r>
      <w:r>
        <w:t xml:space="preserve"> </w:t>
      </w:r>
      <w:r>
        <w:t xml:space="preserve">0.16 + 0.01 = 0.17 kgCO2e/unit</w:t>
      </w:r>
    </w:p>
    <w:bookmarkEnd w:id="38"/>
    <w:bookmarkStart w:id="39" w:name="X5e86baefc030379ae746c01e7641262cba8e5b1"/>
    <w:p>
      <w:pPr>
        <w:pStyle w:val="Heading4"/>
      </w:pPr>
      <w:r>
        <w:t xml:space="preserve">Category 11: Use of Sold Products (Illustrative)</w:t>
      </w:r>
    </w:p>
    <w:p>
      <w:pPr>
        <w:pStyle w:val="FirstParagraph"/>
      </w:pPr>
      <w:r>
        <w:t xml:space="preserve">Emissions from the energy consumption during the product\'s lifespan by the end-user.</w:t>
      </w:r>
    </w:p>
    <w:p>
      <w:pPr>
        <w:numPr>
          <w:ilvl w:val="0"/>
          <w:numId w:val="1016"/>
        </w:numPr>
        <w:pStyle w:val="Compact"/>
      </w:pPr>
      <w:r>
        <w:t xml:space="preserve">Product Lifespan: 5 years (from \'txqnongwgq\' example)</w:t>
      </w:r>
    </w:p>
    <w:p>
      <w:pPr>
        <w:numPr>
          <w:ilvl w:val="0"/>
          <w:numId w:val="1016"/>
        </w:numPr>
        <w:pStyle w:val="Compact"/>
      </w:pPr>
      <w:r>
        <w:t xml:space="preserve">Energy Consumption in Use: 10 kWh/year (from \'mdyuvkmudi\' example)</w:t>
      </w:r>
    </w:p>
    <w:p>
      <w:pPr>
        <w:numPr>
          <w:ilvl w:val="0"/>
          <w:numId w:val="1016"/>
        </w:numPr>
        <w:pStyle w:val="Compact"/>
      </w:pPr>
      <w:r>
        <w:t xml:space="preserve">Total Energy Consumption: 10 kWh/year * 5 years = 50 kWh/unit</w:t>
      </w:r>
    </w:p>
    <w:p>
      <w:pPr>
        <w:numPr>
          <w:ilvl w:val="0"/>
          <w:numId w:val="1016"/>
        </w:numPr>
        <w:pStyle w:val="Compact"/>
      </w:pPr>
      <w:r>
        <w:t xml:space="preserve">Average Europe Electricity Grid Emission Factor (illustrative): 0.25 kgCO2e/kWh</w:t>
      </w:r>
    </w:p>
    <w:p>
      <w:pPr>
        <w:numPr>
          <w:ilvl w:val="0"/>
          <w:numId w:val="1016"/>
        </w:numPr>
        <w:pStyle w:val="Compact"/>
      </w:pPr>
      <w:r>
        <w:rPr>
          <w:bCs/>
          <w:b/>
        </w:rPr>
        <w:t xml:space="preserve">Illustrative Scope 3, Category 11 Emissions:</w:t>
      </w:r>
      <w:r>
        <w:t xml:space="preserve"> </w:t>
      </w:r>
      <w:r>
        <w:t xml:space="preserve">50 kWh/unit * 0.25 kgCO2e/kWh = 12.5 kgCO2e/unit</w:t>
      </w:r>
    </w:p>
    <w:bookmarkEnd w:id="39"/>
    <w:bookmarkStart w:id="40" w:name="X8a57682fc3d599bb3be5e6656d7faa352ab3284"/>
    <w:p>
      <w:pPr>
        <w:pStyle w:val="Heading4"/>
      </w:pPr>
      <w:r>
        <w:t xml:space="preserve">Category 12: End-of-Life Treatment of Sold Products (Illustrative)</w:t>
      </w:r>
    </w:p>
    <w:p>
      <w:pPr>
        <w:pStyle w:val="FirstParagraph"/>
      </w:pPr>
      <w:r>
        <w:t xml:space="preserve">Emissions and avoided emissions associated with the disposal and recycling of \'dijsuxztyq\' at the end of its life.</w:t>
      </w:r>
    </w:p>
    <w:p>
      <w:pPr>
        <w:numPr>
          <w:ilvl w:val="0"/>
          <w:numId w:val="1017"/>
        </w:numPr>
        <w:pStyle w:val="Compact"/>
      </w:pPr>
      <w:r>
        <w:t xml:space="preserve">Estimated Product Mass: ~1 kg/unit</w:t>
      </w:r>
    </w:p>
    <w:p>
      <w:pPr>
        <w:numPr>
          <w:ilvl w:val="0"/>
          <w:numId w:val="1017"/>
        </w:numPr>
        <w:pStyle w:val="Compact"/>
      </w:pPr>
      <w:r>
        <w:t xml:space="preserve">Recyclability Percentage: 80% (from \'uigkejjwds\' example)</w:t>
      </w:r>
    </w:p>
    <w:p>
      <w:pPr>
        <w:numPr>
          <w:ilvl w:val="0"/>
          <w:numId w:val="1017"/>
        </w:numPr>
        <w:pStyle w:val="Compact"/>
      </w:pPr>
      <w:r>
        <w:t xml:space="preserve">Non-recycled Portion: 1 kg * (1 - 0.80) = 0.2 kg/unit</w:t>
      </w:r>
    </w:p>
    <w:p>
      <w:pPr>
        <w:numPr>
          <w:ilvl w:val="0"/>
          <w:numId w:val="1017"/>
        </w:numPr>
        <w:pStyle w:val="Compact"/>
      </w:pPr>
      <w:r>
        <w:t xml:space="preserve">Disposal Emission Factor (e.g., landfill/incineration, illustrative): 1.5 kgCO2e/kg</w:t>
      </w:r>
    </w:p>
    <w:p>
      <w:pPr>
        <w:numPr>
          <w:ilvl w:val="0"/>
          <w:numId w:val="1017"/>
        </w:numPr>
        <w:pStyle w:val="Compact"/>
      </w:pPr>
      <w:r>
        <w:t xml:space="preserve">Emissions from Disposal: 0.2 kg * 1.5 kgCO2e/kg = 0.3 kgCO2e/unit</w:t>
      </w:r>
    </w:p>
    <w:p>
      <w:pPr>
        <w:numPr>
          <w:ilvl w:val="0"/>
          <w:numId w:val="1017"/>
        </w:numPr>
        <w:pStyle w:val="Compact"/>
      </w:pPr>
      <w:r>
        <w:t xml:space="preserve">Recycled Portion: 1 kg * 0.80 = 0.8 kg/unit</w:t>
      </w:r>
    </w:p>
    <w:p>
      <w:pPr>
        <w:numPr>
          <w:ilvl w:val="0"/>
          <w:numId w:val="1017"/>
        </w:numPr>
        <w:pStyle w:val="Compact"/>
      </w:pPr>
      <w:r>
        <w:t xml:space="preserve">Recycling Credit Emission Factor (avoided emissions, illustrative): -1.0 kgCO2e/kg</w:t>
      </w:r>
    </w:p>
    <w:p>
      <w:pPr>
        <w:numPr>
          <w:ilvl w:val="0"/>
          <w:numId w:val="1017"/>
        </w:numPr>
        <w:pStyle w:val="Compact"/>
      </w:pPr>
      <w:r>
        <w:t xml:space="preserve">Avoided Emissions from Recycling: 0.8 kg * (-1.0 kgCO2e/kg) = -0.8 kgCO2e/unit</w:t>
      </w:r>
    </w:p>
    <w:p>
      <w:pPr>
        <w:numPr>
          <w:ilvl w:val="0"/>
          <w:numId w:val="1017"/>
        </w:numPr>
        <w:pStyle w:val="Compact"/>
      </w:pPr>
      <w:r>
        <w:t xml:space="preserve">Circular Programs (\'emshqiiwfn\'): The "Product refurbishment and component reuse program" indicates efforts to reduce end-of-life impact and virgin material demand, leading to further potential avoided emissions beyond direct recycling credits, though not quantitatively modeled here without specific data.</w:t>
      </w:r>
    </w:p>
    <w:p>
      <w:pPr>
        <w:numPr>
          <w:ilvl w:val="0"/>
          <w:numId w:val="1017"/>
        </w:numPr>
        <w:pStyle w:val="Compact"/>
      </w:pPr>
      <w:r>
        <w:rPr>
          <w:bCs/>
          <w:b/>
        </w:rPr>
        <w:t xml:space="preserve">Total Scope 3, Category 12 Emissions:</w:t>
      </w:r>
      <w:r>
        <w:t xml:space="preserve"> </w:t>
      </w:r>
      <w:r>
        <w:t xml:space="preserve">0.3 kgCO2e/unit - 0.8 kgCO2e/unit = -0.5 kgCO2e/unit (net removal)</w:t>
      </w:r>
    </w:p>
    <w:bookmarkEnd w:id="40"/>
    <w:bookmarkEnd w:id="41"/>
    <w:bookmarkStart w:id="42" w:name="X136abc41a18ecd4d59ac1fe1b4876857c7682b3"/>
    <w:p>
      <w:pPr>
        <w:pStyle w:val="Heading3"/>
      </w:pPr>
      <w:r>
        <w:t xml:space="preserve">Summary of Illustrative Product Carbon Footprint (PCF) for dijsuxztyq</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Illustrative CO2e (kg/unit)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0.10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2.70</w:t>
            </w:r>
          </w:p>
        </w:tc>
      </w:tr>
      <w:tr>
        <w:tc>
          <w:tcPr>
            <w:gridSpan w:val="3"/>
          </w:tcPr>
          <w:p>
            <w:pPr>
              <w:pStyle w:val="Compact"/>
              <w:jc w:val="left"/>
            </w:pPr>
            <w:r>
              <w:rPr>
                <w:bCs/>
                <w:b/>
              </w:rPr>
              <w:t xml:space="preserve">Scope 3: Value Chain Emissions</w:t>
            </w:r>
          </w:p>
        </w:tc>
      </w:tr>
      <w:tr>
        <w:tc>
          <w:tcPr/>
          <w:p>
            <w:pPr>
              <w:pStyle w:val="Compact"/>
              <w:jc w:val="left"/>
            </w:pPr>
            <w:r>
              <w:t xml:space="preserve">    Category 1</w:t>
            </w:r>
          </w:p>
        </w:tc>
        <w:tc>
          <w:tcPr/>
          <w:p>
            <w:pPr>
              <w:pStyle w:val="Compact"/>
              <w:jc w:val="left"/>
            </w:pPr>
            <w:r>
              <w:t xml:space="preserve">Purchased Goods &amp; Services (Materials)</w:t>
            </w:r>
          </w:p>
        </w:tc>
        <w:tc>
          <w:tcPr/>
          <w:p>
            <w:pPr>
              <w:pStyle w:val="Compact"/>
              <w:jc w:val="left"/>
            </w:pPr>
            <w:r>
              <w:t xml:space="preserve">7.80</w:t>
            </w:r>
          </w:p>
        </w:tc>
      </w:tr>
      <w:tr>
        <w:tc>
          <w:tcPr/>
          <w:p>
            <w:pPr>
              <w:pStyle w:val="Compact"/>
              <w:jc w:val="left"/>
            </w:pPr>
            <w:r>
              <w:t xml:space="preserve">    Category 1</w:t>
            </w:r>
          </w:p>
        </w:tc>
        <w:tc>
          <w:tcPr/>
          <w:p>
            <w:pPr>
              <w:pStyle w:val="Compact"/>
              <w:jc w:val="left"/>
            </w:pPr>
            <w:r>
              <w:t xml:space="preserve">Purchased Goods &amp; Services (Upstream Transport)</w:t>
            </w:r>
          </w:p>
        </w:tc>
        <w:tc>
          <w:tcPr/>
          <w:p>
            <w:pPr>
              <w:pStyle w:val="Compact"/>
              <w:jc w:val="left"/>
            </w:pPr>
            <w:r>
              <w:t xml:space="preserve">0.04</w:t>
            </w:r>
          </w:p>
        </w:tc>
      </w:tr>
      <w:tr>
        <w:tc>
          <w:tcPr/>
          <w:p>
            <w:pPr>
              <w:pStyle w:val="Compact"/>
              <w:jc w:val="left"/>
            </w:pPr>
            <w:r>
              <w:t xml:space="preserve">    Category 4 &amp; 9</w:t>
            </w:r>
          </w:p>
        </w:tc>
        <w:tc>
          <w:tcPr/>
          <w:p>
            <w:pPr>
              <w:pStyle w:val="Compact"/>
              <w:jc w:val="left"/>
            </w:pPr>
            <w:r>
              <w:t xml:space="preserve">Downstream Transport &amp; Distribution</w:t>
            </w:r>
          </w:p>
        </w:tc>
        <w:tc>
          <w:tcPr/>
          <w:p>
            <w:pPr>
              <w:pStyle w:val="Compact"/>
              <w:jc w:val="left"/>
            </w:pPr>
            <w:r>
              <w:t xml:space="preserve">0.17</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12.50</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-0.50</w:t>
            </w:r>
          </w:p>
        </w:tc>
      </w:tr>
      <w:tr>
        <w:tc>
          <w:tcPr>
            <w:gridSpan w:val="2"/>
          </w:tcPr>
          <w:p>
            <w:pPr>
              <w:pStyle w:val="Compact"/>
              <w:jc w:val="right"/>
            </w:pPr>
            <w:r>
              <w:rPr>
                <w:bCs/>
                <w:b/>
              </w:rPr>
              <w:t xml:space="preserve">Total Illustrative Scope 3 Emissions</w:t>
            </w:r>
          </w:p>
        </w:tc>
        <w:tc>
          <w:tcPr/>
          <w:p>
            <w:pPr>
              <w:pStyle w:val="Compact"/>
              <w:jc w:val="left"/>
            </w:pPr>
            <w:r>
              <w:rPr>
                <w:bCs/>
                <w:b/>
              </w:rPr>
              <w:t xml:space="preserve">20.01</w:t>
            </w:r>
          </w:p>
        </w:tc>
      </w:tr>
      <w:tr>
        <w:tc>
          <w:tcPr>
            <w:gridSpan w:val="2"/>
          </w:tcPr>
          <w:p>
            <w:pPr>
              <w:pStyle w:val="Compact"/>
              <w:jc w:val="right"/>
            </w:pPr>
            <w:r>
              <w:rPr>
                <w:bCs/>
                <w:b/>
              </w:rPr>
              <w:t xml:space="preserve">TOTAL PRODUCT CARBON FOOTPRINT (Illustrative)</w:t>
            </w:r>
          </w:p>
        </w:tc>
        <w:tc>
          <w:tcPr/>
          <w:p>
            <w:pPr>
              <w:pStyle w:val="Compact"/>
              <w:jc w:val="left"/>
            </w:pPr>
            <w:r>
              <w:rPr>
                <w:bCs/>
                <w:b/>
              </w:rPr>
              <w:t xml:space="preserve">22.81</w:t>
            </w:r>
          </w:p>
        </w:tc>
      </w:tr>
    </w:tbl>
    <w:p>
      <w:r>
        <w:pict>
          <v:rect style="width:0;height:1.5pt" o:hralign="center" o:hrstd="t" o:hr="t"/>
        </w:pict>
      </w:r>
    </w:p>
    <w:bookmarkEnd w:id="42"/>
    <w:bookmarkEnd w:id="43"/>
    <w:bookmarkStart w:id="47" w:name="review-report"/>
    <w:p>
      <w:pPr>
        <w:pStyle w:val="Heading2"/>
      </w:pPr>
      <w:r>
        <w:t xml:space="preserve">Review &amp; Report</w:t>
      </w:r>
    </w:p>
    <w:bookmarkStart w:id="44" w:name="hotspot-identification"/>
    <w:p>
      <w:pPr>
        <w:pStyle w:val="Heading3"/>
      </w:pPr>
      <w:r>
        <w:t xml:space="preserve">Hotspot Identification</w:t>
      </w:r>
    </w:p>
    <w:p>
      <w:pPr>
        <w:pStyle w:val="FirstParagraph"/>
      </w:pPr>
      <w:r>
        <w:t xml:space="preserve">Based on the illustrative calculations, the primary emission hotspots for \'dijsuxztyq\' are:</w:t>
      </w:r>
    </w:p>
    <w:p>
      <w:pPr>
        <w:numPr>
          <w:ilvl w:val="0"/>
          <w:numId w:val="1018"/>
        </w:numPr>
        <w:pStyle w:val="Compact"/>
      </w:pPr>
      <w:r>
        <w:rPr>
          <w:bCs/>
          <w:b/>
        </w:rPr>
        <w:t xml:space="preserve">Use Phase (Scope 3, Category 11):</w:t>
      </w:r>
      <w:r>
        <w:t xml:space="preserve"> </w:t>
      </w:r>
      <w:r>
        <w:t xml:space="preserve">This category accounts for the largest portion of the footprint (approx. 55%), largely due to the product\'s energy consumption over its assumed lifespan.</w:t>
      </w:r>
    </w:p>
    <w:p>
      <w:pPr>
        <w:numPr>
          <w:ilvl w:val="0"/>
          <w:numId w:val="1018"/>
        </w:numPr>
        <w:pStyle w:val="Compact"/>
      </w:pPr>
      <w:r>
        <w:rPr>
          <w:bCs/>
          <w:b/>
        </w:rPr>
        <w:t xml:space="preserve">Materials (Scope 3, Category 1):</w:t>
      </w:r>
      <w:r>
        <w:t xml:space="preserve"> </w:t>
      </w:r>
      <w:r>
        <w:t xml:space="preserve">The production of raw materials and components, particularly the Lithium-Ion Battery and Aluminum Casing, represents the second most significant impact (approx. 34%).</w:t>
      </w:r>
    </w:p>
    <w:p>
      <w:pPr>
        <w:numPr>
          <w:ilvl w:val="0"/>
          <w:numId w:val="1018"/>
        </w:numPr>
        <w:pStyle w:val="Compact"/>
      </w:pPr>
      <w:r>
        <w:rPr>
          <w:bCs/>
          <w:b/>
        </w:rPr>
        <w:t xml:space="preserve">Manufacturing (Scope 2):</w:t>
      </w:r>
      <w:r>
        <w:t xml:space="preserve"> </w:t>
      </w:r>
      <w:r>
        <w:t xml:space="preserve">Purchased electricity for production contributes a notable share (approx. 12%), even with the assumed renewable energy usage.</w:t>
      </w:r>
    </w:p>
    <w:bookmarkEnd w:id="44"/>
    <w:bookmarkStart w:id="45" w:name="reliability-statement"/>
    <w:p>
      <w:pPr>
        <w:pStyle w:val="Heading3"/>
      </w:pPr>
      <w:r>
        <w:t xml:space="preserve">Reliability Statement</w:t>
      </w:r>
    </w:p>
    <w:p>
      <w:pPr>
        <w:pStyle w:val="FirstParagraph"/>
      </w:pPr>
      <w:r>
        <w:t xml:space="preserve">This report has been prepared using the specific parameters and data provided by \'nlnpeuruzs\' and augmented with illustrative, industry-standard emission factors from reputable sources such as Ecoinvent and DEFRA, where primary data was not explicitly supplied. The methodology strictly adheres to the GHG Protocol. It is important to note that actual values for placeholder parameters would be required for a definitive, auditable report. The calculations provided herein are illustrative and demonstrate the methodological approach.</w:t>
      </w:r>
    </w:p>
    <w:bookmarkEnd w:id="45"/>
    <w:bookmarkStart w:id="46" w:name="recommendations-for-reduction"/>
    <w:p>
      <w:pPr>
        <w:pStyle w:val="Heading3"/>
      </w:pPr>
      <w:r>
        <w:t xml:space="preserve">Recommendations for Reduction</w:t>
      </w:r>
    </w:p>
    <w:p>
      <w:pPr>
        <w:pStyle w:val="FirstParagraph"/>
      </w:pPr>
      <w:r>
        <w:t xml:space="preserve">To reduce the PCF of \'dijsuxztyq\', \'nlnpeuruzs\' should focus on:</w:t>
      </w:r>
    </w:p>
    <w:p>
      <w:pPr>
        <w:numPr>
          <w:ilvl w:val="0"/>
          <w:numId w:val="1019"/>
        </w:numPr>
        <w:pStyle w:val="Compact"/>
      </w:pPr>
      <w:r>
        <w:rPr>
          <w:bCs/>
          <w:b/>
        </w:rPr>
        <w:t xml:space="preserve">Use Phase Optimization:</w:t>
      </w:r>
      <w:r>
        <w:t xml:space="preserve"> </w:t>
      </w:r>
      <w:r>
        <w:t xml:space="preserve">Invest in R&amp;D to improve product energy efficiency and explore lower-carbon energy sources for product operation, potentially through product design for compatibility with renewable home energy systems.</w:t>
      </w:r>
    </w:p>
    <w:p>
      <w:pPr>
        <w:numPr>
          <w:ilvl w:val="0"/>
          <w:numId w:val="1019"/>
        </w:numPr>
        <w:pStyle w:val="Compact"/>
      </w:pPr>
      <w:r>
        <w:rPr>
          <w:bCs/>
          <w:b/>
        </w:rPr>
        <w:t xml:space="preserve">Sustainable Material Sourcing:</w:t>
      </w:r>
      <w:r>
        <w:t xml:space="preserve"> </w:t>
      </w:r>
      <w:r>
        <w:t xml:space="preserve">Prioritize suppliers with lower embodied carbon for materials identified as hotspots (e.g., batteries, aluminum, plastics). Explore using recycled content or bio-based alternatives with verified lower footprints.</w:t>
      </w:r>
    </w:p>
    <w:p>
      <w:pPr>
        <w:numPr>
          <w:ilvl w:val="0"/>
          <w:numId w:val="1019"/>
        </w:numPr>
        <w:pStyle w:val="Compact"/>
      </w:pPr>
      <w:r>
        <w:rPr>
          <w:bCs/>
          <w:b/>
        </w:rPr>
        <w:t xml:space="preserve">Renewable Energy Integration:</w:t>
      </w:r>
      <w:r>
        <w:t xml:space="preserve"> </w:t>
      </w:r>
      <w:r>
        <w:t xml:space="preserve">Further increase renewable energy procurement or on-site generation at manufacturing facilities in China to reduce Scope 2 emissions.</w:t>
      </w:r>
    </w:p>
    <w:p>
      <w:pPr>
        <w:numPr>
          <w:ilvl w:val="0"/>
          <w:numId w:val="1019"/>
        </w:numPr>
        <w:pStyle w:val="Compact"/>
      </w:pPr>
      <w:r>
        <w:rPr>
          <w:bCs/>
          <w:b/>
        </w:rPr>
        <w:t xml:space="preserve">Circular Economy Strategies:</w:t>
      </w:r>
      <w:r>
        <w:t xml:space="preserve"> </w:t>
      </w:r>
      <w:r>
        <w:t xml:space="preserve">Strengthen and expand the \'emshqiiwfn\' (e.g., "Product refurbishment and component reuse program") to maximize material recovery, reuse, and recycling, thereby increasing avoided emissions and reducing reliance on virgin materials.</w:t>
      </w:r>
    </w:p>
    <w:p>
      <w:pPr>
        <w:numPr>
          <w:ilvl w:val="0"/>
          <w:numId w:val="1019"/>
        </w:numPr>
        <w:pStyle w:val="Compact"/>
      </w:pPr>
      <w:r>
        <w:rPr>
          <w:bCs/>
          <w:b/>
        </w:rPr>
        <w:t xml:space="preserve">Logistics Optimization:</w:t>
      </w:r>
      <w:r>
        <w:t xml:space="preserve"> </w:t>
      </w:r>
      <w:r>
        <w:t xml:space="preserve">Explore more carbon-efficient transport modes and optimize logistics networks to reduce transport distances, especially for upstream material flows.</w: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dijsuxztyq</dc:title>
  <dc:creator/>
  <dc:description>High-detail Product Carbon Footprint (PCF) analysis report for dijsuxztyq by Senior Sustainability Consultant rwpjteltpo for nlnpeuruzs, adhering to GHG Protocol and 2026 updates.</dc:description>
  <dc:language>en</dc:language>
  <cp:keywords/>
  <dcterms:created xsi:type="dcterms:W3CDTF">2026-07-15T12:47:48Z</dcterms:created>
  <dcterms:modified xsi:type="dcterms:W3CDTF">2026-07-15T12:47:48Z</dcterms:modified>
</cp:coreProperties>
</file>

<file path=docProps/custom.xml><?xml version="1.0" encoding="utf-8"?>
<Properties xmlns="http://schemas.openxmlformats.org/officeDocument/2006/custom-properties" xmlns:vt="http://schemas.openxmlformats.org/officeDocument/2006/docPropsVTypes"/>
</file>