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dhkqyxnmwe</w:t>
      </w:r>
      <w:r>
        <w:t xml:space="preserve"> </w:t>
      </w:r>
      <w:r>
        <w:t xml:space="preserve">-</w:t>
      </w:r>
      <w:r>
        <w:t xml:space="preserve"> </w:t>
      </w:r>
      <w:r>
        <w:t xml:space="preserve">yxdzwkhnks</w:t>
      </w:r>
    </w:p>
    <w:p>
      <w:pPr>
        <w:pStyle w:val="FirstParagraph"/>
      </w:pPr>
      <w:r>
        <w:t xml:space="preserve">carboncalcpcf.com</w:t>
      </w:r>
    </w:p>
    <w:bookmarkStart w:id="20" w:name="product-carbon-footprint-analysis"/>
    <w:p>
      <w:pPr>
        <w:pStyle w:val="Heading1"/>
      </w:pPr>
      <w:r>
        <w:t xml:space="preserve">Product Carbon Footprint Analysis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dhkqyxnmwe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yxdzwkhnks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uepyukfrns</w:t>
      </w:r>
    </w:p>
    <w:p>
      <w:pPr>
        <w:pStyle w:val="BodyText"/>
      </w:pPr>
      <w:r>
        <w:rPr>
          <w:iCs/>
          <w:i/>
        </w:rPr>
        <w:t xml:space="preserve">Disclaimer: This report is generated based on available data and industry standards.</w:t>
      </w:r>
      <w:r>
        <w:rPr>
          <w:iCs/>
          <w:i/>
        </w:rPr>
        <w:t xml:space="preserve"> </w:t>
      </w:r>
      <w:r>
        <w:rPr>
          <w:iCs/>
          <w:i/>
        </w:rPr>
        <w:t xml:space="preserve">All calculations use illustrative emission factors and placeholder data as provided,</w:t>
      </w:r>
      <w:r>
        <w:rPr>
          <w:iCs/>
          <w:i/>
        </w:rPr>
        <w:t xml:space="preserve"> </w:t>
      </w:r>
      <w:r>
        <w:rPr>
          <w:iCs/>
          <w:i/>
        </w:rPr>
        <w:t xml:space="preserve">aiming to demonstrate a comprehensive PCF analysis methodology.</w:t>
      </w:r>
    </w:p>
    <w:bookmarkEnd w:id="20"/>
    <w:bookmarkStart w:id="21" w:name="X2e1f5156aec06263f951f0920a269dc3a6ba90f"/>
    <w:p>
      <w:pPr>
        <w:pStyle w:val="Heading1"/>
      </w:pPr>
      <w:r>
        <w:t xml:space="preserve">Product Carbon Footprint Report: dhkqyxnmwe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21,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Product Carbon Footprint (PCF) analysis, conducted by uepyukfrns, Senior Sustainability Consultant,</w:t>
      </w:r>
      <w:r>
        <w:t xml:space="preserve"> </w:t>
      </w:r>
      <w:r>
        <w:t xml:space="preserve">for yxdzwkhnks\'s product dhkqyxnmwe, provides a comprehensive assessment of its greenhouse gas (GHG)</w:t>
      </w:r>
      <w:r>
        <w:t xml:space="preserve"> </w:t>
      </w:r>
      <w:r>
        <w:t xml:space="preserve">emissions across its lifecycle. Adhering to the GHG Protocol and incorporating elements of the 2026</w:t>
      </w:r>
      <w:r>
        <w:t xml:space="preserve"> </w:t>
      </w:r>
      <w:r>
        <w:t xml:space="preserve">Land Sector and Removals (LSR) Standard, this report details emissions from raw material extraction</w:t>
      </w:r>
      <w:r>
        <w:t xml:space="preserve"> </w:t>
      </w:r>
      <w:r>
        <w:t xml:space="preserve">through manufacturing, transportation, use, and end-of-life phases. The analysis highlights key emission</w:t>
      </w:r>
      <w:r>
        <w:t xml:space="preserve"> </w:t>
      </w:r>
      <w:r>
        <w:t xml:space="preserve">hotspots and offers insights for potential reduction strategies, ensuring at least 95% coverage for Scope 3 reporting</w:t>
      </w:r>
      <w:r>
        <w:t xml:space="preserve"> </w:t>
      </w:r>
      <w:r>
        <w:t xml:space="preserve">as per 2026 requirements.</w:t>
      </w:r>
    </w:p>
    <w:p>
      <w:r>
        <w:pict>
          <v:rect style="width:0;height:1.5pt" o:hralign="center" o:hrstd="t" o:hr="t"/>
        </w:pict>
      </w:r>
    </w:p>
    <w:bookmarkEnd w:id="22"/>
    <w:bookmarkStart w:id="23" w:name="defining-the-scope-of-analysis"/>
    <w:p>
      <w:pPr>
        <w:pStyle w:val="Heading2"/>
      </w:pPr>
      <w:r>
        <w:t xml:space="preserve">1. Defining the Scope of Analysis</w:t>
      </w:r>
    </w:p>
    <w:p>
      <w:pPr>
        <w:pStyle w:val="FirstParagraph"/>
      </w:pPr>
      <w:r>
        <w:t xml:space="preserve">This PCF analysis is meticulously defined to ensure accurate and relevant emission quantification for the product dhkqyxnmwe.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dhkqyxnmwe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Factory-gate to grave. This includes raw material acquisition, manufacturing (up to the point the product leaves the factory), transportation, product use, and end-of-life.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occurs in China, with a supply chain focus on Europe for raw materials and product distribution.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(Product Standard). This report also acknowledges and conceptually applies the principles of the 2026 Land Sector and Removals (LSR) Standard for any relevant land-use impacts or carbon removals within the value chain.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 allocation is primarily used for shared processes or resources where applicable.</w:t>
      </w:r>
    </w:p>
    <w:p>
      <w:r>
        <w:pict>
          <v:rect style="width:0;height:1.5pt" o:hralign="center" o:hrstd="t" o:hr="t"/>
        </w:pict>
      </w:r>
    </w:p>
    <w:bookmarkEnd w:id="23"/>
    <w:bookmarkStart w:id="29" w:name="X67a184d385d95f1f2ba987b7a85ed49c54816d0"/>
    <w:p>
      <w:pPr>
        <w:pStyle w:val="Heading2"/>
      </w:pPr>
      <w:r>
        <w:t xml:space="preserve">2. Mapping the Lifecycle and 3. Data Collection (LCI Inventory)</w:t>
      </w:r>
    </w:p>
    <w:p>
      <w:pPr>
        <w:pStyle w:val="FirstParagraph"/>
      </w:pPr>
      <w:r>
        <w:t xml:space="preserve">The lifecycle of dhkqyxnmwe is mapped across key stages, and primary and secondary data points are collected to build a robust Life Cycle Inventory (LCI).</w:t>
      </w:r>
      <w:r>
        <w:t xml:space="preserve"> </w:t>
      </w:r>
      <w:r>
        <w:t xml:space="preserve">The Detailed Bill of Materials (BOM) for dhkqyxnmwe has been utilized to provide high-accuracy material impact calculations.</w:t>
      </w:r>
    </w:p>
    <w:bookmarkStart w:id="24" w:name="X2a684f39a7d1b3e763b234c920ccd36af349952"/>
    <w:p>
      <w:pPr>
        <w:pStyle w:val="Heading3"/>
      </w:pPr>
      <w:r>
        <w:t xml:space="preserve">Detailed Bill of Materials (BOM) - uygsmskl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PCB 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Li-ion Battery Pack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Machining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(Recycled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 &amp;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0.12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Carbon from BOM:</w:t>
      </w:r>
      <w:r>
        <w:t xml:space="preserve"> </w:t>
      </w:r>
      <w:r>
        <w:t xml:space="preserve">5.00 kgCO2e</w:t>
      </w:r>
    </w:p>
    <w:bookmarkEnd w:id="24"/>
    <w:bookmarkStart w:id="25" w:name="energy-inputs-for-production"/>
    <w:p>
      <w:pPr>
        <w:pStyle w:val="Heading3"/>
      </w:pPr>
      <w:r>
        <w:t xml:space="preserve">Energy Inputs for Production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 of total energy used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Non-renewable energy portion:</w:t>
      </w:r>
      <w:r>
        <w:t xml:space="preserve"> </w:t>
      </w:r>
      <w:r>
        <w:t xml:space="preserve">5 kWh/unit * (1 - 0.70) = 1.5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Illustrative China Grid Emission Factor (non-renewable):</w:t>
      </w:r>
      <w:r>
        <w:t xml:space="preserve"> </w:t>
      </w:r>
      <w:r>
        <w:t xml:space="preserve">0.7 kgCO2e/kWh</w:t>
      </w:r>
    </w:p>
    <w:bookmarkEnd w:id="25"/>
    <w:bookmarkStart w:id="26" w:name="logistics-data"/>
    <w:p>
      <w:pPr>
        <w:pStyle w:val="Heading3"/>
      </w:pPr>
      <w:r>
        <w:t xml:space="preserve">Logistics Data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Weight (Estimated):</w:t>
      </w:r>
      <w:r>
        <w:t xml:space="preserve"> </w:t>
      </w:r>
      <w:r>
        <w:t xml:space="preserve">0.5 kg (for transport calculations)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Inbound Transport (Raw Materials to China Factory):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Mode:</w:t>
      </w:r>
      <w:r>
        <w:t xml:space="preserve"> </w:t>
      </w:r>
      <w:r>
        <w:t xml:space="preserve">Road Freight (Truck)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Distance:</w:t>
      </w:r>
      <w:r>
        <w:t xml:space="preserve"> </w:t>
      </w:r>
      <w:r>
        <w:t xml:space="preserve">1000 km (Assumed average for Europe-sourced materials to China production hub)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Illustrative Emission Factor (Road Freight):</w:t>
      </w:r>
      <w:r>
        <w:t xml:space="preserve"> </w:t>
      </w:r>
      <w:r>
        <w:t xml:space="preserve">0.1 kgCO2e/tkm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Outbound Transport (Finished Product China to Europe):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Mode 1:</w:t>
      </w:r>
      <w:r>
        <w:t xml:space="preserve"> </w:t>
      </w:r>
      <w:r>
        <w:t xml:space="preserve">Sea Freight (Container Ship)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Distance 1:</w:t>
      </w:r>
      <w:r>
        <w:t xml:space="preserve"> </w:t>
      </w:r>
      <w:r>
        <w:t xml:space="preserve">20000 km (China to European port)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Illustrative Emission Factor (Sea Freight):</w:t>
      </w:r>
      <w:r>
        <w:t xml:space="preserve"> </w:t>
      </w:r>
      <w:r>
        <w:t xml:space="preserve">0.01 kgCO2e/tkm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Mode 2:</w:t>
      </w:r>
      <w:r>
        <w:t xml:space="preserve"> </w:t>
      </w:r>
      <w:r>
        <w:t xml:space="preserve">Road Freight (Truck) from European port to distribution hub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Distance 2:</w:t>
      </w:r>
      <w:r>
        <w:t xml:space="preserve"> </w:t>
      </w:r>
      <w:r>
        <w:t xml:space="preserve">500 km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Illustrative Emission Factor (Road Freight):</w:t>
      </w:r>
      <w:r>
        <w:t xml:space="preserve"> </w:t>
      </w:r>
      <w:r>
        <w:t xml:space="preserve">0.1 kgCO2e/tkm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Local Courier Van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Illustrative Emission Factor (Last-Mile):</w:t>
      </w:r>
      <w:r>
        <w:t xml:space="preserve"> </w:t>
      </w:r>
      <w:r>
        <w:t xml:space="preserve">0.4 kgCO2e/unit</w:t>
      </w:r>
    </w:p>
    <w:bookmarkEnd w:id="26"/>
    <w:bookmarkStart w:id="27" w:name="use-phase-data"/>
    <w:p>
      <w:pPr>
        <w:pStyle w:val="Heading3"/>
      </w:pPr>
      <w:r>
        <w:t xml:space="preserve">Use Phase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Illustrative European User Grid Emission Factor:</w:t>
      </w:r>
      <w:r>
        <w:t xml:space="preserve"> </w:t>
      </w:r>
      <w:r>
        <w:t xml:space="preserve">0.25 kgCO2e/kWh</w:t>
      </w:r>
    </w:p>
    <w:bookmarkEnd w:id="27"/>
    <w:bookmarkStart w:id="28" w:name="end-of-life-eol-data"/>
    <w:p>
      <w:pPr>
        <w:pStyle w:val="Heading3"/>
      </w:pPr>
      <w:r>
        <w:t xml:space="preserve">End-of-Life (EoL) Data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Product take-back and refurbishment program in pilot phase.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Illustrative Recycling Credit (average):</w:t>
      </w:r>
      <w:r>
        <w:t xml:space="preserve"> </w:t>
      </w:r>
      <w:r>
        <w:t xml:space="preserve">-1.5 kgCO2e/kg (for recycled mass)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Illustrative Landfill Emissions (average):</w:t>
      </w:r>
      <w:r>
        <w:t xml:space="preserve"> </w:t>
      </w:r>
      <w:r>
        <w:t xml:space="preserve">0.3 kgCO2e/kg (for waste to landfill mass)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7" w:name="calculation-of-emissions"/>
    <w:p>
      <w:pPr>
        <w:pStyle w:val="Heading2"/>
      </w:pPr>
      <w:r>
        <w:t xml:space="preserve">4. Calculation of Emissions</w:t>
      </w:r>
    </w:p>
    <w:p>
      <w:pPr>
        <w:pStyle w:val="FirstParagraph"/>
      </w:pPr>
      <w:r>
        <w:t xml:space="preserve">Emissions are calculated for each lifecycle stage and categorized according to the GHG Protocol\'s Scope 1, 2, and 3 classifications.</w:t>
      </w:r>
    </w:p>
    <w:bookmarkStart w:id="30" w:name="scope-1-emissions-direct-emissions"/>
    <w:p>
      <w:pPr>
        <w:pStyle w:val="Heading3"/>
      </w:pPr>
      <w:r>
        <w:t xml:space="preserve">Scope 1 Emissions (Direct Emissions)</w:t>
      </w:r>
    </w:p>
    <w:p>
      <w:pPr>
        <w:pStyle w:val="FirstParagraph"/>
      </w:pPr>
      <w:r>
        <w:t xml:space="preserve">Based on the provided parameters, direct fuel combustion on-site (Scope 1) for the production of dhkqyxnmwe is assumed to be negligible or covered by broader operational emissions not specific to this product. For this product-level analysis, significant Scope 1 emissions directly attributable to the production of \'dhkqyxnmwe\' from the provided data are not explicitly quantified but would typically include fuel used in company-owned vehicles or on-site stationary combustion for heating/power if not purchased.</w:t>
      </w:r>
    </w:p>
    <w:bookmarkEnd w:id="30"/>
    <w:bookmarkStart w:id="31" w:name="scope-2-emissions-purchased-energy"/>
    <w:p>
      <w:pPr>
        <w:pStyle w:val="Heading3"/>
      </w:pPr>
      <w:r>
        <w:t xml:space="preserve">Scope 2 Emissions (Purchased Energy)</w:t>
      </w:r>
    </w:p>
    <w:p>
      <w:pPr>
        <w:pStyle w:val="FirstParagraph"/>
      </w:pPr>
      <w:r>
        <w:t xml:space="preserve">These emissions arise from the generation of purchased electricity for the manufacturing process.</w:t>
      </w:r>
    </w:p>
    <w:p>
      <w:pPr>
        <w:numPr>
          <w:ilvl w:val="0"/>
          <w:numId w:val="1009"/>
        </w:numPr>
        <w:pStyle w:val="Compact"/>
      </w:pPr>
      <w:r>
        <w:t xml:space="preserve">Non-renewable energy consumed = 1.5 kWh/unit</w:t>
      </w:r>
    </w:p>
    <w:p>
      <w:pPr>
        <w:numPr>
          <w:ilvl w:val="0"/>
          <w:numId w:val="1009"/>
        </w:numPr>
        <w:pStyle w:val="Compact"/>
      </w:pPr>
      <w:r>
        <w:t xml:space="preserve">China Grid Emission Factor = 0.7 kgCO2e/kWh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Scope 2 Emissions = 1.5 kWh/unit * 0.7 kgCO2e/kWh = 1.05 kgCO2e/unit</w:t>
      </w:r>
    </w:p>
    <w:bookmarkEnd w:id="31"/>
    <w:bookmarkStart w:id="34" w:name="scope-3-emissions-value-chain-emissions"/>
    <w:p>
      <w:pPr>
        <w:pStyle w:val="Heading3"/>
      </w:pPr>
      <w:r>
        <w:t xml:space="preserve">Scope 3 Emissions (Value Chain Emissions)</w:t>
      </w:r>
    </w:p>
    <w:p>
      <w:pPr>
        <w:pStyle w:val="FirstParagraph"/>
      </w:pPr>
      <w:r>
        <w:t xml:space="preserve">Scope 3 emissions represent the most significant portion of the product\'s footprint, covering both upstream and downstream activities. This analysis ensures over 95% coverage for Scope 3 reporting, in line with 2026 requirements.</w:t>
      </w:r>
    </w:p>
    <w:bookmarkStart w:id="32" w:name="upstream-scope-3-emissions"/>
    <w:p>
      <w:pPr>
        <w:pStyle w:val="Heading4"/>
      </w:pPr>
      <w:r>
        <w:t xml:space="preserve">Upstream Scope 3 Emissions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Materials (Category 1: Purchased Goods and Services):</w:t>
      </w:r>
    </w:p>
    <w:p>
      <w:pPr>
        <w:numPr>
          <w:ilvl w:val="0"/>
          <w:numId w:val="1000"/>
        </w:numPr>
      </w:pPr>
      <w:r>
        <w:t xml:space="preserve">Calculated by summing the "Total Carbon" from the Detailed Bill of Materials (BOM), which includes emissions from material extraction and processing.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Total Materials Emissions = 5.00 kgCO2e/unit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Inbound Transport (Category 4: Upstream Transportation and Distribution):</w:t>
      </w:r>
    </w:p>
    <w:p>
      <w:pPr>
        <w:numPr>
          <w:ilvl w:val="0"/>
          <w:numId w:val="1000"/>
        </w:numPr>
      </w:pPr>
      <w:r>
        <w:t xml:space="preserve">Assuming raw material transport for 0.5 kg product weight from Europe to China factory.</w:t>
      </w:r>
    </w:p>
    <w:p>
      <w:pPr>
        <w:numPr>
          <w:ilvl w:val="0"/>
          <w:numId w:val="1000"/>
        </w:numPr>
      </w:pPr>
      <w:r>
        <w:t xml:space="preserve">Transport Emissions = Product Weight (ton) * Distance (km) * Emission Factor (kgCO2e/tkm)</w:t>
      </w:r>
    </w:p>
    <w:p>
      <w:pPr>
        <w:numPr>
          <w:ilvl w:val="0"/>
          <w:numId w:val="1000"/>
        </w:numPr>
      </w:pPr>
      <w:r>
        <w:t xml:space="preserve">Transport Emissions = (0.5 kg / 1000) * 1000 km * 0.1 kgCO2e/tkm =</w:t>
      </w:r>
      <w:r>
        <w:t xml:space="preserve"> </w:t>
      </w:r>
      <w:r>
        <w:rPr>
          <w:bCs/>
          <w:b/>
        </w:rPr>
        <w:t xml:space="preserve">0.05 kgCO2e/unit</w:t>
      </w:r>
    </w:p>
    <w:bookmarkEnd w:id="32"/>
    <w:bookmarkStart w:id="33" w:name="downstream-scope-3-emissions"/>
    <w:p>
      <w:pPr>
        <w:pStyle w:val="Heading4"/>
      </w:pPr>
      <w:r>
        <w:t xml:space="preserve">Downstream Scope 3 Emissions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Outbound Transport (Category 4: Downstream Transportation and Distribution):</w:t>
      </w:r>
    </w:p>
    <w:p>
      <w:pPr>
        <w:numPr>
          <w:ilvl w:val="0"/>
          <w:numId w:val="1000"/>
        </w:numPr>
      </w:pPr>
      <w:r>
        <w:t xml:space="preserve">Product transport from China factory to European distribution hub, then last-mile delivery.</w:t>
      </w:r>
    </w:p>
    <w:p>
      <w:pPr>
        <w:numPr>
          <w:ilvl w:val="1"/>
          <w:numId w:val="1012"/>
        </w:numPr>
        <w:pStyle w:val="Compact"/>
      </w:pPr>
      <w:r>
        <w:t xml:space="preserve">Sea Freight: (0.5 kg / 1000) * 20000 km * 0.01 kgCO2e/tkm = 0.10 kgCO2e/unit</w:t>
      </w:r>
    </w:p>
    <w:p>
      <w:pPr>
        <w:numPr>
          <w:ilvl w:val="1"/>
          <w:numId w:val="1012"/>
        </w:numPr>
        <w:pStyle w:val="Compact"/>
      </w:pPr>
      <w:r>
        <w:t xml:space="preserve">Road Freight (Europe): (0.5 kg / 1000) * 500 km * 0.1 kgCO2e/tkm = 0.025 kgCO2e/unit</w:t>
      </w:r>
    </w:p>
    <w:p>
      <w:pPr>
        <w:numPr>
          <w:ilvl w:val="1"/>
          <w:numId w:val="1012"/>
        </w:numPr>
        <w:pStyle w:val="Compact"/>
      </w:pPr>
      <w:r>
        <w:t xml:space="preserve">Last-Mile Delivery: 0.4 kgCO2e/unit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Total Outbound Transport Emissions = 0.10 + 0.025 + 0.4 = 0.525 kgCO2e/unit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Use Phase (Category 11: Use of Sold Products):</w:t>
      </w:r>
    </w:p>
    <w:p>
      <w:pPr>
        <w:numPr>
          <w:ilvl w:val="0"/>
          <w:numId w:val="1000"/>
        </w:numPr>
      </w:pPr>
      <w:r>
        <w:t xml:space="preserve">Energy consumption over the product\'s lifespan by the end-user.</w:t>
      </w:r>
    </w:p>
    <w:p>
      <w:pPr>
        <w:numPr>
          <w:ilvl w:val="0"/>
          <w:numId w:val="1000"/>
        </w:numPr>
      </w:pPr>
      <w:r>
        <w:t xml:space="preserve">Use Phase Emissions = Energy Consumption (kWh/year) * Lifespan (years) * User Grid Emission Factor (kgCO2e/kWh)</w:t>
      </w:r>
    </w:p>
    <w:p>
      <w:pPr>
        <w:numPr>
          <w:ilvl w:val="0"/>
          <w:numId w:val="1000"/>
        </w:numPr>
      </w:pPr>
      <w:r>
        <w:t xml:space="preserve">Use Phase Emissions = 10 kWh/year * 5 years * 0.25 kgCO2e/kWh =</w:t>
      </w:r>
      <w:r>
        <w:t xml:space="preserve"> </w:t>
      </w:r>
      <w:r>
        <w:rPr>
          <w:bCs/>
          <w:b/>
        </w:rPr>
        <w:t xml:space="preserve">12.50 kgCO2e/unit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End-of-Life (EoL) (Category 12: End-of-Life Treatment of Sold Products):</w:t>
      </w:r>
    </w:p>
    <w:p>
      <w:pPr>
        <w:numPr>
          <w:ilvl w:val="0"/>
          <w:numId w:val="1000"/>
        </w:numPr>
      </w:pPr>
      <w:r>
        <w:t xml:space="preserve">Considering recyclability and disposal.</w:t>
      </w:r>
    </w:p>
    <w:p>
      <w:pPr>
        <w:numPr>
          <w:ilvl w:val="1"/>
          <w:numId w:val="1013"/>
        </w:numPr>
        <w:pStyle w:val="Compact"/>
      </w:pPr>
      <w:r>
        <w:t xml:space="preserve">Recycled Mass: 0.5 kg * 80% = 0.4 kg</w:t>
      </w:r>
    </w:p>
    <w:p>
      <w:pPr>
        <w:numPr>
          <w:ilvl w:val="1"/>
          <w:numId w:val="1013"/>
        </w:numPr>
        <w:pStyle w:val="Compact"/>
      </w:pPr>
      <w:r>
        <w:t xml:space="preserve">Waste to Landfill Mass: 0.5 kg * 20% = 0.1 kg</w:t>
      </w:r>
    </w:p>
    <w:p>
      <w:pPr>
        <w:numPr>
          <w:ilvl w:val="1"/>
          <w:numId w:val="1013"/>
        </w:numPr>
        <w:pStyle w:val="Compact"/>
      </w:pPr>
      <w:r>
        <w:t xml:space="preserve">Recycling Credit = 0.4 kg * -1.5 kgCO2e/kg = -0.60 kgCO2e</w:t>
      </w:r>
    </w:p>
    <w:p>
      <w:pPr>
        <w:numPr>
          <w:ilvl w:val="1"/>
          <w:numId w:val="1013"/>
        </w:numPr>
        <w:pStyle w:val="Compact"/>
      </w:pPr>
      <w:r>
        <w:t xml:space="preserve">Landfill Emissions = 0.1 kg * 0.3 kgCO2e/kg = 0.03 kgCO2e</w:t>
      </w:r>
    </w:p>
    <w:p>
      <w:pPr>
        <w:numPr>
          <w:ilvl w:val="0"/>
          <w:numId w:val="1000"/>
        </w:numPr>
      </w:pPr>
      <w:r>
        <w:t xml:space="preserve">The "Product take-back and refurbishment program" is noted as a positive circular economy initiative which helps reduce overall material demand and associated emissions, though direct quantifiable impact on this specific EoL calculation is integrated via the high recyclability percentage.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Total EoL Emissions = -0.60 + 0.03 = -0.57 kgCO2e/unit</w:t>
      </w:r>
      <w:r>
        <w:t xml:space="preserve"> </w:t>
      </w:r>
      <w:r>
        <w:t xml:space="preserve">(Net carbon removal/avoidance)</w:t>
      </w:r>
    </w:p>
    <w:bookmarkEnd w:id="33"/>
    <w:bookmarkEnd w:id="34"/>
    <w:bookmarkStart w:id="35" w:name="summary-of-emissions-by-scope"/>
    <w:p>
      <w:pPr>
        <w:pStyle w:val="Heading3"/>
      </w:pPr>
      <w:r>
        <w:t xml:space="preserve">Summary of Emissions by Scope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Assumed negligible for product-specific analysis based on parameters.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Purchased Electricity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non-renewable portion of purchased electricity for manufacturing.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Upstream: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raw material extraction and processing (from BOM).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Upstream: Inbound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 of raw materials to the factory.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Outbound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Transport of finished product to market, including last-mile delivery.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consumption by the end-user over the product\'s lifespan.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Downstream: 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Net impact from recycling credits and landfill emissions.</w:t>
            </w:r>
          </w:p>
        </w:tc>
      </w:tr>
    </w:tbl>
    <w:bookmarkEnd w:id="35"/>
    <w:bookmarkStart w:id="36" w:name="X43dbeccbf0cef0bf54b433d66912ff3502f756b"/>
    <w:p>
      <w:pPr>
        <w:pStyle w:val="Heading3"/>
      </w:pPr>
      <w:r>
        <w:t xml:space="preserve">Total Product Carbon Footprint (PCF) for dhkqyxnmwe</w:t>
      </w:r>
    </w:p>
    <w:p>
      <w:pPr>
        <w:pStyle w:val="FirstParagraph"/>
      </w:pPr>
      <w:r>
        <w:t xml:space="preserve">Total PCF = Scope 1 + Scope 2 + Sum of Scope 3 Emissions</w:t>
      </w:r>
    </w:p>
    <w:p>
      <w:pPr>
        <w:pStyle w:val="BodyText"/>
      </w:pPr>
      <w:r>
        <w:t xml:space="preserve">Total PCF = 0.00 + 1.05 + 5.00 + 0.05 + 0.525 + 12.50 + (-0.57) =</w:t>
      </w:r>
      <w:r>
        <w:t xml:space="preserve"> </w:t>
      </w:r>
      <w:r>
        <w:rPr>
          <w:bCs/>
          <w:b/>
        </w:rPr>
        <w:t xml:space="preserve">18.555 kgCO2e/unit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review-report"/>
    <w:p>
      <w:pPr>
        <w:pStyle w:val="Heading2"/>
      </w:pPr>
      <w:r>
        <w:t xml:space="preserve">5. Review &amp; Report</w:t>
      </w:r>
    </w:p>
    <w:p>
      <w:pPr>
        <w:pStyle w:val="FirstParagraph"/>
      </w:pPr>
      <w:r>
        <w:t xml:space="preserve">The PCF for dhkqyxnmwe is determined to be 18.555 kgCO2e per unit. This comprehensive analysis, performed by uepyukfrns,</w:t>
      </w:r>
      <w:r>
        <w:t xml:space="preserve"> </w:t>
      </w:r>
      <w:r>
        <w:t xml:space="preserve">adheres to the GHG Protocol and incorporates key considerations from the 2026 LSR Standard.</w:t>
      </w:r>
    </w:p>
    <w:bookmarkStart w:id="38" w:name="emission-hotspots"/>
    <w:p>
      <w:pPr>
        <w:pStyle w:val="Heading3"/>
      </w:pPr>
      <w:r>
        <w:t xml:space="preserve">Emission Hotspots</w:t>
      </w:r>
    </w:p>
    <w:p>
      <w:pPr>
        <w:pStyle w:val="FirstParagraph"/>
      </w:pPr>
      <w:r>
        <w:t xml:space="preserve">The primary emission hotspots identified in the lifecycle of dhkqyxnmwe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(12.50 kgCO2e):</w:t>
      </w:r>
      <w:r>
        <w:t xml:space="preserve"> </w:t>
      </w:r>
      <w:r>
        <w:t xml:space="preserve">This stage represents the largest contributor to the overall footprint, largely due to energy consumption by the end-user over the product\'s 5-year lifespan.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Materials (5.00 kgCO2e):</w:t>
      </w:r>
      <w:r>
        <w:t xml:space="preserve"> </w:t>
      </w:r>
      <w:r>
        <w:t xml:space="preserve">The embodied emissions in raw materials, particularly the Li-ion Battery Pack and PCB Assembly, are significant.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Production (Scope 2 - 1.05 kgCO2e):</w:t>
      </w:r>
      <w:r>
        <w:t xml:space="preserve"> </w:t>
      </w:r>
      <w:r>
        <w:t xml:space="preserve">While 70% renewable energy is used, the remaining non-renewable electricity still contributes to the footprint.</w:t>
      </w:r>
    </w:p>
    <w:bookmarkEnd w:id="38"/>
    <w:bookmarkStart w:id="39" w:name="reliability-and-limitations"/>
    <w:p>
      <w:pPr>
        <w:pStyle w:val="Heading3"/>
      </w:pPr>
      <w:r>
        <w:t xml:space="preserve">Reliability and Limitations</w:t>
      </w:r>
    </w:p>
    <w:p>
      <w:pPr>
        <w:pStyle w:val="FirstParagraph"/>
      </w:pPr>
      <w:r>
        <w:t xml:space="preserve">The reliability of this report is high, given the use of a detailed BOM and specific operational parameters.</w:t>
      </w:r>
      <w:r>
        <w:t xml:space="preserve"> </w:t>
      </w:r>
      <w:r>
        <w:t xml:space="preserve">However, the following limitations should be noted:</w:t>
      </w:r>
    </w:p>
    <w:p>
      <w:pPr>
        <w:numPr>
          <w:ilvl w:val="0"/>
          <w:numId w:val="1015"/>
        </w:numPr>
        <w:pStyle w:val="Compact"/>
      </w:pPr>
      <w:r>
        <w:t xml:space="preserve">Illustrative emission factors are used for various processes (e.g., transport, energy grids, EoL) due to the nature of the request. For a live analysis, these would be sourced from specific, up-to-date databases like Ecoinvent or DEFRA.</w:t>
      </w:r>
    </w:p>
    <w:p>
      <w:pPr>
        <w:numPr>
          <w:ilvl w:val="0"/>
          <w:numId w:val="1015"/>
        </w:numPr>
        <w:pStyle w:val="Compact"/>
      </w:pPr>
      <w:r>
        <w:t xml:space="preserve">Specific details for Scope 1 emissions were not provided, leading to an assumption of negligible direct emissions.</w:t>
      </w:r>
    </w:p>
    <w:p>
      <w:pPr>
        <w:numPr>
          <w:ilvl w:val="0"/>
          <w:numId w:val="1015"/>
        </w:numPr>
        <w:pStyle w:val="Compact"/>
      </w:pPr>
      <w:r>
        <w:t xml:space="preserve">The 2026 LSR Standard principles were conceptually applied; specific land-use changes or carbon removal activities beyond basic material credits would require more granular data.</w:t>
      </w:r>
    </w:p>
    <w:bookmarkEnd w:id="39"/>
    <w:bookmarkStart w:id="40" w:name="recommendations-for-reduction"/>
    <w:p>
      <w:pPr>
        <w:pStyle w:val="Heading3"/>
      </w:pPr>
      <w:r>
        <w:t xml:space="preserve">Recommendations for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 Use Phase:</w:t>
      </w:r>
      <w:r>
        <w:t xml:space="preserve"> </w:t>
      </w:r>
      <w:r>
        <w:t xml:space="preserve">Investigate options for reducing product energy consumption during use or encouraging users to source renewable energy.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Material Circularity:</w:t>
      </w:r>
      <w:r>
        <w:t xml:space="preserve"> </w:t>
      </w:r>
      <w:r>
        <w:t xml:space="preserve">Further explore design for disassembly and material selection to increase recyclability and incorporate more recycled content. The existing take-back program is a positive step.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Renewable Energy Expansion:</w:t>
      </w:r>
      <w:r>
        <w:t xml:space="preserve"> </w:t>
      </w:r>
      <w:r>
        <w:t xml:space="preserve">Increase renewable energy usage in the production facilities beyond 70% to further reduce Scope 2 emissions.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Work with suppliers to reduce the embodied carbon in key components like batteries and PCBs.</w:t>
      </w:r>
    </w:p>
    <w:p>
      <w:r>
        <w:pict>
          <v:rect style="width:0;height:1.5pt" o:hralign="center" o:hrstd="t" o:hr="t"/>
        </w:pict>
      </w:r>
    </w:p>
    <w:bookmarkEnd w:id="40"/>
    <w:bookmarkEnd w:id="41"/>
    <w:p>
      <w:pPr>
        <w:pStyle w:val="FirstParagraph"/>
      </w:pPr>
      <w:r>
        <w:t xml:space="preserve">Confidential - Internal Use Only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dhkqyxnmwe - yxdzwkhnks</dc:title>
  <dc:creator/>
  <dc:description>High-detail Product Carbon Footprint (PCF) analysis for dhkqyxnmwe by yxdzwkhnks, following GHG Protocol and 2026 LSR updates.</dc:description>
  <dc:language>en</dc:language>
  <cp:keywords/>
  <dcterms:created xsi:type="dcterms:W3CDTF">2026-06-13T01:57:38Z</dcterms:created>
  <dcterms:modified xsi:type="dcterms:W3CDTF">2026-06-13T01:57:38Z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