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dgsxiqjsmm</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dgsxiqjsmm</w:t>
      </w:r>
    </w:p>
    <w:p>
      <w:pPr>
        <w:pStyle w:val="BodyText"/>
      </w:pPr>
      <w:r>
        <w:t xml:space="preserve">Company Name: ouvfzpgmwr</w:t>
      </w:r>
    </w:p>
    <w:p>
      <w:pPr>
        <w:pStyle w:val="BodyText"/>
      </w:pPr>
      <w:r>
        <w:t xml:space="preserve">Senior Sustainability Consultant: elhishdmqk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user. While every effort has been made to ensure accuracy, the actual carbon footprint may vary depending on data precision and real-world operational nuances.</w:t>
      </w:r>
    </w:p>
    <w:bookmarkEnd w:id="20"/>
    <w:bookmarkStart w:id="21" w:name="X4b33747baeb7a730c9f12532720297e498a69a2"/>
    <w:p>
      <w:pPr>
        <w:pStyle w:val="Heading1"/>
      </w:pPr>
      <w:r>
        <w:t xml:space="preserve">Product Carbon Footprint Analysis for dgsxiqjsmm</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"dgsxiqjsmm," manufactured by "ouvfzpgmwr." The analysis has been conducted by Senior Sustainability Consultant "elhishdmqk," specializing in GHG Protocol. Adhering strictly to the GHG Protocol Product Standard, this assessment quantifies the greenhouse gas (GHG) emissions across the product\'s lifecycle, from material acquisition to end-of-life. The primary objective is to identify emissions hotspots, inform reduction strategies, and ensure compliance with evolving sustainability reporting requirements, including the 2026 updates to the GHG Protocol\'s Land Sector and Removals (LSR) Standard and Scope 3 completeness criteria.</w:t>
      </w:r>
    </w:p>
    <w:bookmarkEnd w:id="22"/>
    <w:bookmarkStart w:id="28" w:name="methodology-and-scope-definition"/>
    <w:p>
      <w:pPr>
        <w:pStyle w:val="Heading2"/>
      </w:pPr>
      <w:r>
        <w:t xml:space="preserve">2. Methodology and Scope Definition</w:t>
      </w:r>
    </w:p>
    <w:p>
      <w:pPr>
        <w:pStyle w:val="FirstParagraph"/>
      </w:pPr>
      <w:r>
        <w:t xml:space="preserve">The Product Carbon Footprint (PCF) for "dgsxiqjsmm" is calculated following the five-step methodology recommended by the GHG Protocol Product Standard:</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2.1. Accounting Standard</w:t>
      </w:r>
    </w:p>
    <w:p>
      <w:pPr>
        <w:pStyle w:val="FirstParagraph"/>
      </w:pPr>
      <w:r>
        <w:t xml:space="preserve">This PCF analysis is conducted in strict accordance with the **GHG Protocol Product Standard**, which provides comprehensive guidance for quantifying and reporting the greenhouse gas emissions associated with individual products. This also considers the **GHG Protocol Corporate Standard** for categorizing emissions into Scope 1, 2, and 3.</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dgsxiqjsmm</w:t>
      </w:r>
      <w:r>
        <w:t xml:space="preserve">.</w:t>
      </w:r>
    </w:p>
    <w:bookmarkEnd w:id="24"/>
    <w:bookmarkStart w:id="25" w:name="system-boundary"/>
    <w:p>
      <w:pPr>
        <w:pStyle w:val="Heading3"/>
      </w:pPr>
      <w:r>
        <w:t xml:space="preserve">2.3. System Boundary</w:t>
      </w:r>
    </w:p>
    <w:p>
      <w:pPr>
        <w:pStyle w:val="FirstParagraph"/>
      </w:pPr>
      <w:r>
        <w:t xml:space="preserve">The system boundary for this PCF is **"Cradle-to-gate"**. This means the analysis includes all processes from raw material extraction ("cradle") through preprocessing, manufacturing, and transport to the point where the product exits the factory gate ("gate"). This boundary captures emissions from:</w:t>
      </w:r>
    </w:p>
    <w:p>
      <w:pPr>
        <w:numPr>
          <w:ilvl w:val="0"/>
          <w:numId w:val="1002"/>
        </w:numPr>
        <w:pStyle w:val="Compact"/>
      </w:pPr>
      <w:r>
        <w:t xml:space="preserve">Material Acquisition and Pre-processing</w:t>
      </w:r>
    </w:p>
    <w:p>
      <w:pPr>
        <w:numPr>
          <w:ilvl w:val="0"/>
          <w:numId w:val="1002"/>
        </w:numPr>
        <w:pStyle w:val="Compact"/>
      </w:pPr>
      <w:r>
        <w:t xml:space="preserve">Manufacturing/Production</w:t>
      </w:r>
    </w:p>
    <w:p>
      <w:pPr>
        <w:numPr>
          <w:ilvl w:val="0"/>
          <w:numId w:val="1002"/>
        </w:numPr>
        <w:pStyle w:val="Compact"/>
      </w:pPr>
      <w:r>
        <w:t xml:space="preserve">Upstream Transportation and Distribution</w:t>
      </w:r>
    </w:p>
    <w:p>
      <w:pPr>
        <w:pStyle w:val="FirstParagraph"/>
      </w:pPr>
      <w:r>
        <w:t xml:space="preserve">The "Use Phase" and "End-of-Life" scenarios are included in the overall assessment as per specific parameters provided, extending beyond a strict "factory_gate" boundary to capture downstream impacts for comprehensive reporting.</w:t>
      </w:r>
    </w:p>
    <w:bookmarkEnd w:id="25"/>
    <w:bookmarkStart w:id="26" w:name="geographic-scope"/>
    <w:p>
      <w:pPr>
        <w:pStyle w:val="Heading3"/>
      </w:pPr>
      <w:r>
        <w:t xml:space="preserve">2.4.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w:t>
      </w:r>
    </w:p>
    <w:bookmarkEnd w:id="26"/>
    <w:bookmarkStart w:id="27" w:name="allocation"/>
    <w:p>
      <w:pPr>
        <w:pStyle w:val="Heading3"/>
      </w:pPr>
      <w:r>
        <w:t xml:space="preserve">2.5. Allocation</w:t>
      </w:r>
    </w:p>
    <w:p>
      <w:pPr>
        <w:pStyle w:val="FirstParagraph"/>
      </w:pPr>
      <w:r>
        <w:t xml:space="preserve">Emissions are allocated on a **mass-based allocation** principle where co-products or by-products are identified, ensuring that the emissions calculated are directly attributable to the functional unit of "dgsxiqjsmm."</w:t>
      </w:r>
    </w:p>
    <w:bookmarkEnd w:id="27"/>
    <w:bookmarkEnd w:id="28"/>
    <w:bookmarkStart w:id="34" w:name="Xc585fdfe0923a8f252274274152083ce38b4723"/>
    <w:p>
      <w:pPr>
        <w:pStyle w:val="Heading2"/>
      </w:pPr>
      <w:r>
        <w:t xml:space="preserve">3. Lifecycle Inventory Mapping &amp; Data Collection</w:t>
      </w:r>
    </w:p>
    <w:p>
      <w:pPr>
        <w:pStyle w:val="FirstParagraph"/>
      </w:pPr>
      <w:r>
        <w:t xml:space="preserve">This section details the inputs required across the lifecycle of "dgsxiqjsmm," utilizing the provided specific parameters and simulated industry-standard emission factors.</w:t>
      </w:r>
    </w:p>
    <w:bookmarkStart w:id="29" w:name="Xbed3c3aae83c829c3398d816bc54d621109ea78"/>
    <w:p>
      <w:pPr>
        <w:pStyle w:val="Heading3"/>
      </w:pPr>
      <w:r>
        <w:t xml:space="preserve">3.1. Detailed Bill of Materials (BOM) Analysis (yneyyxxr)</w:t>
      </w:r>
    </w:p>
    <w:p>
      <w:pPr>
        <w:pStyle w:val="FirstParagraph"/>
      </w:pPr>
      <w:r>
        <w:t xml:space="preserve">The following detailed Bill of of Materials (BOM) provides the basis for calculating the material acquisition and pre-processing impacts. Emission factors for these materials are drawn from industry-standard databases, representing a European supply chain focus for upstream materials where applicable, and specifically used to ensure high-accuracy material impact calculation instead of default estimates.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Recycling &amp; Processing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3.8</w:t>
            </w:r>
          </w:p>
        </w:tc>
        <w:tc>
          <w:tcPr/>
          <w:p>
            <w:pPr>
              <w:pStyle w:val="Compact"/>
              <w:jc w:val="left"/>
            </w:pPr>
            <w:r>
              <w:t xml:space="preserve">0.19</w:t>
            </w:r>
          </w:p>
        </w:tc>
      </w:tr>
      <w:tr>
        <w:tc>
          <w:tcPr/>
          <w:p>
            <w:pPr>
              <w:pStyle w:val="Compact"/>
              <w:jc w:val="left"/>
            </w:pPr>
            <w:r>
              <w:t xml:space="preserve">M-005</w:t>
            </w:r>
          </w:p>
        </w:tc>
        <w:tc>
          <w:tcPr/>
          <w:p>
            <w:pPr>
              <w:pStyle w:val="Compact"/>
              <w:jc w:val="left"/>
            </w:pPr>
            <w:r>
              <w:t xml:space="preserve">Electronic Components (chipset, resistors, capacitors)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M-007</w:t>
            </w:r>
          </w:p>
        </w:tc>
        <w:tc>
          <w:tcPr/>
          <w:p>
            <w:pPr>
              <w:pStyle w:val="Compact"/>
              <w:jc w:val="left"/>
            </w:pPr>
            <w:r>
              <w:t xml:space="preserve">Battery (Li-ion)</w:t>
            </w:r>
          </w:p>
        </w:tc>
        <w:tc>
          <w:tcPr/>
          <w:p>
            <w:pPr>
              <w:pStyle w:val="Compact"/>
              <w:jc w:val="left"/>
            </w:pPr>
            <w:r>
              <w:t xml:space="preserve">Chemical/Battery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9.88 kgCO2e</w:t>
            </w:r>
          </w:p>
        </w:tc>
      </w:tr>
    </w:tbl>
    <w:p>
      <w:pPr>
        <w:pStyle w:val="BodyText"/>
      </w:pPr>
      <w:r>
        <w:rPr>
          <w:iCs/>
          <w:i/>
        </w:rPr>
        <w:t xml:space="preserve">Note: Emission factors for materials are simulated based on general industry averages, often derived from sources like Ecoinvent or DEFRA, and consider the manufacturing processes and origin to reflect a "cradle-to-gate" scope. For electronic components, factors can be complex and are often spend-based or material-specific.</w:t>
      </w:r>
    </w:p>
    <w:bookmarkEnd w:id="29"/>
    <w:bookmarkStart w:id="30" w:name="energy-inputs-for-production"/>
    <w:p>
      <w:pPr>
        <w:pStyle w:val="Heading3"/>
      </w:pPr>
      <w:r>
        <w:t xml:space="preserve">3.2. Energy Inputs for Production</w:t>
      </w:r>
    </w:p>
    <w:p>
      <w:pPr>
        <w:pStyle w:val="FirstParagraph"/>
      </w:pPr>
      <w:r>
        <w:t xml:space="preserve">The energy consumption during the manufacturing phase in China is a critical component of the product\'s footprint.</w:t>
      </w:r>
    </w:p>
    <w:p>
      <w:pPr>
        <w:numPr>
          <w:ilvl w:val="0"/>
          <w:numId w:val="1004"/>
        </w:numPr>
        <w:pStyle w:val="Compact"/>
      </w:pPr>
      <w:r>
        <w:t xml:space="preserve">**Energy Intensity (kWh/unit):** rlrtlsrolf (e.g., 15 kWh/unit)</w:t>
      </w:r>
    </w:p>
    <w:p>
      <w:pPr>
        <w:numPr>
          <w:ilvl w:val="0"/>
          <w:numId w:val="1004"/>
        </w:numPr>
        <w:pStyle w:val="Compact"/>
      </w:pPr>
      <w:r>
        <w:t xml:space="preserve">**Renewable Energy Usage:** rgdulgokft (e.g., 75% renewable electricity)</w:t>
      </w:r>
    </w:p>
    <w:p>
      <w:pPr>
        <w:numPr>
          <w:ilvl w:val="0"/>
          <w:numId w:val="1004"/>
        </w:numPr>
        <w:pStyle w:val="Compact"/>
      </w:pPr>
      <w:r>
        <w:t xml:space="preserve">**Non-Renewable Energy Percentage:** (100% - 75%) = 25%</w:t>
      </w:r>
    </w:p>
    <w:p>
      <w:pPr>
        <w:numPr>
          <w:ilvl w:val="0"/>
          <w:numId w:val="1004"/>
        </w:numPr>
        <w:pStyle w:val="Compact"/>
      </w:pPr>
      <w:r>
        <w:t xml:space="preserve">**China Grid Emission Factor (2025 avg.):** 0.6144 kgCO2e/kWh</w:t>
      </w:r>
    </w:p>
    <w:bookmarkEnd w:id="30"/>
    <w:bookmarkStart w:id="31" w:name="logistics-data"/>
    <w:p>
      <w:pPr>
        <w:pStyle w:val="Heading3"/>
      </w:pPr>
      <w:r>
        <w:t xml:space="preserve">3.3. Logistics Data</w:t>
      </w:r>
    </w:p>
    <w:p>
      <w:pPr>
        <w:pStyle w:val="FirstParagraph"/>
      </w:pPr>
      <w:r>
        <w:t xml:space="preserve">Transportation plays a significant role in the overall PCF, particularly for products with global supply chains. The following specific logistics data are incorporated:</w:t>
      </w:r>
    </w:p>
    <w:p>
      <w:pPr>
        <w:numPr>
          <w:ilvl w:val="0"/>
          <w:numId w:val="1005"/>
        </w:numPr>
        <w:pStyle w:val="Compact"/>
      </w:pPr>
      <w:r>
        <w:t xml:space="preserve">**Transport Mode (Primary):** Select Mode (e.g., Road Freight (Heavy Goods Vehicle - HGV) for inter-country transport)</w:t>
      </w:r>
    </w:p>
    <w:p>
      <w:pPr>
        <w:numPr>
          <w:ilvl w:val="0"/>
          <w:numId w:val="1005"/>
        </w:numPr>
        <w:pStyle w:val="Compact"/>
      </w:pPr>
      <w:r>
        <w:t xml:space="preserve">**Transport Distance (Primary):** ngyruglwns (e.g., 1500 km)</w:t>
      </w:r>
    </w:p>
    <w:p>
      <w:pPr>
        <w:numPr>
          <w:ilvl w:val="0"/>
          <w:numId w:val="1005"/>
        </w:numPr>
        <w:pStyle w:val="Compact"/>
      </w:pPr>
      <w:r>
        <w:t xml:space="preserve">**Last-Mile Delivery Channel:** Delivery Type (e.g., Van Delivery)</w:t>
      </w:r>
    </w:p>
    <w:p>
      <w:pPr>
        <w:numPr>
          <w:ilvl w:val="0"/>
          <w:numId w:val="1005"/>
        </w:numPr>
        <w:pStyle w:val="Compact"/>
      </w:pPr>
      <w:r>
        <w:t xml:space="preserve">**Last-Mile Delivery Distance (Assumed):** 50 km (as a typical last-mile segment)</w:t>
      </w:r>
    </w:p>
    <w:p>
      <w:pPr>
        <w:pStyle w:val="FirstParagraph"/>
      </w:pPr>
      <w:r>
        <w:rPr>
          <w:iCs/>
          <w:i/>
        </w:rPr>
        <w:t xml:space="preserve">Note: Emission factors for transport modes are based on European averages for road freight and specific factors for delivery vans.</w:t>
      </w:r>
    </w:p>
    <w:bookmarkEnd w:id="31"/>
    <w:bookmarkStart w:id="32" w:name="use-phase-data"/>
    <w:p>
      <w:pPr>
        <w:pStyle w:val="Heading3"/>
      </w:pPr>
      <w:r>
        <w:t xml:space="preserve">3.4. Use Phase Data</w:t>
      </w:r>
    </w:p>
    <w:p>
      <w:pPr>
        <w:pStyle w:val="FirstParagraph"/>
      </w:pPr>
      <w:r>
        <w:t xml:space="preserve">The emissions generated during the product\'s operational life are calculated using the provided durability and consumption data.</w:t>
      </w:r>
    </w:p>
    <w:p>
      <w:pPr>
        <w:numPr>
          <w:ilvl w:val="0"/>
          <w:numId w:val="1006"/>
        </w:numPr>
        <w:pStyle w:val="Compact"/>
      </w:pPr>
      <w:r>
        <w:t xml:space="preserve">**Product Lifespan:** kihwrlzdmq (e.g., 5 years)</w:t>
      </w:r>
    </w:p>
    <w:p>
      <w:pPr>
        <w:numPr>
          <w:ilvl w:val="0"/>
          <w:numId w:val="1006"/>
        </w:numPr>
        <w:pStyle w:val="Compact"/>
      </w:pPr>
      <w:r>
        <w:t xml:space="preserve">**Energy Consumption in Use:** xyyufzgjey (e.g., 50 kWh/year)</w:t>
      </w:r>
    </w:p>
    <w:p>
      <w:pPr>
        <w:pStyle w:val="FirstParagraph"/>
      </w:pPr>
      <w:r>
        <w:rPr>
          <w:iCs/>
          <w:i/>
        </w:rPr>
        <w:t xml:space="preserve">Note: Use phase emissions are critical for energy-consuming products.</w:t>
      </w:r>
    </w:p>
    <w:bookmarkEnd w:id="32"/>
    <w:bookmarkStart w:id="33" w:name="end-of-life-eol-scenarios"/>
    <w:p>
      <w:pPr>
        <w:pStyle w:val="Heading3"/>
      </w:pPr>
      <w:r>
        <w:t xml:space="preserve">3.5. End-of-Life (EoL) Scenarios</w:t>
      </w:r>
    </w:p>
    <w:p>
      <w:pPr>
        <w:pStyle w:val="FirstParagraph"/>
      </w:pPr>
      <w:r>
        <w:t xml:space="preserve">The end-of-life treatment significantly influences a product\'s circularity and overall environmental impact.</w:t>
      </w:r>
    </w:p>
    <w:p>
      <w:pPr>
        <w:numPr>
          <w:ilvl w:val="0"/>
          <w:numId w:val="1007"/>
        </w:numPr>
        <w:pStyle w:val="Compact"/>
      </w:pPr>
      <w:r>
        <w:t xml:space="preserve">**Recyclability Percentage:** dkvwudhzuu (e.g., 80%)</w:t>
      </w:r>
    </w:p>
    <w:p>
      <w:pPr>
        <w:numPr>
          <w:ilvl w:val="0"/>
          <w:numId w:val="1007"/>
        </w:numPr>
        <w:pStyle w:val="Compact"/>
      </w:pPr>
      <w:r>
        <w:t xml:space="preserve">**Circular/Take-back Programs:** jyggpqkxwl (e.g., Yes, established program)</w:t>
      </w:r>
    </w:p>
    <w:p>
      <w:pPr>
        <w:pStyle w:val="FirstParagraph"/>
      </w:pPr>
      <w:r>
        <w:rPr>
          <w:iCs/>
          <w:i/>
        </w:rPr>
        <w:t xml:space="preserve">Note: Recycling electronics generally leads to greater GHG reductions compared to landfilling or combustion, as it offsets energy-intensive primary material production.</w:t>
      </w:r>
    </w:p>
    <w:bookmarkEnd w:id="33"/>
    <w:bookmarkEnd w:id="34"/>
    <w:bookmarkStart w:id="41" w:name="calculation-of-emissions-co2e"/>
    <w:p>
      <w:pPr>
        <w:pStyle w:val="Heading2"/>
      </w:pPr>
      <w:r>
        <w:t xml:space="preserve">4. Calculation of Emissions (CO2e)</w:t>
      </w:r>
    </w:p>
    <w:p>
      <w:pPr>
        <w:pStyle w:val="FirstParagraph"/>
      </w:pPr>
      <w:r>
        <w:t xml:space="preserve">Emissions are calculated for each lifecycle stage by multiplying activity data by the relevant emission factors, expressed in CO2 equivalents (CO2e) to account for all greenhouse gases. These emissions are categorized according to the GHG Protocol\'s Scope 1, 2, and 3 definitions.</w:t>
      </w:r>
    </w:p>
    <w:bookmarkStart w:id="35" w:name="X4680f8afc8240cbfeeb10b5c91f6293ef30cb5f"/>
    <w:p>
      <w:pPr>
        <w:pStyle w:val="Heading3"/>
      </w:pPr>
      <w:r>
        <w:t xml:space="preserve">4.1. Materials Acquisition &amp; Pre-processing (Scope 3, Category 1)</w:t>
      </w:r>
    </w:p>
    <w:p>
      <w:pPr>
        <w:pStyle w:val="FirstParagraph"/>
      </w:pPr>
      <w:r>
        <w:t xml:space="preserve">Emissions from this stage are directly aggregated from the "Total Carbon (kgCO2e)" column in the Detailed Bill of Materials table above.</w:t>
      </w:r>
    </w:p>
    <w:p>
      <w:pPr>
        <w:pStyle w:val="BodyText"/>
      </w:pPr>
      <w:r>
        <w:rPr>
          <w:bCs/>
          <w:b/>
        </w:rPr>
        <w:t xml:space="preserve">Total Emissions (Materials): 9.88 kgCO2e</w:t>
      </w:r>
    </w:p>
    <w:bookmarkEnd w:id="35"/>
    <w:bookmarkStart w:id="36" w:name="manufacturingproduction"/>
    <w:p>
      <w:pPr>
        <w:pStyle w:val="Heading3"/>
      </w:pPr>
      <w:r>
        <w:t xml:space="preserve">4.2. Manufacturing/Production</w:t>
      </w:r>
    </w:p>
    <w:p>
      <w:pPr>
        <w:pStyle w:val="FirstParagraph"/>
      </w:pPr>
      <w:r>
        <w:t xml:space="preserve">Production emissions are primarily from energy consumption at the factory. The non-renewable portion of electricity contributes to Scope 2 emissions.</w:t>
      </w:r>
    </w:p>
    <w:p>
      <w:pPr>
        <w:numPr>
          <w:ilvl w:val="0"/>
          <w:numId w:val="1008"/>
        </w:numPr>
        <w:pStyle w:val="Compact"/>
      </w:pPr>
      <w:r>
        <w:t xml:space="preserve">Non-Renewable Electricity Consumption = 15 kWh/unit * 0.25 = 3.75 kWh/unit</w:t>
      </w:r>
    </w:p>
    <w:p>
      <w:pPr>
        <w:numPr>
          <w:ilvl w:val="0"/>
          <w:numId w:val="1008"/>
        </w:numPr>
        <w:pStyle w:val="Compact"/>
      </w:pPr>
      <w:r>
        <w:t xml:space="preserve">Emissions from Non-Renewable Electricity = 3.75 kWh/unit * 0.6144 kgCO2e/kWh = 2.304 kgCO2e</w:t>
      </w:r>
    </w:p>
    <w:p>
      <w:pPr>
        <w:pStyle w:val="FirstParagraph"/>
      </w:pPr>
      <w:r>
        <w:rPr>
          <w:bCs/>
          <w:b/>
        </w:rPr>
        <w:t xml:space="preserve">Total Emissions (Manufacturing - Scope 2): 2.304 kgCO2e</w:t>
      </w:r>
    </w:p>
    <w:p>
      <w:pPr>
        <w:pStyle w:val="BodyText"/>
      </w:pPr>
      <w:r>
        <w:rPr>
          <w:iCs/>
          <w:i/>
        </w:rPr>
        <w:t xml:space="preserve">Note: Direct emissions (Scope 1) from owned or controlled sources during manufacturing (e.g., burning fuels on-site) are assumed to be negligible for this specific analysis, given the provided parameters focused on energy intensity. Any emissions from the 75% renewable energy usage are considered zero at the point of consumption.</w:t>
      </w:r>
    </w:p>
    <w:bookmarkEnd w:id="36"/>
    <w:bookmarkStart w:id="37" w:name="X2c5c18a900efdb073ddd5da42b1da5f305898a4"/>
    <w:p>
      <w:pPr>
        <w:pStyle w:val="Heading3"/>
      </w:pPr>
      <w:r>
        <w:t xml:space="preserve">4.3. Transportation &amp; Distribution (Scope 3, Category 4)</w:t>
      </w:r>
    </w:p>
    <w:p>
      <w:pPr>
        <w:pStyle w:val="FirstParagraph"/>
      </w:pPr>
      <w:r>
        <w:t xml:space="preserve">This includes both primary transport from suppliers (Europe Focused) to the factory in China and last-mile delivery to the customer.</w:t>
      </w:r>
    </w:p>
    <w:p>
      <w:pPr>
        <w:numPr>
          <w:ilvl w:val="0"/>
          <w:numId w:val="1009"/>
        </w:numPr>
        <w:pStyle w:val="Compact"/>
      </w:pPr>
      <w:r>
        <w:t xml:space="preserve">**Primary Transport (Road Freight HGV):**</w:t>
      </w:r>
    </w:p>
    <w:p>
      <w:pPr>
        <w:numPr>
          <w:ilvl w:val="1"/>
          <w:numId w:val="1010"/>
        </w:numPr>
        <w:pStyle w:val="Compact"/>
      </w:pPr>
      <w:r>
        <w:t xml:space="preserve">Assuming an average product weight of 1.5 kg per unit (for calculation purposes, based on BOM materials).</w:t>
      </w:r>
    </w:p>
    <w:p>
      <w:pPr>
        <w:numPr>
          <w:ilvl w:val="1"/>
          <w:numId w:val="1010"/>
        </w:numPr>
        <w:pStyle w:val="Compact"/>
      </w:pPr>
      <w:r>
        <w:t xml:space="preserve">Emission Factor for Road Freight (HGV, Europe): 0.062 kgCO2e/tonne-km</w:t>
      </w:r>
    </w:p>
    <w:p>
      <w:pPr>
        <w:numPr>
          <w:ilvl w:val="1"/>
          <w:numId w:val="1010"/>
        </w:numPr>
        <w:pStyle w:val="Compact"/>
      </w:pPr>
      <w:r>
        <w:t xml:space="preserve">Distance: 1500 km</w:t>
      </w:r>
    </w:p>
    <w:p>
      <w:pPr>
        <w:numPr>
          <w:ilvl w:val="1"/>
          <w:numId w:val="1010"/>
        </w:numPr>
        <w:pStyle w:val="Compact"/>
      </w:pPr>
      <w:r>
        <w:t xml:space="preserve">Emissions = (1.5 kg / 1000 kg/tonne) * 1500 km * 0.062 kgCO2e/tonne-km = 0.1395 kgCO2e</w:t>
      </w:r>
    </w:p>
    <w:p>
      <w:pPr>
        <w:numPr>
          <w:ilvl w:val="0"/>
          <w:numId w:val="1009"/>
        </w:numPr>
        <w:pStyle w:val="Compact"/>
      </w:pPr>
      <w:r>
        <w:t xml:space="preserve">**Last-Mile Delivery (Van Delivery):**</w:t>
      </w:r>
    </w:p>
    <w:p>
      <w:pPr>
        <w:numPr>
          <w:ilvl w:val="1"/>
          <w:numId w:val="1011"/>
        </w:numPr>
        <w:pStyle w:val="Compact"/>
      </w:pPr>
      <w:r>
        <w:t xml:space="preserve">Emission Factor for Average Van (up to 3.5 tonnes): 0.24934 kgCO2e/km</w:t>
      </w:r>
    </w:p>
    <w:p>
      <w:pPr>
        <w:numPr>
          <w:ilvl w:val="1"/>
          <w:numId w:val="1011"/>
        </w:numPr>
        <w:pStyle w:val="Compact"/>
      </w:pPr>
      <w:r>
        <w:t xml:space="preserve">Distance: 50 km</w:t>
      </w:r>
    </w:p>
    <w:p>
      <w:pPr>
        <w:numPr>
          <w:ilvl w:val="1"/>
          <w:numId w:val="1011"/>
        </w:numPr>
        <w:pStyle w:val="Compact"/>
      </w:pPr>
      <w:r>
        <w:t xml:space="preserve">Emissions = 50 km * 0.24934 kgCO2e/km = 12.467 kgCO2e</w:t>
      </w:r>
    </w:p>
    <w:p>
      <w:pPr>
        <w:pStyle w:val="FirstParagraph"/>
      </w:pPr>
      <w:r>
        <w:rPr>
          <w:bCs/>
          <w:b/>
        </w:rPr>
        <w:t xml:space="preserve">Total Emissions (Transportation - Scope 3): 0.1395 kgCO2e (Primary) + 12.467 kgCO2e (Last-Mile) = 12.6065 kgCO2e</w:t>
      </w:r>
    </w:p>
    <w:bookmarkEnd w:id="37"/>
    <w:bookmarkStart w:id="38" w:name="use-phase-scope-3-category-11"/>
    <w:p>
      <w:pPr>
        <w:pStyle w:val="Heading3"/>
      </w:pPr>
      <w:r>
        <w:t xml:space="preserve">4.4. Use Phase (Scope 3, Category 11)</w:t>
      </w:r>
    </w:p>
    <w:p>
      <w:pPr>
        <w:pStyle w:val="FirstParagraph"/>
      </w:pPr>
      <w:r>
        <w:t xml:space="preserve">Emissions during the use phase are calculated based on the product\'s lifespan and annual energy consumption, using the grid electricity emission factor as an approximation for user energy source.</w:t>
      </w:r>
    </w:p>
    <w:p>
      <w:pPr>
        <w:numPr>
          <w:ilvl w:val="0"/>
          <w:numId w:val="1012"/>
        </w:numPr>
        <w:pStyle w:val="Compact"/>
      </w:pPr>
      <w:r>
        <w:t xml:space="preserve">Annual Energy Consumption: 50 kWh/year</w:t>
      </w:r>
    </w:p>
    <w:p>
      <w:pPr>
        <w:numPr>
          <w:ilvl w:val="0"/>
          <w:numId w:val="1012"/>
        </w:numPr>
        <w:pStyle w:val="Compact"/>
      </w:pPr>
      <w:r>
        <w:t xml:space="preserve">Product Lifespan: 5 years</w:t>
      </w:r>
    </w:p>
    <w:p>
      <w:pPr>
        <w:numPr>
          <w:ilvl w:val="0"/>
          <w:numId w:val="1012"/>
        </w:numPr>
        <w:pStyle w:val="Compact"/>
      </w:pPr>
      <w:r>
        <w:t xml:space="preserve">Total Energy Consumption over Lifespan = 50 kWh/year * 5 years = 250 kWh</w:t>
      </w:r>
    </w:p>
    <w:p>
      <w:pPr>
        <w:numPr>
          <w:ilvl w:val="0"/>
          <w:numId w:val="1012"/>
        </w:numPr>
        <w:pStyle w:val="Compact"/>
      </w:pPr>
      <w:r>
        <w:t xml:space="preserve">Electricity Emission Factor (China Grid, conservative proxy): 0.6144 kgCO2e/kWh</w:t>
      </w:r>
    </w:p>
    <w:p>
      <w:pPr>
        <w:numPr>
          <w:ilvl w:val="0"/>
          <w:numId w:val="1012"/>
        </w:numPr>
        <w:pStyle w:val="Compact"/>
      </w:pPr>
      <w:r>
        <w:t xml:space="preserve">Emissions = 250 kWh * 0.6144 kgCO2e/kWh = 153.6 kgCO2e</w:t>
      </w:r>
    </w:p>
    <w:p>
      <w:pPr>
        <w:pStyle w:val="FirstParagraph"/>
      </w:pPr>
      <w:r>
        <w:rPr>
          <w:bCs/>
          <w:b/>
        </w:rPr>
        <w:t xml:space="preserve">Total Emissions (Use Phase - Scope 3): 153.6 kgCO2e</w:t>
      </w:r>
    </w:p>
    <w:bookmarkEnd w:id="38"/>
    <w:bookmarkStart w:id="39" w:name="Xd8b0cc1007d2f3c714880ecf2ca12af4f909441"/>
    <w:p>
      <w:pPr>
        <w:pStyle w:val="Heading3"/>
      </w:pPr>
      <w:r>
        <w:t xml:space="preserve">4.5. End-of-Life (EoL) Treatment (Scope 3, Category 12)</w:t>
      </w:r>
    </w:p>
    <w:p>
      <w:pPr>
        <w:pStyle w:val="FirstParagraph"/>
      </w:pPr>
      <w:r>
        <w:t xml:space="preserve">The EoL scenario considers the recyclability percentage and the presence of circular programs. For simplicity, we calculate emissions for the non-recycled portion and acknowledge avoided emissions from recycling.</w:t>
      </w:r>
    </w:p>
    <w:p>
      <w:pPr>
        <w:numPr>
          <w:ilvl w:val="0"/>
          <w:numId w:val="1013"/>
        </w:numPr>
        <w:pStyle w:val="Compact"/>
      </w:pPr>
      <w:r>
        <w:t xml:space="preserve">Recyclability Percentage: 80%</w:t>
      </w:r>
    </w:p>
    <w:p>
      <w:pPr>
        <w:numPr>
          <w:ilvl w:val="0"/>
          <w:numId w:val="1013"/>
        </w:numPr>
        <w:pStyle w:val="Compact"/>
      </w:pPr>
      <w:r>
        <w:t xml:space="preserve">Non-Recycled Percentage: (100% - 80%) = 20%</w:t>
      </w:r>
    </w:p>
    <w:p>
      <w:pPr>
        <w:numPr>
          <w:ilvl w:val="0"/>
          <w:numId w:val="1013"/>
        </w:numPr>
        <w:pStyle w:val="Compact"/>
      </w:pPr>
      <w:r>
        <w:t xml:space="preserve">Assuming a generic EoL emission factor for non-recycled electronics (e.g., landfill/incineration, highly variable but generally positive). For illustrative purposes, using a factor of 1.0 kgCO2e/kg for non-recycled material.</w:t>
      </w:r>
    </w:p>
    <w:p>
      <w:pPr>
        <w:numPr>
          <w:ilvl w:val="0"/>
          <w:numId w:val="1013"/>
        </w:numPr>
        <w:pStyle w:val="Compact"/>
      </w:pPr>
      <w:r>
        <w:t xml:space="preserve">Total Product Weight (estimated from BOM): ~1.5 kg</w:t>
      </w:r>
    </w:p>
    <w:p>
      <w:pPr>
        <w:numPr>
          <w:ilvl w:val="0"/>
          <w:numId w:val="1013"/>
        </w:numPr>
        <w:pStyle w:val="Compact"/>
      </w:pPr>
      <w:r>
        <w:t xml:space="preserve">Emissions from Non-Recycled Portion = 1.5 kg * 0.20 * 1.0 kgCO2e/kg = 0.3 kgCO2e</w:t>
      </w:r>
    </w:p>
    <w:p>
      <w:pPr>
        <w:pStyle w:val="FirstParagraph"/>
      </w:pPr>
      <w:r>
        <w:t xml:space="preserve">The "Yes, established program" for Circular/Take-back Programs implies efforts to manage product end-of-life responsibly, likely leading to higher recycling rates and potentially material reuse, which significantly reduces the need for virgin materials and thus avoids upstream emissions. While this analysis calculates the emissions for the non-recycled part, the existence of such programs positively impacts the overall lifecycle footprint by preventing more emissions.</w:t>
      </w:r>
    </w:p>
    <w:p>
      <w:pPr>
        <w:pStyle w:val="BodyText"/>
      </w:pPr>
      <w:r>
        <w:rPr>
          <w:bCs/>
          <w:b/>
        </w:rPr>
        <w:t xml:space="preserve">Total Emissions (End-of-Life - Scope 3): 0.3 kgCO2e</w:t>
      </w:r>
      <w:r>
        <w:t xml:space="preserve"> </w:t>
      </w:r>
      <w:r>
        <w:t xml:space="preserve">(net emissions from non-recycled waste)</w:t>
      </w:r>
    </w:p>
    <w:bookmarkEnd w:id="39"/>
    <w:bookmarkStart w:id="40" w:name="X9e494492ab436e6c6e182d2d2e8572bbe19ee3f"/>
    <w:p>
      <w:pPr>
        <w:pStyle w:val="Heading3"/>
      </w:pPr>
      <w:r>
        <w:t xml:space="preserve">4.6. Total Product Carbon Footprint (PCF) for dgsxiqjsmm</w:t>
      </w:r>
    </w:p>
    <w:p>
      <w:pPr>
        <w:pStyle w:val="FirstParagraph"/>
      </w:pPr>
      <w:r>
        <w:t xml:space="preserve">The aggregated carbon footprint for one functional unit of dgsxiqjsmm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9.88</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2.304</w:t>
            </w:r>
          </w:p>
        </w:tc>
      </w:tr>
      <w:tr>
        <w:tc>
          <w:tcPr/>
          <w:p>
            <w:pPr>
              <w:pStyle w:val="Compact"/>
              <w:jc w:val="left"/>
            </w:pPr>
            <w:r>
              <w:t xml:space="preserve">Transportation &amp; Distribution</w:t>
            </w:r>
          </w:p>
        </w:tc>
        <w:tc>
          <w:tcPr/>
          <w:p>
            <w:pPr>
              <w:pStyle w:val="Compact"/>
              <w:jc w:val="left"/>
            </w:pPr>
            <w:r>
              <w:t xml:space="preserve">Scope 3 (Category 4)</w:t>
            </w:r>
          </w:p>
        </w:tc>
        <w:tc>
          <w:tcPr/>
          <w:p>
            <w:pPr>
              <w:pStyle w:val="Compact"/>
              <w:jc w:val="left"/>
            </w:pPr>
            <w:r>
              <w:t xml:space="preserve">12.6065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153.6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w:t>
            </w:r>
          </w:p>
        </w:tc>
      </w:tr>
      <w:tr>
        <w:tc>
          <w:tcPr>
            <w:gridSpan w:val="2"/>
          </w:tcPr>
          <w:p>
            <w:pPr>
              <w:pStyle w:val="Compact"/>
              <w:jc w:val="right"/>
            </w:pPr>
            <w:r>
              <w:rPr>
                <w:bCs/>
                <w:b/>
              </w:rPr>
              <w:t xml:space="preserve">Total PCF (Cradle-to-Grave):</w:t>
            </w:r>
          </w:p>
        </w:tc>
        <w:tc>
          <w:tcPr/>
          <w:p>
            <w:pPr>
              <w:pStyle w:val="Compact"/>
              <w:jc w:val="left"/>
            </w:pPr>
            <w:r>
              <w:rPr>
                <w:bCs/>
                <w:b/>
              </w:rPr>
              <w:t xml:space="preserve">178.0905 kgCO2e</w:t>
            </w:r>
          </w:p>
        </w:tc>
      </w:tr>
    </w:tbl>
    <w:bookmarkEnd w:id="40"/>
    <w:bookmarkEnd w:id="41"/>
    <w:bookmarkStart w:id="44" w:name="review-report"/>
    <w:p>
      <w:pPr>
        <w:pStyle w:val="Heading2"/>
      </w:pPr>
      <w:r>
        <w:t xml:space="preserve">5. Review &amp; Report</w:t>
      </w:r>
    </w:p>
    <w:bookmarkStart w:id="42" w:name="hotspots-and-reliability"/>
    <w:p>
      <w:pPr>
        <w:pStyle w:val="Heading3"/>
      </w:pPr>
      <w:r>
        <w:t xml:space="preserve">5.1. Hotspots and Reliability</w:t>
      </w:r>
    </w:p>
    <w:p>
      <w:pPr>
        <w:pStyle w:val="FirstParagraph"/>
      </w:pPr>
      <w:r>
        <w:t xml:space="preserve">Based on the calculations, the primary emissions hotspots for "dgsxiqjsmm" are:</w:t>
      </w:r>
    </w:p>
    <w:p>
      <w:pPr>
        <w:numPr>
          <w:ilvl w:val="0"/>
          <w:numId w:val="1014"/>
        </w:numPr>
        <w:pStyle w:val="Compact"/>
      </w:pPr>
      <w:r>
        <w:t xml:space="preserve">**Use Phase (Scope 3, Category 11):** This phase accounts for the majority of the emissions (approximately 86%), primarily due to the energy consumption over the product\'s 5-year lifespan. This highlights a critical area for product redesign focusing on energy efficiency.</w:t>
      </w:r>
    </w:p>
    <w:p>
      <w:pPr>
        <w:numPr>
          <w:ilvl w:val="0"/>
          <w:numId w:val="1014"/>
        </w:numPr>
        <w:pStyle w:val="Compact"/>
      </w:pPr>
      <w:r>
        <w:t xml:space="preserve">**Transportation &amp; Distribution (Scope 3, Category 4):** Particularly last-mile delivery, contributes significantly, indicating opportunities for optimizing logistics and utilizing lower-emission transport modes.</w:t>
      </w:r>
    </w:p>
    <w:p>
      <w:pPr>
        <w:numPr>
          <w:ilvl w:val="0"/>
          <w:numId w:val="1014"/>
        </w:numPr>
        <w:pStyle w:val="Compact"/>
      </w:pPr>
      <w:r>
        <w:t xml:space="preserve">**Materials Acquisition (Scope 3, Category 1):** While lower than the use phase, material impacts are substantial and depend heavily on the sourcing and processing of raw materials. Prioritizing recycled content and lower-impact materials is crucial.</w:t>
      </w:r>
    </w:p>
    <w:p>
      <w:pPr>
        <w:pStyle w:val="FirstParagraph"/>
      </w:pPr>
      <w:r>
        <w:t xml:space="preserve">The reliability of this assessment is contingent on the accuracy of the provided activity data and the representativeness of the applied emission factors. Industry-standard emission factors (e.g., from Ecoinvent/DEFRA context) have been used where specific primary data was not available. The use of a detailed BOM (yneyyxxr) significantly enhances the accuracy of material impact calculations compared to generic estimates.</w:t>
      </w:r>
    </w:p>
    <w:bookmarkEnd w:id="42"/>
    <w:bookmarkStart w:id="43" w:name="ghg-protocol-adherence-and-2026-updates"/>
    <w:p>
      <w:pPr>
        <w:pStyle w:val="Heading3"/>
      </w:pPr>
      <w:r>
        <w:t xml:space="preserve">5.2. GHG Protocol Adherence and 2026 Updates</w:t>
      </w:r>
    </w:p>
    <w:p>
      <w:pPr>
        <w:pStyle w:val="FirstParagraph"/>
      </w:pPr>
      <w:r>
        <w:t xml:space="preserve">This report adheres to the **GHG Protocol** by categorizing emissions into Scope 1 (direct), Scope 2 (purchased energy), and Scope 3 (value chain).</w:t>
      </w:r>
    </w:p>
    <w:p>
      <w:pPr>
        <w:numPr>
          <w:ilvl w:val="0"/>
          <w:numId w:val="1015"/>
        </w:numPr>
        <w:pStyle w:val="Compact"/>
      </w:pPr>
      <w:r>
        <w:t xml:space="preserve">**2026 LSR Update:** The Land Sector and Removals (LSR) Standard, taking effect on January 1, 2027, provides guidelines for land-related emissions and removals, and technological CO2 removals. While direct land-use impacts for this specific product are embedded within upstream material supply chains, future iterations of this analysis will ensure closer alignment with the LSR guidance expected in Q2 2026 for relevant material categories and their origins.</w:t>
      </w:r>
    </w:p>
    <w:p>
      <w:pPr>
        <w:numPr>
          <w:ilvl w:val="0"/>
          <w:numId w:val="1015"/>
        </w:numPr>
        <w:pStyle w:val="Compact"/>
      </w:pPr>
      <w:r>
        <w:t xml:space="preserve">**Scope 3 Compliance:** As per the 2026 requirements, efforts have been made to ensure at least **95% coverage for Scope 3 reporting**. This analysis extensively covers key Scope 3 categories: Category 1 (Purchased Goods and Services), Category 4 (Upstream Transportation and Distribution), Category 11 (Use of Sold Products), and Category 12 (End-of-Life Treatment of Sold Products). These categories typically represent the most significant downstream and upstream impacts for electronic products, and the comprehensiveness of the data gathered for these categories aims to meet the 95% threshold for required Scope 3 emissions.</w:t>
      </w:r>
    </w:p>
    <w:bookmarkEnd w:id="43"/>
    <w:bookmarkEnd w:id="44"/>
    <w:bookmarkStart w:id="45" w:name="recommendations-for-emissions-reduction"/>
    <w:p>
      <w:pPr>
        <w:pStyle w:val="Heading2"/>
      </w:pPr>
      <w:r>
        <w:t xml:space="preserve">6. Recommendations for Emissions Reduction</w:t>
      </w:r>
    </w:p>
    <w:p>
      <w:pPr>
        <w:pStyle w:val="FirstParagraph"/>
      </w:pPr>
      <w:r>
        <w:t xml:space="preserve">Based on this PCF analysis, ouvfzpgmwr should focus on the following strategic areas to reduce the carbon footprint of dgsxiqjsmm:</w:t>
      </w:r>
    </w:p>
    <w:p>
      <w:pPr>
        <w:numPr>
          <w:ilvl w:val="0"/>
          <w:numId w:val="1016"/>
        </w:numPr>
        <w:pStyle w:val="Compact"/>
      </w:pPr>
      <w:r>
        <w:t xml:space="preserve">**Enhance Use Phase Efficiency:** Redesign dgsxiqjsmm for lower energy consumption during its lifespan. Explore low-power modes, extend product durability (as a longer lifespan can amortize upfront emissions over more years), and educate users on energy-efficient usage.</w:t>
      </w:r>
    </w:p>
    <w:p>
      <w:pPr>
        <w:numPr>
          <w:ilvl w:val="0"/>
          <w:numId w:val="1016"/>
        </w:numPr>
        <w:pStyle w:val="Compact"/>
      </w:pPr>
      <w:r>
        <w:t xml:space="preserve">**Optimize Logistics:** Investigate opportunities to shift towards lower-emission transport modes (e.g., rail for longer distances within Europe) and optimize last-mile delivery routes and vehicle types (e.g., electric vans for urban deliveries).</w:t>
      </w:r>
    </w:p>
    <w:p>
      <w:pPr>
        <w:numPr>
          <w:ilvl w:val="0"/>
          <w:numId w:val="1016"/>
        </w:numPr>
        <w:pStyle w:val="Compact"/>
      </w:pPr>
      <w:r>
        <w:t xml:space="preserve">**Sustainable Material Sourcing:** Further investigate the carbon intensity of raw material suppliers, prioritizing materials with lower embedded emissions or higher recycled content. Engage with suppliers to promote renewable energy use in their operations.</w:t>
      </w:r>
    </w:p>
    <w:p>
      <w:pPr>
        <w:numPr>
          <w:ilvl w:val="0"/>
          <w:numId w:val="1016"/>
        </w:numPr>
        <w:pStyle w:val="Compact"/>
      </w:pPr>
      <w:r>
        <w:t xml:space="preserve">**Strengthen Circular Economy Initiatives:** Leverage the existing "jyggpqkxwl" circular/take-back program to maximize actual recycling rates and explore opportunities for component reuse or remanufacturing to further minimize virgin material demand.</w:t>
      </w:r>
    </w:p>
    <w:p>
      <w:pPr>
        <w:numPr>
          <w:ilvl w:val="0"/>
          <w:numId w:val="1016"/>
        </w:numPr>
        <w:pStyle w:val="Compact"/>
      </w:pPr>
      <w:r>
        <w:t xml:space="preserve">**Renewable Energy Integration:** Continue to increase the share of renewable energy in manufacturing operations, and encourage supply chain partners in China and Europe to do the same.</w:t>
      </w:r>
    </w:p>
    <w:p>
      <w:r>
        <w:pict>
          <v:rect style="width:0;height:1.5pt" o:hralign="center" o:hrstd="t" o:hr="t"/>
        </w:pict>
      </w:r>
    </w:p>
    <w:p>
      <w:pPr>
        <w:pStyle w:val="FirstParagraph"/>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dgsxiqjsmm</dc:title>
  <dc:creator/>
  <dc:description>Detailed Product Carbon Footprint (PCF) analysis for dgsxiqjsmm by ouvfzpgmwr, adhering to GHG Protocol standards and 2026 updates.</dc:description>
  <dc:language>en</dc:language>
  <cp:keywords/>
  <dcterms:created xsi:type="dcterms:W3CDTF">2026-05-30T16:53:46Z</dcterms:created>
  <dcterms:modified xsi:type="dcterms:W3CDTF">2026-05-30T16:53:46Z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