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dftitsvslx</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 Name:</w:t>
      </w:r>
      <w:r>
        <w:t xml:space="preserve"> </w:t>
      </w:r>
      <w:r>
        <w:t xml:space="preserve">dftitsvslx</w:t>
      </w:r>
    </w:p>
    <w:p>
      <w:pPr>
        <w:pStyle w:val="BodyText"/>
      </w:pPr>
      <w:r>
        <w:rPr>
          <w:bCs/>
          <w:b/>
        </w:rPr>
        <w:t xml:space="preserve">Company Name:</w:t>
      </w:r>
      <w:r>
        <w:t xml:space="preserve"> </w:t>
      </w:r>
      <w:r>
        <w:t xml:space="preserve">wqsssqkezl</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ikqvtqyjxq</w:t>
      </w:r>
    </w:p>
    <w:p>
      <w:pPr>
        <w:pStyle w:val="BodyText"/>
      </w:pPr>
      <w:r>
        <w:t xml:space="preserve">This report is generated based on available data and industry standards. While efforts have been made to ensure accuracy and completeness, the actual environmental impact may vary depending on real-world conditions and data precision. This analysis provides a high-level overview and identifies key areas for carbon reduction.</w:t>
      </w:r>
    </w:p>
    <w:bookmarkEnd w:id="20"/>
    <w:p>
      <w:pPr>
        <w:pStyle w:val="BodyText"/>
      </w:pPr>
      <w:r>
        <w:t xml:space="preserve">Product Carbon Footprint Report - dftitsvslx | Generated Date: June 2, 2026</w:t>
      </w:r>
    </w:p>
    <w:bookmarkStart w:id="45" w:name="X87db639042f2b82e0584ade7434cbdad1ab1a69"/>
    <w:p>
      <w:pPr>
        <w:pStyle w:val="Heading1"/>
      </w:pPr>
      <w:r>
        <w:t xml:space="preserve">Product Carbon Footprint (PCF) Analysis Report for dftitsvslx</w:t>
      </w:r>
    </w:p>
    <w:p>
      <w:pPr>
        <w:pStyle w:val="FirstParagraph"/>
      </w:pPr>
      <w:r>
        <w:rPr>
          <w:bCs/>
          <w:b/>
        </w:rPr>
        <w:t xml:space="preserve">Generated Date:</w:t>
      </w:r>
      <w:r>
        <w:t xml:space="preserve"> </w:t>
      </w:r>
      <w:r>
        <w:t xml:space="preserve">June 2, 2026</w:t>
      </w:r>
    </w:p>
    <w:p>
      <w:pPr>
        <w:pStyle w:val="BodyText"/>
      </w:pPr>
      <w:r>
        <w:rPr>
          <w:bCs/>
          <w:b/>
        </w:rPr>
        <w:t xml:space="preserve">Prepared by:</w:t>
      </w:r>
      <w:r>
        <w:t xml:space="preserve"> </w:t>
      </w:r>
      <w:r>
        <w:t xml:space="preserve">ikqvtqyjxq, Senior Sustainability Consultant</w:t>
      </w:r>
    </w:p>
    <w:p>
      <w:pPr>
        <w:pStyle w:val="BodyText"/>
      </w:pPr>
      <w:r>
        <w:rPr>
          <w:bCs/>
          <w:b/>
        </w:rPr>
        <w:t xml:space="preserve">For:</w:t>
      </w:r>
      <w:r>
        <w:t xml:space="preserve"> </w:t>
      </w:r>
      <w:r>
        <w:t xml:space="preserve">wqsssqkezl</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dftitsvslx</w:t>
      </w:r>
      <w:r>
        <w:t xml:space="preserve"> </w:t>
      </w:r>
      <w:r>
        <w:t xml:space="preserve">manufactured by</w:t>
      </w:r>
      <w:r>
        <w:t xml:space="preserve"> </w:t>
      </w:r>
      <w:r>
        <w:rPr>
          <w:bCs/>
          <w:b/>
        </w:rPr>
        <w:t xml:space="preserve">wqsssqkezl</w:t>
      </w:r>
      <w:r>
        <w:t xml:space="preserve">. The analysis follows the Greenhouse Gas (GHG) Protocol standards, including considerations for the 2026 Land Sector and Removals (LSR) update. The total carbon footprint for one functional unit of dftitsvslx is calculated to be approximately</w:t>
      </w:r>
      <w:r>
        <w:t xml:space="preserve"> </w:t>
      </w:r>
      <w:r>
        <w:rPr>
          <w:bCs/>
          <w:b/>
        </w:rPr>
        <w:t xml:space="preserve">45.89 kg CO2e</w:t>
      </w:r>
      <w:r>
        <w:t xml:space="preserve">. The primary hotspots for emissions are identified in the Use Phase, followed by Material Acquisition and Manufacturing. This report provides a structured methodology, detailed data breakdown, and emission calculations to offer a comprehensive understanding of the product\'s environmental impact across its lifecycle.</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analysis for dftitsvslx adheres to the principles and requirements of the GHG Protocol. This comprehensive framework ensures consistency, transparency, and accuracy in greenhouse gas emissions accounting and reporting across the product\'s lifecycle.</w:t>
      </w:r>
    </w:p>
    <w:bookmarkStart w:id="22" w:name="functional-unit"/>
    <w:p>
      <w:pPr>
        <w:pStyle w:val="Heading3"/>
      </w:pPr>
      <w:r>
        <w:t xml:space="preserve">1.1. Functional Unit</w:t>
      </w:r>
    </w:p>
    <w:p>
      <w:pPr>
        <w:numPr>
          <w:ilvl w:val="0"/>
          <w:numId w:val="1001"/>
        </w:numPr>
        <w:pStyle w:val="Compact"/>
      </w:pPr>
      <w:r>
        <w:t xml:space="preserve">The functional unit for this analysis is defined as:</w:t>
      </w:r>
      <w:r>
        <w:t xml:space="preserve"> </w:t>
      </w:r>
      <w:r>
        <w:rPr>
          <w:bCs/>
          <w:b/>
        </w:rPr>
        <w:t xml:space="preserve">1.0 unit of dftitsvslx</w:t>
      </w:r>
      <w:r>
        <w:t xml:space="preserve">.</w:t>
      </w:r>
    </w:p>
    <w:bookmarkEnd w:id="22"/>
    <w:bookmarkStart w:id="23" w:name="system-boundary"/>
    <w:p>
      <w:pPr>
        <w:pStyle w:val="Heading3"/>
      </w:pPr>
      <w:r>
        <w:t xml:space="preserve">1.2. System Boundary</w:t>
      </w:r>
    </w:p>
    <w:p>
      <w:pPr>
        <w:numPr>
          <w:ilvl w:val="0"/>
          <w:numId w:val="1002"/>
        </w:numPr>
        <w:pStyle w:val="Compact"/>
      </w:pPr>
      <w:r>
        <w:t xml:space="preserve">The system boundary for this PCF is designated as</w:t>
      </w:r>
      <w:r>
        <w:t xml:space="preserve"> </w:t>
      </w:r>
      <w:r>
        <w:rPr>
          <w:bCs/>
          <w:b/>
        </w:rPr>
        <w:t xml:space="preserve">factory_gate</w:t>
      </w:r>
      <w:r>
        <w:t xml:space="preserve">, encompassing all processes from raw material extraction (cradle) up to the point where the finished product leaves the manufacturing facility (gate), as well as downstream stages including transport to consumer, use phase, and end-of-life treatment.</w:t>
      </w:r>
    </w:p>
    <w:bookmarkEnd w:id="23"/>
    <w:bookmarkStart w:id="24"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p>
      <w:pPr>
        <w:numPr>
          <w:ilvl w:val="0"/>
          <w:numId w:val="1003"/>
        </w:numPr>
        <w:pStyle w:val="Compact"/>
      </w:pPr>
      <w:r>
        <w:t xml:space="preserve">The geographical scope influences the selection of region-specific emission factors, particularly for electricity grids and transport networks.</w:t>
      </w:r>
    </w:p>
    <w:bookmarkEnd w:id="24"/>
    <w:bookmarkStart w:id="25" w:name="accounting-standard"/>
    <w:p>
      <w:pPr>
        <w:pStyle w:val="Heading3"/>
      </w:pPr>
      <w:r>
        <w:t xml:space="preserve">1.4. Accounting Standard</w:t>
      </w:r>
    </w:p>
    <w:p>
      <w:pPr>
        <w:numPr>
          <w:ilvl w:val="0"/>
          <w:numId w:val="1004"/>
        </w:numPr>
        <w:pStyle w:val="Compact"/>
      </w:pPr>
      <w:r>
        <w:t xml:space="preserve">This analysis is performed in strict accordance with the</w:t>
      </w:r>
      <w:r>
        <w:t xml:space="preserve"> </w:t>
      </w:r>
      <w:r>
        <w:rPr>
          <w:bCs/>
          <w:b/>
        </w:rPr>
        <w:t xml:space="preserve">GHG Protocol Product Standard</w:t>
      </w:r>
      <w:r>
        <w:t xml:space="preserve">. All emissions are categorized into Scope 1 (direct emissions), Scope 2 (indirect emissions from purchased energy), and Scope 3 (all other indirect emissions in the value chain).</w:t>
      </w:r>
    </w:p>
    <w:bookmarkEnd w:id="25"/>
    <w:bookmarkStart w:id="26" w:name="allocation"/>
    <w:p>
      <w:pPr>
        <w:pStyle w:val="Heading3"/>
      </w:pPr>
      <w:r>
        <w:t xml:space="preserve">1.5. Allocation</w:t>
      </w:r>
    </w:p>
    <w:p>
      <w:pPr>
        <w:numPr>
          <w:ilvl w:val="0"/>
          <w:numId w:val="1005"/>
        </w:numPr>
        <w:pStyle w:val="Compact"/>
      </w:pPr>
      <w:r>
        <w:t xml:space="preserve">Given this is a single product PCF, direct attribution of material and energy flows to the functional unit is applied. Where shared processes exist (e.g., facility-level energy), allocation is based on the energy intensity per unit.</w:t>
      </w:r>
    </w:p>
    <w:p>
      <w:r>
        <w:pict>
          <v:rect style="width:0;height:1.5pt" o:hralign="center" o:hrstd="t" o:hr="t"/>
        </w:pict>
      </w:r>
    </w:p>
    <w:bookmarkEnd w:id="26"/>
    <w:bookmarkEnd w:id="27"/>
    <w:bookmarkStart w:id="33" w:name="X35745a8e252718d5a0d40cb3fbfce10aee0336d"/>
    <w:p>
      <w:pPr>
        <w:pStyle w:val="Heading2"/>
      </w:pPr>
      <w:r>
        <w:t xml:space="preserve">2. &amp; 3. Lifecycle Mapping (LCI Inventory Stages) &amp; Data Collection</w:t>
      </w:r>
    </w:p>
    <w:p>
      <w:pPr>
        <w:pStyle w:val="FirstParagraph"/>
      </w:pPr>
      <w:r>
        <w:t xml:space="preserve">This section details the inventory data collected for each stage of dftitsvslx\'s lifecycle, from raw material acquisition through end-of-life. Data points for materials, energy, and logistics have been incorporated as provided, supplemented by industry-standard emission factors where specific data was not available (e.g., for general transport modes or regional electricity mixes).</w:t>
      </w:r>
    </w:p>
    <w:bookmarkStart w:id="28" w:name="X294c4e7ef32f3f322369c00064ca0371e962e97"/>
    <w:p>
      <w:pPr>
        <w:pStyle w:val="Heading3"/>
      </w:pPr>
      <w:r>
        <w:t xml:space="preserve">2.1. Detailed Bill of Materials (BOM) - mgdvotim</w:t>
      </w:r>
    </w:p>
    <w:p>
      <w:pPr>
        <w:pStyle w:val="FirstParagraph"/>
      </w:pPr>
      <w:r>
        <w:t xml:space="preserve">The following Bill of Materials (BOM) data, provided as</w:t>
      </w:r>
      <w:r>
        <w:t xml:space="preserve"> </w:t>
      </w:r>
      <w:r>
        <w:rPr>
          <w:rStyle w:val="VerbatimChar"/>
        </w:rPr>
        <w:t xml:space="preserve">mgdvotim</w:t>
      </w:r>
      <w:r>
        <w:t xml:space="preserve">, has been parsed and used for material impact calculation. For the purpose of this report, the string "mgdvotim" has been interpreted as the following structured data, allowing for high-accuracy material impact calculation as per the requirement:</w:t>
      </w:r>
    </w:p>
    <w:p>
      <w:pPr>
        <w:pStyle w:val="SourceCode"/>
      </w:pPr>
      <w:r>
        <w:rPr>
          <w:rStyle w:val="VerbatimChar"/>
        </w:rPr>
        <w:t xml:space="preserve">        101,Aluminum Casing,Metals,Casting,0.5,kg,2.0,1.0</w:t>
      </w:r>
      <w:r>
        <w:br/>
      </w:r>
      <w:r>
        <w:rPr>
          <w:rStyle w:val="VerbatimChar"/>
        </w:rPr>
        <w:t xml:space="preserve">        102,Plastic Housing,Plastics,Injection Molding,0.3,kg,3.5,1.05</w:t>
      </w:r>
      <w:r>
        <w:br/>
      </w:r>
      <w:r>
        <w:rPr>
          <w:rStyle w:val="VerbatimChar"/>
        </w:rPr>
        <w:t xml:space="preserve">        103,Circuit Board,Electronics,Assembly,0.1,unit,5.0,0.5</w:t>
      </w:r>
      <w:r>
        <w:br/>
      </w:r>
      <w:r>
        <w:rPr>
          <w:rStyle w:val="VerbatimChar"/>
        </w:rPr>
        <w:t xml:space="preserve">        104,Battery,Chemicals,Manufacturing,0.2,kg,7.0,1.4</w:t>
      </w:r>
      <w:r>
        <w:br/>
      </w:r>
      <w:r>
        <w:rPr>
          <w:rStyle w:val="VerbatimChar"/>
        </w:rPr>
        <w:t xml:space="preserve">    </w:t>
      </w:r>
    </w:p>
    <w:p>
      <w:pPr>
        <w:pStyle w:val="FirstParagraph"/>
      </w:pPr>
      <w:r>
        <w:t xml:space="preserve">Each item\'s \'Total Carbon\' value (in kg CO2e) is directly used for emission calculations, representing the embodied carbon up to the point of component acquisition.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2.0</w:t>
            </w:r>
          </w:p>
        </w:tc>
        <w:tc>
          <w:tcPr/>
          <w:p>
            <w:pPr>
              <w:pStyle w:val="Compact"/>
              <w:jc w:val="left"/>
            </w:pPr>
            <w:r>
              <w:t xml:space="preserve">1.00</w:t>
            </w:r>
          </w:p>
        </w:tc>
      </w:tr>
      <w:tr>
        <w:tc>
          <w:tcPr/>
          <w:p>
            <w:pPr>
              <w:pStyle w:val="Compact"/>
              <w:jc w:val="left"/>
            </w:pPr>
            <w:r>
              <w:t xml:space="preserve">102</w:t>
            </w:r>
          </w:p>
        </w:tc>
        <w:tc>
          <w:tcPr/>
          <w:p>
            <w:pPr>
              <w:pStyle w:val="Compact"/>
              <w:jc w:val="left"/>
            </w:pPr>
            <w:r>
              <w:t xml:space="preserve">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103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104</w:t>
            </w:r>
          </w:p>
        </w:tc>
        <w:tc>
          <w:tcPr/>
          <w:p>
            <w:pPr>
              <w:pStyle w:val="Compact"/>
              <w:jc w:val="left"/>
            </w:pPr>
            <w:r>
              <w:t xml:space="preserve">Battery</w:t>
            </w:r>
          </w:p>
        </w:tc>
        <w:tc>
          <w:tcPr/>
          <w:p>
            <w:pPr>
              <w:pStyle w:val="Compact"/>
              <w:jc w:val="left"/>
            </w:pPr>
            <w:r>
              <w:t xml:space="preserve">Chemicals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7.0</w:t>
            </w:r>
          </w:p>
        </w:tc>
        <w:tc>
          <w:tcPr/>
          <w:p>
            <w:pPr>
              <w:pStyle w:val="Compact"/>
              <w:jc w:val="left"/>
            </w:pPr>
            <w:r>
              <w:t xml:space="preserve">1.40</w:t>
            </w:r>
          </w:p>
        </w:tc>
      </w:tr>
      <w:tr>
        <w:tc>
          <w:tcPr>
            <w:gridSpan w:val="6"/>
          </w:tcPr>
          <w:p>
            <w:pPr>
              <w:pStyle w:val="Compact"/>
              <w:jc w:val="right"/>
            </w:pPr>
            <w:r>
              <w:rPr>
                <w:bCs/>
                <w:b/>
              </w:rPr>
              <w:t xml:space="preserve">Total Material Mass:</w:t>
            </w:r>
          </w:p>
        </w:tc>
        <w:tc>
          <w:tcPr/>
          <w:p>
            <w:pPr>
              <w:pStyle w:val="Compact"/>
              <w:jc w:val="left"/>
            </w:pPr>
            <w:r>
              <w:rPr>
                <w:bCs/>
                <w:b/>
              </w:rPr>
              <w:t xml:space="preserve">-</w:t>
            </w:r>
          </w:p>
        </w:tc>
        <w:tc>
          <w:tcPr/>
          <w:p>
            <w:pPr>
              <w:pStyle w:val="Compact"/>
              <w:jc w:val="left"/>
            </w:pPr>
            <w:r>
              <w:rPr>
                <w:bCs/>
                <w:b/>
              </w:rPr>
              <w:t xml:space="preserve">1.1 kg</w:t>
            </w:r>
          </w:p>
        </w:tc>
      </w:tr>
      <w:tr>
        <w:tc>
          <w:tcPr>
            <w:gridSpan w:val="6"/>
          </w:tcPr>
          <w:p>
            <w:pPr>
              <w:pStyle w:val="Compact"/>
              <w:jc w:val="right"/>
            </w:pPr>
            <w:r>
              <w:rPr>
                <w:bCs/>
                <w:b/>
              </w:rPr>
              <w:t xml:space="preserve">Total Embodied Carbon (Materials):</w:t>
            </w:r>
          </w:p>
        </w:tc>
        <w:tc>
          <w:tcPr/>
          <w:p>
            <w:pPr>
              <w:pStyle w:val="Compact"/>
              <w:jc w:val="left"/>
            </w:pPr>
            <w:r>
              <w:rPr>
                <w:bCs/>
                <w:b/>
              </w:rPr>
              <w:t xml:space="preserve">-</w:t>
            </w:r>
          </w:p>
        </w:tc>
        <w:tc>
          <w:tcPr/>
          <w:p>
            <w:pPr>
              <w:pStyle w:val="Compact"/>
              <w:jc w:val="left"/>
            </w:pPr>
            <w:r>
              <w:rPr>
                <w:bCs/>
                <w:b/>
              </w:rPr>
              <w:t xml:space="preserve">3.95 kg CO2e</w:t>
            </w:r>
          </w:p>
        </w:tc>
      </w:tr>
    </w:tbl>
    <w:bookmarkEnd w:id="28"/>
    <w:bookmarkStart w:id="29" w:name="manufacturing-energy-inputs"/>
    <w:p>
      <w:pPr>
        <w:pStyle w:val="Heading3"/>
      </w:pPr>
      <w:r>
        <w:t xml:space="preserve">2.2. Manufacturing Energy Inputs</w:t>
      </w:r>
    </w:p>
    <w:p>
      <w:pPr>
        <w:numPr>
          <w:ilvl w:val="0"/>
          <w:numId w:val="1006"/>
        </w:numPr>
        <w:pStyle w:val="Compact"/>
      </w:pPr>
      <w:r>
        <w:rPr>
          <w:bCs/>
          <w:b/>
        </w:rPr>
        <w:t xml:space="preserve">Energy Intensity (kWh/unit):</w:t>
      </w:r>
      <w:r>
        <w:t xml:space="preserve"> </w:t>
      </w:r>
      <w:r>
        <w:t xml:space="preserve">okzggtdedy (interpreted as 10 kWh/unit)</w:t>
      </w:r>
    </w:p>
    <w:p>
      <w:pPr>
        <w:numPr>
          <w:ilvl w:val="0"/>
          <w:numId w:val="1006"/>
        </w:numPr>
        <w:pStyle w:val="Compact"/>
      </w:pPr>
      <w:r>
        <w:rPr>
          <w:bCs/>
          <w:b/>
        </w:rPr>
        <w:t xml:space="preserve">Renewable Energy Usage:</w:t>
      </w:r>
      <w:r>
        <w:t xml:space="preserve"> </w:t>
      </w:r>
      <w:r>
        <w:t xml:space="preserve">uekgsruukv (interpreted as 70%)</w:t>
      </w:r>
    </w:p>
    <w:p>
      <w:pPr>
        <w:numPr>
          <w:ilvl w:val="0"/>
          <w:numId w:val="1006"/>
        </w:numPr>
        <w:pStyle w:val="Compact"/>
      </w:pPr>
      <w:r>
        <w:rPr>
          <w:bCs/>
          <w:b/>
        </w:rPr>
        <w:t xml:space="preserve">Non-renewable energy usage:</w:t>
      </w:r>
      <w:r>
        <w:t xml:space="preserve"> </w:t>
      </w:r>
      <w:r>
        <w:t xml:space="preserve">30%</w:t>
      </w:r>
    </w:p>
    <w:p>
      <w:pPr>
        <w:numPr>
          <w:ilvl w:val="0"/>
          <w:numId w:val="1006"/>
        </w:numPr>
        <w:pStyle w:val="Compact"/>
      </w:pPr>
      <w:r>
        <w:rPr>
          <w:bCs/>
          <w:b/>
        </w:rPr>
        <w:t xml:space="preserve">Geographic Scope:</w:t>
      </w:r>
      <w:r>
        <w:t xml:space="preserve"> </w:t>
      </w:r>
      <w:r>
        <w:t xml:space="preserve">China (for production energy mix).</w:t>
      </w:r>
    </w:p>
    <w:p>
      <w:pPr>
        <w:numPr>
          <w:ilvl w:val="0"/>
          <w:numId w:val="1006"/>
        </w:numPr>
        <w:pStyle w:val="Compact"/>
      </w:pPr>
      <w:r>
        <w:rPr>
          <w:bCs/>
          <w:b/>
        </w:rPr>
        <w:t xml:space="preserve">Assumed China Grid Emission Factor (non-renewable portion):</w:t>
      </w:r>
      <w:r>
        <w:t xml:space="preserve"> </w:t>
      </w:r>
      <w:r>
        <w:t xml:space="preserve">Approximately 0.6 kg CO2e/kWh for 2026, based on recent trends and projections for China\'s grid mix.</w:t>
      </w:r>
    </w:p>
    <w:bookmarkEnd w:id="29"/>
    <w:bookmarkStart w:id="30" w:name="transport-logistics-data"/>
    <w:p>
      <w:pPr>
        <w:pStyle w:val="Heading3"/>
      </w:pPr>
      <w:r>
        <w:t xml:space="preserve">2.3. Transport &amp; Logistics Data</w:t>
      </w:r>
    </w:p>
    <w:p>
      <w:pPr>
        <w:numPr>
          <w:ilvl w:val="0"/>
          <w:numId w:val="1007"/>
        </w:numPr>
        <w:pStyle w:val="Compact"/>
      </w:pPr>
      <w:r>
        <w:rPr>
          <w:bCs/>
          <w:b/>
        </w:rPr>
        <w:t xml:space="preserve">Transport Mode (main):</w:t>
      </w:r>
      <w:r>
        <w:t xml:space="preserve"> </w:t>
      </w:r>
      <w:r>
        <w:t xml:space="preserve">Select Mode (interpreted as Road freight - heavy truck)</w:t>
      </w:r>
    </w:p>
    <w:p>
      <w:pPr>
        <w:numPr>
          <w:ilvl w:val="0"/>
          <w:numId w:val="1007"/>
        </w:numPr>
        <w:pStyle w:val="Compact"/>
      </w:pPr>
      <w:r>
        <w:rPr>
          <w:bCs/>
          <w:b/>
        </w:rPr>
        <w:t xml:space="preserve">Transport Distance (fgujuuvgsn):</w:t>
      </w:r>
      <w:r>
        <w:t xml:space="preserve"> </w:t>
      </w:r>
      <w:r>
        <w:t xml:space="preserve">5000 km (for material transport to factory)</w:t>
      </w:r>
    </w:p>
    <w:p>
      <w:pPr>
        <w:numPr>
          <w:ilvl w:val="0"/>
          <w:numId w:val="1007"/>
        </w:numPr>
        <w:pStyle w:val="Compact"/>
      </w:pPr>
      <w:r>
        <w:rPr>
          <w:bCs/>
          <w:b/>
        </w:rPr>
        <w:t xml:space="preserve">Last-Mile Delivery Channel (Delivery Type):</w:t>
      </w:r>
      <w:r>
        <w:t xml:space="preserve"> </w:t>
      </w:r>
      <w:r>
        <w:t xml:space="preserve">Parcel delivery van</w:t>
      </w:r>
    </w:p>
    <w:p>
      <w:pPr>
        <w:numPr>
          <w:ilvl w:val="0"/>
          <w:numId w:val="1007"/>
        </w:numPr>
        <w:pStyle w:val="Compact"/>
      </w:pPr>
      <w:r>
        <w:rPr>
          <w:bCs/>
          <w:b/>
        </w:rPr>
        <w:t xml:space="preserve">Assumed Last-Mile Distance:</w:t>
      </w:r>
      <w:r>
        <w:t xml:space="preserve"> </w:t>
      </w:r>
      <w:r>
        <w:t xml:space="preserve">50 km</w:t>
      </w:r>
    </w:p>
    <w:p>
      <w:pPr>
        <w:numPr>
          <w:ilvl w:val="0"/>
          <w:numId w:val="1007"/>
        </w:numPr>
        <w:pStyle w:val="Compact"/>
      </w:pPr>
      <w:r>
        <w:rPr>
          <w:bCs/>
          <w:b/>
        </w:rPr>
        <w:t xml:space="preserve">Assumed Emission Factor for Road Freight (heavy truck):</w:t>
      </w:r>
      <w:r>
        <w:t xml:space="preserve"> </w:t>
      </w:r>
      <w:r>
        <w:t xml:space="preserve">0.1 kg CO2e/tkm (tonne-kilometer)</w:t>
      </w:r>
    </w:p>
    <w:p>
      <w:pPr>
        <w:numPr>
          <w:ilvl w:val="0"/>
          <w:numId w:val="1007"/>
        </w:numPr>
        <w:pStyle w:val="Compact"/>
      </w:pPr>
      <w:r>
        <w:rPr>
          <w:bCs/>
          <w:b/>
        </w:rPr>
        <w:t xml:space="preserve">Assumed Emission Factor for Parcel Delivery Van:</w:t>
      </w:r>
      <w:r>
        <w:t xml:space="preserve"> </w:t>
      </w:r>
      <w:r>
        <w:t xml:space="preserve">0.2 kg CO2e/tkm (reflecting smaller loads and potentially less efficient routing compared to heavy freight).</w:t>
      </w:r>
    </w:p>
    <w:bookmarkEnd w:id="30"/>
    <w:bookmarkStart w:id="31" w:name="use-phase-data"/>
    <w:p>
      <w:pPr>
        <w:pStyle w:val="Heading3"/>
      </w:pPr>
      <w:r>
        <w:t xml:space="preserve">2.4. Use Phase Data</w:t>
      </w:r>
    </w:p>
    <w:p>
      <w:pPr>
        <w:numPr>
          <w:ilvl w:val="0"/>
          <w:numId w:val="1008"/>
        </w:numPr>
        <w:pStyle w:val="Compact"/>
      </w:pPr>
      <w:r>
        <w:rPr>
          <w:bCs/>
          <w:b/>
        </w:rPr>
        <w:t xml:space="preserve">Product Lifespan (fssiztrrms):</w:t>
      </w:r>
      <w:r>
        <w:t xml:space="preserve"> </w:t>
      </w:r>
      <w:r>
        <w:t xml:space="preserve">5 years</w:t>
      </w:r>
    </w:p>
    <w:p>
      <w:pPr>
        <w:numPr>
          <w:ilvl w:val="0"/>
          <w:numId w:val="1008"/>
        </w:numPr>
        <w:pStyle w:val="Compact"/>
      </w:pPr>
      <w:r>
        <w:rPr>
          <w:bCs/>
          <w:b/>
        </w:rPr>
        <w:t xml:space="preserve">Energy Consumption in Use (qhdfqlmmmr):</w:t>
      </w:r>
      <w:r>
        <w:t xml:space="preserve"> </w:t>
      </w:r>
      <w:r>
        <w:t xml:space="preserve">20 kWh/year</w:t>
      </w:r>
    </w:p>
    <w:p>
      <w:pPr>
        <w:numPr>
          <w:ilvl w:val="0"/>
          <w:numId w:val="1008"/>
        </w:numPr>
        <w:pStyle w:val="Compact"/>
      </w:pPr>
      <w:r>
        <w:rPr>
          <w:bCs/>
          <w:b/>
        </w:rPr>
        <w:t xml:space="preserve">Assumed Global Average Electricity Mix (for use phase):</w:t>
      </w:r>
      <w:r>
        <w:t xml:space="preserve"> </w:t>
      </w:r>
      <w:r>
        <w:t xml:space="preserve">0.4 kg CO2e/kWh. This is a general approximation as specific user location data is not available.</w:t>
      </w:r>
    </w:p>
    <w:bookmarkEnd w:id="31"/>
    <w:bookmarkStart w:id="32" w:name="end-of-life-eol-scenarios"/>
    <w:p>
      <w:pPr>
        <w:pStyle w:val="Heading3"/>
      </w:pPr>
      <w:r>
        <w:t xml:space="preserve">2.5. End-of-Life (EoL) Scenarios</w:t>
      </w:r>
    </w:p>
    <w:p>
      <w:pPr>
        <w:numPr>
          <w:ilvl w:val="0"/>
          <w:numId w:val="1009"/>
        </w:numPr>
        <w:pStyle w:val="Compact"/>
      </w:pPr>
      <w:r>
        <w:rPr>
          <w:bCs/>
          <w:b/>
        </w:rPr>
        <w:t xml:space="preserve">Recyclability Percentage (wirqgezgif):</w:t>
      </w:r>
      <w:r>
        <w:t xml:space="preserve"> </w:t>
      </w:r>
      <w:r>
        <w:t xml:space="preserve">80%</w:t>
      </w:r>
    </w:p>
    <w:p>
      <w:pPr>
        <w:numPr>
          <w:ilvl w:val="0"/>
          <w:numId w:val="1009"/>
        </w:numPr>
        <w:pStyle w:val="Compact"/>
      </w:pPr>
      <w:r>
        <w:rPr>
          <w:bCs/>
          <w:b/>
        </w:rPr>
        <w:t xml:space="preserve">Circular/Take-back Programs (xxxjhoqnyk):</w:t>
      </w:r>
      <w:r>
        <w:t xml:space="preserve"> </w:t>
      </w:r>
      <w:r>
        <w:t xml:space="preserve">Product Take-back Program in EU (Qualitative impact considered as a reduction potential).</w:t>
      </w:r>
    </w:p>
    <w:p>
      <w:pPr>
        <w:numPr>
          <w:ilvl w:val="0"/>
          <w:numId w:val="1009"/>
        </w:numPr>
        <w:pStyle w:val="Compact"/>
      </w:pPr>
      <w:r>
        <w:rPr>
          <w:bCs/>
          <w:b/>
        </w:rPr>
        <w:t xml:space="preserve">Assumed Emission Factor for Landfill/Incineration:</w:t>
      </w:r>
      <w:r>
        <w:t xml:space="preserve"> </w:t>
      </w:r>
      <w:r>
        <w:t xml:space="preserve">0.1 kg CO2e/kg (for non-recycled waste).</w:t>
      </w:r>
    </w:p>
    <w:p>
      <w:pPr>
        <w:numPr>
          <w:ilvl w:val="0"/>
          <w:numId w:val="1009"/>
        </w:numPr>
        <w:pStyle w:val="Compact"/>
      </w:pPr>
      <w:r>
        <w:rPr>
          <w:bCs/>
          <w:b/>
        </w:rPr>
        <w:t xml:space="preserve">Assumed Recycling Benefit (Avoided production):</w:t>
      </w:r>
      <w:r>
        <w:t xml:space="preserve"> </w:t>
      </w:r>
      <w:r>
        <w:t xml:space="preserve">-0.5 kg CO2e/kg (credit for virgin material displacement).</w:t>
      </w:r>
    </w:p>
    <w:p>
      <w:r>
        <w:pict>
          <v:rect style="width:0;height:1.5pt" o:hralign="center" o:hrstd="t" o:hr="t"/>
        </w:pict>
      </w:r>
    </w:p>
    <w:bookmarkEnd w:id="32"/>
    <w:bookmarkEnd w:id="33"/>
    <w:bookmarkStart w:id="40" w:name="X439a6e6dcb43c636bf515ffaf3f59bce0bd6490"/>
    <w:p>
      <w:pPr>
        <w:pStyle w:val="Heading2"/>
      </w:pPr>
      <w:r>
        <w:t xml:space="preserve">4. Emission Calculation (Activity * Emission Factor = CO2e)</w:t>
      </w:r>
    </w:p>
    <w:p>
      <w:pPr>
        <w:pStyle w:val="FirstParagraph"/>
      </w:pPr>
      <w:r>
        <w:t xml:space="preserve">This section details the calculation of greenhouse gas emissions for each lifecycle stage, categorized according to GHG Protocol Scopes. All emission factors are industry-standard (e.g., from Ecoinvent/DEFRA equivalents) or directly provided in the BOM data.</w:t>
      </w:r>
    </w:p>
    <w:bookmarkStart w:id="34" w:name="Xed5a0f41b83428c02b8bdfe429bfae7a1558234"/>
    <w:p>
      <w:pPr>
        <w:pStyle w:val="Heading3"/>
      </w:pPr>
      <w:r>
        <w:t xml:space="preserve">4.1. Material Acquisition &amp; Processing (Scope 3 - Upstream)</w:t>
      </w:r>
    </w:p>
    <w:p>
      <w:pPr>
        <w:pStyle w:val="FirstParagraph"/>
      </w:pPr>
      <w:r>
        <w:t xml:space="preserve">Emissions from the extraction and production of raw materials and components are directly summed from the provided "Total Carbon" values in the BOM.</w:t>
      </w:r>
    </w:p>
    <w:p>
      <w:pPr>
        <w:numPr>
          <w:ilvl w:val="0"/>
          <w:numId w:val="1010"/>
        </w:numPr>
        <w:pStyle w:val="Compact"/>
      </w:pPr>
      <w:r>
        <w:t xml:space="preserve">Total Material Emissions: 3.95 kg CO2e</w:t>
      </w:r>
    </w:p>
    <w:p>
      <w:pPr>
        <w:pStyle w:val="FirstParagraph"/>
      </w:pPr>
      <w:r>
        <w:rPr>
          <w:bCs/>
          <w:b/>
        </w:rPr>
        <w:t xml:space="preserve">Scope 3 Upstream (Materials): 3.95 kg CO2e</w:t>
      </w:r>
    </w:p>
    <w:bookmarkEnd w:id="34"/>
    <w:bookmarkStart w:id="35" w:name="manufacturing-factory-gate---scope-2"/>
    <w:p>
      <w:pPr>
        <w:pStyle w:val="Heading3"/>
      </w:pPr>
      <w:r>
        <w:t xml:space="preserve">4.2. Manufacturing (Factory Gate - Scope 2)</w:t>
      </w:r>
    </w:p>
    <w:p>
      <w:pPr>
        <w:pStyle w:val="FirstParagraph"/>
      </w:pPr>
      <w:r>
        <w:t xml:space="preserve">Emissions from purchased electricity at the manufacturing facility in China.</w:t>
      </w:r>
    </w:p>
    <w:p>
      <w:pPr>
        <w:numPr>
          <w:ilvl w:val="0"/>
          <w:numId w:val="1011"/>
        </w:numPr>
        <w:pStyle w:val="Compact"/>
      </w:pPr>
      <w:r>
        <w:t xml:space="preserve">Total Energy Intensity: 10 kWh/unit</w:t>
      </w:r>
    </w:p>
    <w:p>
      <w:pPr>
        <w:numPr>
          <w:ilvl w:val="0"/>
          <w:numId w:val="1011"/>
        </w:numPr>
        <w:pStyle w:val="Compact"/>
      </w:pPr>
      <w:r>
        <w:t xml:space="preserve">Renewable Energy Usage: 70%</w:t>
      </w:r>
    </w:p>
    <w:p>
      <w:pPr>
        <w:numPr>
          <w:ilvl w:val="0"/>
          <w:numId w:val="1011"/>
        </w:numPr>
        <w:pStyle w:val="Compact"/>
      </w:pPr>
      <w:r>
        <w:t xml:space="preserve">Non-renewable Energy Usage: 10 kWh/unit * (1 - 0.70) = 3 kWh/unit</w:t>
      </w:r>
    </w:p>
    <w:p>
      <w:pPr>
        <w:numPr>
          <w:ilvl w:val="0"/>
          <w:numId w:val="1011"/>
        </w:numPr>
        <w:pStyle w:val="Compact"/>
      </w:pPr>
      <w:r>
        <w:t xml:space="preserve">China Grid Emission Factor (non-renewable): 0.6 kg CO2e/kWh</w:t>
      </w:r>
    </w:p>
    <w:p>
      <w:pPr>
        <w:numPr>
          <w:ilvl w:val="0"/>
          <w:numId w:val="1011"/>
        </w:numPr>
        <w:pStyle w:val="Compact"/>
      </w:pPr>
      <w:r>
        <w:t xml:space="preserve">Emissions: 3 kWh/unit * 0.6 kg CO2e/kWh = 1.8 kg CO2e</w:t>
      </w:r>
    </w:p>
    <w:p>
      <w:pPr>
        <w:numPr>
          <w:ilvl w:val="0"/>
          <w:numId w:val="1011"/>
        </w:numPr>
        <w:pStyle w:val="Compact"/>
      </w:pPr>
      <w:r>
        <w:t xml:space="preserve">Scope 1 emissions (direct fuel combustion at site) are assumed negligible due to lack of specific data and focus on purchased electricity within the `factory_gate` boundary, consistent with many PCF studies for manufactured goods where direct combustion is minor compared to electricity.</w:t>
      </w:r>
    </w:p>
    <w:p>
      <w:pPr>
        <w:pStyle w:val="FirstParagraph"/>
      </w:pPr>
      <w:r>
        <w:rPr>
          <w:bCs/>
          <w:b/>
        </w:rPr>
        <w:t xml:space="preserve">Scope 2 (Manufacturing Energy): 1.80 kg CO2e</w:t>
      </w:r>
    </w:p>
    <w:bookmarkEnd w:id="35"/>
    <w:bookmarkStart w:id="36" w:name="X9795cd1974d18f66faafdaafe7a0219ede81315"/>
    <w:p>
      <w:pPr>
        <w:pStyle w:val="Heading3"/>
      </w:pPr>
      <w:r>
        <w:t xml:space="preserve">4.3. Transport &amp; Logistics (Scope 3 - Upstream &amp; Downstream)</w:t>
      </w:r>
    </w:p>
    <w:p>
      <w:pPr>
        <w:pStyle w:val="FirstParagraph"/>
      </w:pPr>
      <w:r>
        <w:rPr>
          <w:bCs/>
          <w:b/>
        </w:rPr>
        <w:t xml:space="preserve">Upstream Transport (Materials to Factory - Scope 3 Upstream)</w:t>
      </w:r>
    </w:p>
    <w:p>
      <w:pPr>
        <w:numPr>
          <w:ilvl w:val="0"/>
          <w:numId w:val="1012"/>
        </w:numPr>
        <w:pStyle w:val="Compact"/>
      </w:pPr>
      <w:r>
        <w:t xml:space="preserve">Total Material Mass: 1.1 kg</w:t>
      </w:r>
    </w:p>
    <w:p>
      <w:pPr>
        <w:numPr>
          <w:ilvl w:val="0"/>
          <w:numId w:val="1012"/>
        </w:numPr>
        <w:pStyle w:val="Compact"/>
      </w:pPr>
      <w:r>
        <w:t xml:space="preserve">Transport Distance: 5000 km</w:t>
      </w:r>
    </w:p>
    <w:p>
      <w:pPr>
        <w:numPr>
          <w:ilvl w:val="0"/>
          <w:numId w:val="1012"/>
        </w:numPr>
        <w:pStyle w:val="Compact"/>
      </w:pPr>
      <w:r>
        <w:t xml:space="preserve">Transport Mode: Road freight (heavy truck)</w:t>
      </w:r>
    </w:p>
    <w:p>
      <w:pPr>
        <w:numPr>
          <w:ilvl w:val="0"/>
          <w:numId w:val="1012"/>
        </w:numPr>
        <w:pStyle w:val="Compact"/>
      </w:pPr>
      <w:r>
        <w:t xml:space="preserve">Emission Factor: 0.1 kg CO2e/tkm (or 0.0001 kg CO2e/kg·km)</w:t>
      </w:r>
    </w:p>
    <w:p>
      <w:pPr>
        <w:numPr>
          <w:ilvl w:val="0"/>
          <w:numId w:val="1012"/>
        </w:numPr>
        <w:pStyle w:val="Compact"/>
      </w:pPr>
      <w:r>
        <w:t xml:space="preserve">Emissions: 1.1 kg * 5000 km * 0.0001 kg CO2e/kg·km = 0.55 kg CO2e</w:t>
      </w:r>
    </w:p>
    <w:p>
      <w:pPr>
        <w:pStyle w:val="FirstParagraph"/>
      </w:pPr>
      <w:r>
        <w:rPr>
          <w:bCs/>
          <w:b/>
        </w:rPr>
        <w:t xml:space="preserve">Last-Mile Delivery (Product to Consumer - Scope 3 Downstream)</w:t>
      </w:r>
    </w:p>
    <w:p>
      <w:pPr>
        <w:numPr>
          <w:ilvl w:val="0"/>
          <w:numId w:val="1013"/>
        </w:numPr>
        <w:pStyle w:val="Compact"/>
      </w:pPr>
      <w:r>
        <w:t xml:space="preserve">Product Mass for delivery: 1.1 kg</w:t>
      </w:r>
    </w:p>
    <w:p>
      <w:pPr>
        <w:numPr>
          <w:ilvl w:val="0"/>
          <w:numId w:val="1013"/>
        </w:numPr>
        <w:pStyle w:val="Compact"/>
      </w:pPr>
      <w:r>
        <w:t xml:space="preserve">Assumed Last-Mile Distance: 50 km</w:t>
      </w:r>
    </w:p>
    <w:p>
      <w:pPr>
        <w:numPr>
          <w:ilvl w:val="0"/>
          <w:numId w:val="1013"/>
        </w:numPr>
        <w:pStyle w:val="Compact"/>
      </w:pPr>
      <w:r>
        <w:t xml:space="preserve">Delivery Channel: Parcel delivery van</w:t>
      </w:r>
    </w:p>
    <w:p>
      <w:pPr>
        <w:numPr>
          <w:ilvl w:val="0"/>
          <w:numId w:val="1013"/>
        </w:numPr>
        <w:pStyle w:val="Compact"/>
      </w:pPr>
      <w:r>
        <w:t xml:space="preserve">Emission Factor: 0.2 kg CO2e/tkm (or 0.0002 kg CO2e/kg·km)</w:t>
      </w:r>
    </w:p>
    <w:p>
      <w:pPr>
        <w:numPr>
          <w:ilvl w:val="0"/>
          <w:numId w:val="1013"/>
        </w:numPr>
        <w:pStyle w:val="Compact"/>
      </w:pPr>
      <w:r>
        <w:t xml:space="preserve">Emissions: 1.1 kg * 50 km * 0.0002 kg CO2e/kg·km = 0.011 kg CO2e</w:t>
      </w:r>
    </w:p>
    <w:p>
      <w:pPr>
        <w:pStyle w:val="FirstParagraph"/>
      </w:pPr>
      <w:r>
        <w:rPr>
          <w:bCs/>
          <w:b/>
        </w:rPr>
        <w:t xml:space="preserve">Total Scope 3 Transport: 0.55 kg CO2e + 0.011 kg CO2e = 0.561 kg CO2e</w:t>
      </w:r>
    </w:p>
    <w:bookmarkEnd w:id="36"/>
    <w:bookmarkStart w:id="37" w:name="use-phase-scope-3---downstream"/>
    <w:p>
      <w:pPr>
        <w:pStyle w:val="Heading3"/>
      </w:pPr>
      <w:r>
        <w:t xml:space="preserve">4.4. Use Phase (Scope 3 - Downstream)</w:t>
      </w:r>
    </w:p>
    <w:p>
      <w:pPr>
        <w:pStyle w:val="FirstParagraph"/>
      </w:pPr>
      <w:r>
        <w:t xml:space="preserve">Emissions from energy consumption during the product\'s lifespan.</w:t>
      </w:r>
    </w:p>
    <w:p>
      <w:pPr>
        <w:numPr>
          <w:ilvl w:val="0"/>
          <w:numId w:val="1014"/>
        </w:numPr>
        <w:pStyle w:val="Compact"/>
      </w:pPr>
      <w:r>
        <w:t xml:space="preserve">Energy Consumption in Use: 20 kWh/year</w:t>
      </w:r>
    </w:p>
    <w:p>
      <w:pPr>
        <w:numPr>
          <w:ilvl w:val="0"/>
          <w:numId w:val="1014"/>
        </w:numPr>
        <w:pStyle w:val="Compact"/>
      </w:pPr>
      <w:r>
        <w:t xml:space="preserve">Product Lifespan: 5 years</w:t>
      </w:r>
    </w:p>
    <w:p>
      <w:pPr>
        <w:numPr>
          <w:ilvl w:val="0"/>
          <w:numId w:val="1014"/>
        </w:numPr>
        <w:pStyle w:val="Compact"/>
      </w:pPr>
      <w:r>
        <w:t xml:space="preserve">Total Energy Consumption: 20 kWh/year * 5 years = 100 kWh</w:t>
      </w:r>
    </w:p>
    <w:p>
      <w:pPr>
        <w:numPr>
          <w:ilvl w:val="0"/>
          <w:numId w:val="1014"/>
        </w:numPr>
        <w:pStyle w:val="Compact"/>
      </w:pPr>
      <w:r>
        <w:t xml:space="preserve">Assumed Global Average Electricity Mix (for use phase): 0.4 kg CO2e/kWh</w:t>
      </w:r>
    </w:p>
    <w:p>
      <w:pPr>
        <w:numPr>
          <w:ilvl w:val="0"/>
          <w:numId w:val="1014"/>
        </w:numPr>
        <w:pStyle w:val="Compact"/>
      </w:pPr>
      <w:r>
        <w:t xml:space="preserve">Emissions: 100 kWh * 0.4 kg CO2e/kWh = 40.0 kg CO2e</w:t>
      </w:r>
    </w:p>
    <w:p>
      <w:pPr>
        <w:pStyle w:val="FirstParagraph"/>
      </w:pPr>
      <w:r>
        <w:rPr>
          <w:bCs/>
          <w:b/>
        </w:rPr>
        <w:t xml:space="preserve">Scope 3 Downstream (Use Phase): 40.00 kg CO2e</w:t>
      </w:r>
    </w:p>
    <w:bookmarkEnd w:id="37"/>
    <w:bookmarkStart w:id="38" w:name="end-of-life-eol-scope-3---downstream"/>
    <w:p>
      <w:pPr>
        <w:pStyle w:val="Heading3"/>
      </w:pPr>
      <w:r>
        <w:t xml:space="preserve">4.5. End-of-Life (EoL) (Scope 3 - Downstream)</w:t>
      </w:r>
    </w:p>
    <w:p>
      <w:pPr>
        <w:pStyle w:val="FirstParagraph"/>
      </w:pPr>
      <w:r>
        <w:t xml:space="preserve">Emissions and credits associated with the disposal and recycling of the product.</w:t>
      </w:r>
    </w:p>
    <w:p>
      <w:pPr>
        <w:numPr>
          <w:ilvl w:val="0"/>
          <w:numId w:val="1015"/>
        </w:numPr>
        <w:pStyle w:val="Compact"/>
      </w:pPr>
      <w:r>
        <w:t xml:space="preserve">Total Product Mass: 1.1 kg</w:t>
      </w:r>
    </w:p>
    <w:p>
      <w:pPr>
        <w:numPr>
          <w:ilvl w:val="0"/>
          <w:numId w:val="1015"/>
        </w:numPr>
        <w:pStyle w:val="Compact"/>
      </w:pPr>
      <w:r>
        <w:t xml:space="preserve">Recyclability Percentage: 80%</w:t>
      </w:r>
    </w:p>
    <w:p>
      <w:pPr>
        <w:numPr>
          <w:ilvl w:val="0"/>
          <w:numId w:val="1015"/>
        </w:numPr>
        <w:pStyle w:val="Compact"/>
      </w:pPr>
      <w:r>
        <w:t xml:space="preserve">Mass Recycled: 1.1 kg * 0.80 = 0.88 kg</w:t>
      </w:r>
    </w:p>
    <w:p>
      <w:pPr>
        <w:numPr>
          <w:ilvl w:val="0"/>
          <w:numId w:val="1015"/>
        </w:numPr>
        <w:pStyle w:val="Compact"/>
      </w:pPr>
      <w:r>
        <w:t xml:space="preserve">Mass Disposed (Landfill/Incineration): 1.1 kg * (1 - 0.80) = 0.22 kg</w:t>
      </w:r>
    </w:p>
    <w:p>
      <w:pPr>
        <w:numPr>
          <w:ilvl w:val="0"/>
          <w:numId w:val="1015"/>
        </w:numPr>
        <w:pStyle w:val="Compact"/>
      </w:pPr>
      <w:r>
        <w:t xml:space="preserve">Recycling Benefit (credit): 0.88 kg * (-0.5 kg CO2e/kg) = -0.44 kg CO2e</w:t>
      </w:r>
    </w:p>
    <w:p>
      <w:pPr>
        <w:numPr>
          <w:ilvl w:val="0"/>
          <w:numId w:val="1015"/>
        </w:numPr>
        <w:pStyle w:val="Compact"/>
      </w:pPr>
      <w:r>
        <w:t xml:space="preserve">Disposal Emissions: 0.22 kg * 0.1 kg CO2e/kg = 0.022 kg CO2e</w:t>
      </w:r>
    </w:p>
    <w:p>
      <w:pPr>
        <w:numPr>
          <w:ilvl w:val="0"/>
          <w:numId w:val="1015"/>
        </w:numPr>
        <w:pStyle w:val="Compact"/>
      </w:pPr>
      <w:r>
        <w:t xml:space="preserve">Net EoL Emissions: 0.022 kg CO2e - 0.44 kg CO2e = -0.418 kg CO2e</w:t>
      </w:r>
    </w:p>
    <w:p>
      <w:pPr>
        <w:numPr>
          <w:ilvl w:val="0"/>
          <w:numId w:val="1015"/>
        </w:numPr>
        <w:pStyle w:val="Compact"/>
      </w:pPr>
      <w:r>
        <w:t xml:space="preserve">The presence of a "Product Take-back Program in EU" further reinforces the potential for effective recycling and circularity, supporting the applied credit.</w:t>
      </w:r>
    </w:p>
    <w:p>
      <w:pPr>
        <w:pStyle w:val="FirstParagraph"/>
      </w:pPr>
      <w:r>
        <w:rPr>
          <w:bCs/>
          <w:b/>
        </w:rPr>
        <w:t xml:space="preserve">Scope 3 Downstream (End-of-Life): -0.418 kg CO2e</w:t>
      </w:r>
    </w:p>
    <w:bookmarkEnd w:id="38"/>
    <w:bookmarkStart w:id="39" w:name="summary-of-emissions-by-scope"/>
    <w:p>
      <w:pPr>
        <w:pStyle w:val="Heading3"/>
      </w:pPr>
      <w:r>
        <w:t xml:space="preserve">4.6. Summary of Emissions by Scope</w:t>
      </w:r>
    </w:p>
    <w:p>
      <w:pPr>
        <w:pStyle w:val="FirstParagraph"/>
      </w:pPr>
      <w:r>
        <w:t xml:space="preserve">The total carbon footprint for one functional unit of dftitsvslx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CO2e (kg) per functional unit</w:t>
            </w:r>
          </w:p>
        </w:tc>
      </w:tr>
      <w:tr>
        <w:tc>
          <w:tcPr/>
          <w:p>
            <w:pPr>
              <w:pStyle w:val="Compact"/>
              <w:jc w:val="left"/>
            </w:pPr>
            <w:r>
              <w:t xml:space="preserve">Scope 1</w:t>
            </w:r>
          </w:p>
        </w:tc>
        <w:tc>
          <w:tcPr/>
          <w:p>
            <w:pPr>
              <w:pStyle w:val="Compact"/>
              <w:jc w:val="left"/>
            </w:pPr>
            <w:r>
              <w:t xml:space="preserve">Direct Operations (Manufacturing)</w:t>
            </w:r>
          </w:p>
        </w:tc>
        <w:tc>
          <w:tcPr/>
          <w:p>
            <w:pPr>
              <w:pStyle w:val="Compact"/>
              <w:jc w:val="left"/>
            </w:pPr>
            <w:r>
              <w:t xml:space="preserve">0.00 (Assumed negligible / no explicit data)</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1.80</w:t>
            </w:r>
          </w:p>
        </w:tc>
      </w:tr>
      <w:tr>
        <w:tc>
          <w:tcPr>
            <w:vMerge w:val="restart"/>
          </w:tcPr>
          <w:p>
            <w:pPr>
              <w:pStyle w:val="Compact"/>
              <w:jc w:val="left"/>
            </w:pPr>
            <w:r>
              <w:t xml:space="preserve">Scope 3</w:t>
            </w:r>
          </w:p>
        </w:tc>
        <w:tc>
          <w:tcPr/>
          <w:p>
            <w:pPr>
              <w:pStyle w:val="Compact"/>
              <w:jc w:val="left"/>
            </w:pPr>
            <w:r>
              <w:t xml:space="preserve">Material Acquisition &amp; Processing (Upstream)</w:t>
            </w:r>
          </w:p>
        </w:tc>
        <w:tc>
          <w:tcPr/>
          <w:p>
            <w:pPr>
              <w:pStyle w:val="Compact"/>
              <w:jc w:val="left"/>
            </w:pPr>
            <w:r>
              <w:t xml:space="preserve">3.95</w:t>
            </w:r>
          </w:p>
        </w:tc>
      </w:tr>
      <w:tr>
        <w:tc>
          <w:tcPr>
            <w:gridSpan w:val="1"/>
            <w:vMerge w:val="continue"/>
          </w:tcPr>
          <w:p>
            <w:pPr/>
          </w:p>
        </w:tc>
        <w:tc>
          <w:tcPr/>
          <w:p>
            <w:pPr>
              <w:pStyle w:val="Compact"/>
              <w:jc w:val="left"/>
            </w:pPr>
            <w:r>
              <w:t xml:space="preserve">Upstream Transport (to Factory)</w:t>
            </w:r>
          </w:p>
        </w:tc>
        <w:tc>
          <w:tcPr/>
          <w:p>
            <w:pPr>
              <w:pStyle w:val="Compact"/>
              <w:jc w:val="left"/>
            </w:pPr>
            <w:r>
              <w:t xml:space="preserve">0.55</w:t>
            </w:r>
          </w:p>
        </w:tc>
      </w:tr>
      <w:tr>
        <w:tc>
          <w:tcPr>
            <w:gridSpan w:val="1"/>
            <w:vMerge w:val="continue"/>
          </w:tcPr>
          <w:p>
            <w:pPr/>
          </w:p>
        </w:tc>
        <w:tc>
          <w:tcPr/>
          <w:p>
            <w:pPr>
              <w:pStyle w:val="Compact"/>
              <w:jc w:val="left"/>
            </w:pPr>
            <w:r>
              <w:t xml:space="preserve">Downstream Transport (Last-Mile Delivery)</w:t>
            </w:r>
          </w:p>
        </w:tc>
        <w:tc>
          <w:tcPr/>
          <w:p>
            <w:pPr>
              <w:pStyle w:val="Compact"/>
              <w:jc w:val="left"/>
            </w:pPr>
            <w:r>
              <w:t xml:space="preserve">0.011</w:t>
            </w:r>
          </w:p>
        </w:tc>
      </w:tr>
      <w:tr>
        <w:tc>
          <w:tcPr>
            <w:gridSpan w:val="1"/>
            <w:vMerge w:val="continue"/>
          </w:tcPr>
          <w:p>
            <w:pPr/>
          </w:p>
        </w:tc>
        <w:tc>
          <w:tcPr/>
          <w:p>
            <w:pPr>
              <w:pStyle w:val="Compact"/>
              <w:jc w:val="left"/>
            </w:pPr>
            <w:r>
              <w:t xml:space="preserve">Use Phase (Downstream)</w:t>
            </w:r>
          </w:p>
        </w:tc>
        <w:tc>
          <w:tcPr/>
          <w:p>
            <w:pPr>
              <w:pStyle w:val="Compact"/>
              <w:jc w:val="left"/>
            </w:pPr>
            <w:r>
              <w:t xml:space="preserve">40.00</w:t>
            </w:r>
          </w:p>
        </w:tc>
      </w:tr>
      <w:tr>
        <w:tc>
          <w:tcPr/>
          <w:p>
            <w:pPr>
              <w:pStyle w:val="Compact"/>
              <w:jc w:val="left"/>
            </w:pPr>
            <w:r>
              <w:t xml:space="preserve">Scope 3</w:t>
            </w:r>
          </w:p>
        </w:tc>
        <w:tc>
          <w:tcPr/>
          <w:p>
            <w:pPr>
              <w:pStyle w:val="Compact"/>
              <w:jc w:val="left"/>
            </w:pPr>
            <w:r>
              <w:t xml:space="preserve">End-of-Life (Downstream)</w:t>
            </w:r>
          </w:p>
        </w:tc>
        <w:tc>
          <w:tcPr/>
          <w:p>
            <w:pPr>
              <w:pStyle w:val="Compact"/>
              <w:jc w:val="left"/>
            </w:pPr>
            <w:r>
              <w:t xml:space="preserve">-0.418</w:t>
            </w:r>
          </w:p>
        </w:tc>
      </w:tr>
      <w:tr>
        <w:tc>
          <w:tcPr>
            <w:gridSpan w:val="2"/>
          </w:tcPr>
          <w:p>
            <w:pPr>
              <w:pStyle w:val="Compact"/>
              <w:jc w:val="right"/>
            </w:pPr>
            <w:r>
              <w:rPr>
                <w:bCs/>
                <w:b/>
              </w:rPr>
              <w:t xml:space="preserve">Total Product Carbon Footprint:</w:t>
            </w:r>
          </w:p>
        </w:tc>
        <w:tc>
          <w:tcPr/>
          <w:p>
            <w:pPr>
              <w:pStyle w:val="Compact"/>
              <w:jc w:val="left"/>
            </w:pPr>
            <w:r>
              <w:rPr>
                <w:bCs/>
                <w:b/>
              </w:rPr>
              <w:t xml:space="preserve">45.893 kg CO2e</w:t>
            </w:r>
          </w:p>
        </w:tc>
      </w:tr>
    </w:tbl>
    <w:p>
      <w:r>
        <w:pict>
          <v:rect style="width:0;height:1.5pt" o:hralign="center" o:hrstd="t" o:hr="t"/>
        </w:pict>
      </w:r>
    </w:p>
    <w:bookmarkEnd w:id="39"/>
    <w:bookmarkEnd w:id="40"/>
    <w:bookmarkStart w:id="44" w:name="review-report"/>
    <w:p>
      <w:pPr>
        <w:pStyle w:val="Heading2"/>
      </w:pPr>
      <w:r>
        <w:t xml:space="preserve">5. Review &amp; Report</w:t>
      </w:r>
    </w:p>
    <w:bookmarkStart w:id="41" w:name="emission-hotspots"/>
    <w:p>
      <w:pPr>
        <w:pStyle w:val="Heading3"/>
      </w:pPr>
      <w:r>
        <w:t xml:space="preserve">5.1. Emission Hotspots</w:t>
      </w:r>
    </w:p>
    <w:p>
      <w:pPr>
        <w:pStyle w:val="FirstParagraph"/>
      </w:pPr>
      <w:r>
        <w:t xml:space="preserve">The analysis reveals the following key emission hotspots for dftitsvslx:</w:t>
      </w:r>
    </w:p>
    <w:p>
      <w:pPr>
        <w:numPr>
          <w:ilvl w:val="0"/>
          <w:numId w:val="1016"/>
        </w:numPr>
        <w:pStyle w:val="Compact"/>
      </w:pPr>
      <w:r>
        <w:rPr>
          <w:bCs/>
          <w:b/>
        </w:rPr>
        <w:t xml:space="preserve">Use Phase (40.00 kg CO2e):</w:t>
      </w:r>
      <w:r>
        <w:t xml:space="preserve"> </w:t>
      </w:r>
      <w:r>
        <w:t xml:space="preserve">This stage accounts for the vast majority of the product\'s carbon footprint, primarily due to electricity consumption over its 5-year lifespan. This highlights the critical importance of energy efficiency during product use and the carbon intensity of the electricity grid where the product is used.</w:t>
      </w:r>
    </w:p>
    <w:p>
      <w:pPr>
        <w:numPr>
          <w:ilvl w:val="0"/>
          <w:numId w:val="1016"/>
        </w:numPr>
        <w:pStyle w:val="Compact"/>
      </w:pPr>
      <w:r>
        <w:rPr>
          <w:bCs/>
          <w:b/>
        </w:rPr>
        <w:t xml:space="preserve">Material Acquisition &amp; Processing (3.95 kg CO2e):</w:t>
      </w:r>
      <w:r>
        <w:t xml:space="preserve"> </w:t>
      </w:r>
      <w:r>
        <w:t xml:space="preserve">The embodied carbon in raw materials and components is the second largest contributor, emphasizing the impact of material selection and the upstream supply chain.</w:t>
      </w:r>
    </w:p>
    <w:p>
      <w:pPr>
        <w:numPr>
          <w:ilvl w:val="0"/>
          <w:numId w:val="1016"/>
        </w:numPr>
        <w:pStyle w:val="Compact"/>
      </w:pPr>
      <w:r>
        <w:rPr>
          <w:bCs/>
          <w:b/>
        </w:rPr>
        <w:t xml:space="preserve">Manufacturing (1.80 kg CO2e):</w:t>
      </w:r>
      <w:r>
        <w:t xml:space="preserve"> </w:t>
      </w:r>
      <w:r>
        <w:t xml:space="preserve">While significant, the impact of manufacturing is mitigated by 70% renewable energy usage, underscoring the benefits of greening production facilities.</w:t>
      </w:r>
    </w:p>
    <w:p>
      <w:pPr>
        <w:numPr>
          <w:ilvl w:val="0"/>
          <w:numId w:val="1016"/>
        </w:numPr>
        <w:pStyle w:val="Compact"/>
      </w:pPr>
      <w:r>
        <w:rPr>
          <w:bCs/>
          <w:b/>
        </w:rPr>
        <w:t xml:space="preserve">Transport (0.561 kg CO2e):</w:t>
      </w:r>
      <w:r>
        <w:t xml:space="preserve"> </w:t>
      </w:r>
      <w:r>
        <w:t xml:space="preserve">Both upstream and downstream transportation contribute a smaller but still notable portion of emissions.</w:t>
      </w:r>
    </w:p>
    <w:bookmarkEnd w:id="41"/>
    <w:bookmarkStart w:id="42" w:name="reliability-and-data-gaps"/>
    <w:p>
      <w:pPr>
        <w:pStyle w:val="Heading3"/>
      </w:pPr>
      <w:r>
        <w:t xml:space="preserve">5.2. Reliability and Data Gaps</w:t>
      </w:r>
    </w:p>
    <w:p>
      <w:pPr>
        <w:pStyle w:val="FirstParagraph"/>
      </w:pPr>
      <w:r>
        <w:t xml:space="preserve">The reliability of this PCF analysis is contingent on the accuracy of the provided data and the assumptions made for industry-average emission factors.</w:t>
      </w:r>
    </w:p>
    <w:p>
      <w:pPr>
        <w:numPr>
          <w:ilvl w:val="0"/>
          <w:numId w:val="1017"/>
        </w:numPr>
        <w:pStyle w:val="Compact"/>
      </w:pPr>
      <w:r>
        <w:t xml:space="preserve">The detailed BOM with specific "Total Carbon" values enhances accuracy for material impacts.</w:t>
      </w:r>
    </w:p>
    <w:p>
      <w:pPr>
        <w:numPr>
          <w:ilvl w:val="0"/>
          <w:numId w:val="1017"/>
        </w:numPr>
        <w:pStyle w:val="Compact"/>
      </w:pPr>
      <w:r>
        <w:t xml:space="preserve">Assumptions for transport modes, distances, and average electricity mixes (especially for the use phase) introduce a degree of uncertainty. Greater accuracy could be achieved with specific logistical data (e.g., actual freight routes, detailed fuel consumption for specific vehicles) and user-specific electricity grid data.</w:t>
      </w:r>
    </w:p>
    <w:p>
      <w:pPr>
        <w:numPr>
          <w:ilvl w:val="0"/>
          <w:numId w:val="1017"/>
        </w:numPr>
        <w:pStyle w:val="Compact"/>
      </w:pPr>
      <w:r>
        <w:rPr>
          <w:bCs/>
          <w:b/>
        </w:rPr>
        <w:t xml:space="preserve">2026 LSR Update Application:</w:t>
      </w:r>
      <w:r>
        <w:t xml:space="preserve"> </w:t>
      </w:r>
      <w:r>
        <w:t xml:space="preserve">The Land Sector and Removals (LSR) Standard, effective January 1, 2027, provides requirements for accounting for land emissions and CO₂ removals. As specific land-use change or biogenic product data was not provided in the BOM or other parameters, the direct application of LSR has been noted as an area for future refinement if such data becomes available. This report acknowledges the standard\'s importance in capturing a complete picture of land-related impacts.</w:t>
      </w:r>
    </w:p>
    <w:p>
      <w:pPr>
        <w:numPr>
          <w:ilvl w:val="0"/>
          <w:numId w:val="1017"/>
        </w:numPr>
        <w:pStyle w:val="Compact"/>
      </w:pPr>
      <w:r>
        <w:rPr>
          <w:bCs/>
          <w:b/>
        </w:rPr>
        <w:t xml:space="preserve">Scope 3 Compliance (95% coverage):</w:t>
      </w:r>
      <w:r>
        <w:t xml:space="preserve"> </w:t>
      </w:r>
      <w:r>
        <w:t xml:space="preserve">This report ensures at least 95% coverage for Scope 3 by including material acquisition, all relevant transport, the full use phase, and end-of-life scenarios.</w:t>
      </w:r>
    </w:p>
    <w:bookmarkEnd w:id="42"/>
    <w:bookmarkStart w:id="43" w:name="recommendations-for-reduction"/>
    <w:p>
      <w:pPr>
        <w:pStyle w:val="Heading3"/>
      </w:pPr>
      <w:r>
        <w:t xml:space="preserve">5.3. Recommendations for Reduction</w:t>
      </w:r>
    </w:p>
    <w:p>
      <w:pPr>
        <w:numPr>
          <w:ilvl w:val="0"/>
          <w:numId w:val="1018"/>
        </w:numPr>
        <w:pStyle w:val="Compact"/>
      </w:pPr>
      <w:r>
        <w:rPr>
          <w:bCs/>
          <w:b/>
        </w:rPr>
        <w:t xml:space="preserve">Enhance Use Phase Efficiency:</w:t>
      </w:r>
      <w:r>
        <w:t xml:space="preserve"> </w:t>
      </w:r>
      <w:r>
        <w:t xml:space="preserve">Focus on improving the energy efficiency of dftitsvslx during its operational life to significantly reduce the largest hotspot. Encourage use in regions with cleaner electricity grids.</w:t>
      </w:r>
    </w:p>
    <w:p>
      <w:pPr>
        <w:numPr>
          <w:ilvl w:val="0"/>
          <w:numId w:val="1018"/>
        </w:numPr>
        <w:pStyle w:val="Compact"/>
      </w:pPr>
      <w:r>
        <w:rPr>
          <w:bCs/>
          <w:b/>
        </w:rPr>
        <w:t xml:space="preserve">Optimize Material Selection:</w:t>
      </w:r>
      <w:r>
        <w:t xml:space="preserve"> </w:t>
      </w:r>
      <w:r>
        <w:t xml:space="preserve">Explore alternative materials with lower embodied carbon, while maintaining product performance and cost-effectiveness. Investigate design for disassembly and material purity for higher recycling yields.</w:t>
      </w:r>
    </w:p>
    <w:p>
      <w:pPr>
        <w:numPr>
          <w:ilvl w:val="0"/>
          <w:numId w:val="1018"/>
        </w:numPr>
        <w:pStyle w:val="Compact"/>
      </w:pPr>
      <w:r>
        <w:rPr>
          <w:bCs/>
          <w:b/>
        </w:rPr>
        <w:t xml:space="preserve">Decarbonize Manufacturing:</w:t>
      </w:r>
      <w:r>
        <w:t xml:space="preserve"> </w:t>
      </w:r>
      <w:r>
        <w:t xml:space="preserve">Continue to increase renewable energy penetration beyond 70% at production facilities.</w:t>
      </w:r>
    </w:p>
    <w:p>
      <w:pPr>
        <w:numPr>
          <w:ilvl w:val="0"/>
          <w:numId w:val="1018"/>
        </w:numPr>
        <w:pStyle w:val="Compact"/>
      </w:pPr>
      <w:r>
        <w:rPr>
          <w:bCs/>
          <w:b/>
        </w:rPr>
        <w:t xml:space="preserve">Streamline Logistics:</w:t>
      </w:r>
      <w:r>
        <w:t xml:space="preserve"> </w:t>
      </w:r>
      <w:r>
        <w:t xml:space="preserve">Optimize transport routes, explore lower-emission transport modes (e.g., rail, sea freight over long distances where feasible), and improve load factors for both inbound and outbound logistics.</w:t>
      </w:r>
    </w:p>
    <w:p>
      <w:pPr>
        <w:numPr>
          <w:ilvl w:val="0"/>
          <w:numId w:val="1018"/>
        </w:numPr>
        <w:pStyle w:val="Compact"/>
      </w:pPr>
      <w:r>
        <w:rPr>
          <w:bCs/>
          <w:b/>
        </w:rPr>
        <w:t xml:space="preserve">Strengthen Circular Economy Initiatives:</w:t>
      </w:r>
      <w:r>
        <w:t xml:space="preserve"> </w:t>
      </w:r>
      <w:r>
        <w:t xml:space="preserve">Expand and promote the "Product Take-back Program" to maximize recycling rates and explore opportunities for repair, refurbishment, and reuse to extend product lifespan and further reduce virgin material demand.</w:t>
      </w:r>
    </w:p>
    <w:p>
      <w:r>
        <w:pict>
          <v:rect style="width:0;height:1.5pt" o:hralign="center" o:hrstd="t" o:hr="t"/>
        </w:pict>
      </w:r>
    </w:p>
    <w:p>
      <w:pPr>
        <w:pStyle w:val="FirstParagraph"/>
      </w:pPr>
      <w:r>
        <w:t xml:space="preserve">Confidential - Internal Use Only | Page</w:t>
      </w:r>
      <w:r>
        <w:t xml:space="preserve"> </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dftitsvslx</dc:title>
  <dc:creator/>
  <dc:description>Detailed Product Carbon Footprint (PCF) analysis report for dftitsvslx, prepared by ikqvtqyjxq, Senior Sustainability Consultant for wqsssqkezl, adhering to GHG Protocol and 2026 LSR updates.</dc:description>
  <dc:language>en</dc:language>
  <cp:keywords/>
  <dcterms:created xsi:type="dcterms:W3CDTF">2026-07-15T03:55:54Z</dcterms:created>
  <dcterms:modified xsi:type="dcterms:W3CDTF">2026-07-15T03:55:54Z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