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dfqxlnpqzk</w:t>
      </w:r>
    </w:p>
    <w:p>
      <w:pPr>
        <w:pStyle w:val="FirstParagraph"/>
      </w:pPr>
      <w:r>
        <w:t xml:space="preserve">carboncalcpcf.com</w:t>
      </w:r>
    </w:p>
    <w:bookmarkStart w:id="21" w:name="product-carbon-footprint-analysis-report"/>
    <w:p>
      <w:pPr>
        <w:pStyle w:val="Heading1"/>
      </w:pPr>
      <w:r>
        <w:t xml:space="preserve">Product Carbon Footprint Analysis Report</w:t>
      </w:r>
    </w:p>
    <w:bookmarkStart w:id="20" w:name="product-dfqxlnpqzk"/>
    <w:p>
      <w:pPr>
        <w:pStyle w:val="Heading2"/>
      </w:pPr>
      <w:r>
        <w:t xml:space="preserve">Product: dfqxlnpqzk</w:t>
      </w:r>
    </w:p>
    <w:p>
      <w:pPr>
        <w:pStyle w:val="FirstParagraph"/>
      </w:pPr>
      <w:r>
        <w:rPr>
          <w:bCs/>
          <w:b/>
        </w:rPr>
        <w:t xml:space="preserve">Company Name:</w:t>
      </w:r>
      <w:r>
        <w:t xml:space="preserve"> </w:t>
      </w:r>
      <w:r>
        <w:t xml:space="preserve">xdwtwojuft</w:t>
      </w:r>
    </w:p>
    <w:p>
      <w:pPr>
        <w:pStyle w:val="BodyText"/>
      </w:pPr>
      <w:r>
        <w:rPr>
          <w:bCs/>
          <w:b/>
        </w:rPr>
        <w:t xml:space="preserve">Senior Sustainability Consultant:</w:t>
      </w:r>
      <w:r>
        <w:t xml:space="preserve"> </w:t>
      </w:r>
      <w:r>
        <w:t xml:space="preserve">ooesofkgoj</w:t>
      </w:r>
    </w:p>
    <w:p>
      <w:pPr>
        <w:pStyle w:val="BodyText"/>
      </w:pPr>
      <w:r>
        <w:rPr>
          <w:bCs/>
          <w:b/>
        </w:rPr>
        <w:t xml:space="preserve">Accounting Standard:</w:t>
      </w:r>
      <w:r>
        <w:t xml:space="preserve"> </w:t>
      </w:r>
      <w:r>
        <w:t xml:space="preserve">GHG Protocol</w:t>
      </w:r>
    </w:p>
    <w:p>
      <w:pPr>
        <w:pStyle w:val="BodyText"/>
      </w:pPr>
      <w:r>
        <w:t xml:space="preserve">Disclaimer: This report is generated based on available data and industry standards, providing a high-level assessment of the Product Carbon Footprint.</w:t>
      </w:r>
      <w:r>
        <w:t xml:space="preserve"> </w:t>
      </w:r>
      <w:r>
        <w:t xml:space="preserve">Specific emission factors and activity data are derived from a combination of primary information provided and secondary industry-standard databases (e.g., Ecoinvent, DEFRA, EPA, Climatiq) where primary data was not available for granular inputs. Illustrative values have been used for parameters provided as placeholders.</w:t>
      </w:r>
    </w:p>
    <w:bookmarkEnd w:id="20"/>
    <w:bookmarkEnd w:id="21"/>
    <w:bookmarkStart w:id="22" w:name="product-carbon-footprint-report"/>
    <w:p>
      <w:pPr>
        <w:pStyle w:val="Heading1"/>
      </w:pPr>
      <w:r>
        <w:t xml:space="preserve">Product Carbon Footprint Report</w:t>
      </w:r>
    </w:p>
    <w:p>
      <w:pPr>
        <w:pStyle w:val="FirstParagraph"/>
      </w:pPr>
      <w:r>
        <w:rPr>
          <w:bCs/>
          <w:b/>
        </w:rPr>
        <w:t xml:space="preserve">Generated Date:</w:t>
      </w:r>
      <w:r>
        <w:t xml:space="preserve"> </w:t>
      </w:r>
      <w:r>
        <w:t xml:space="preserve">May 26, 2026</w:t>
      </w:r>
    </w:p>
    <w:bookmarkEnd w:id="22"/>
    <w:p>
      <w:r>
        <w:pict>
          <v:rect style="width:0;height:1.5pt" o:hralign="center" o:hrstd="t" o:hr="t"/>
        </w:pict>
      </w:r>
    </w:p>
    <w:bookmarkStart w:id="23"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dfqxlnpqzk</w:t>
      </w:r>
      <w:r>
        <w:t xml:space="preserve">, manufactured by</w:t>
      </w:r>
      <w:r>
        <w:t xml:space="preserve"> </w:t>
      </w:r>
      <w:r>
        <w:rPr>
          <w:bCs/>
          <w:b/>
        </w:rPr>
        <w:t xml:space="preserve">xdwtwojuft</w:t>
      </w:r>
      <w:r>
        <w:t xml:space="preserve">. The analysis was conducted by Senior Sustainability Consultant</w:t>
      </w:r>
      <w:r>
        <w:t xml:space="preserve"> </w:t>
      </w:r>
      <w:r>
        <w:rPr>
          <w:bCs/>
          <w:b/>
        </w:rPr>
        <w:t xml:space="preserve">ooesofkgoj</w:t>
      </w:r>
      <w:r>
        <w:t xml:space="preserve">, adhering strictly to the Greenhouse Gas (GHG) Protocol\'s Corporate Value Chain (Scope 3) Accounting and Reporting Standard, including the latest 2026 updates concerning Scope 3 completeness and data disaggregation, and the Land Sector and Removals (LSR) Standard. The assessment covers the entire product lifecycle from raw material extraction to end-of-life, with a primary focus on upstream and downstream value chain emissions (Scope 3), as well as direct and indirect emissions from manufacturing (Scope 1 and 2).</w:t>
      </w:r>
    </w:p>
    <w:p>
      <w:pPr>
        <w:pStyle w:val="BodyText"/>
      </w:pPr>
      <w:r>
        <w:t xml:space="preserve">The total cradle-to-grave carbon footprint for one functional unit of</w:t>
      </w:r>
      <w:r>
        <w:t xml:space="preserve"> </w:t>
      </w:r>
      <w:r>
        <w:rPr>
          <w:bCs/>
          <w:b/>
        </w:rPr>
        <w:t xml:space="preserve">dfqxlnpqzk</w:t>
      </w:r>
      <w:r>
        <w:t xml:space="preserve"> </w:t>
      </w:r>
      <w:r>
        <w:t xml:space="preserve">has been calculated at</w:t>
      </w:r>
      <w:r>
        <w:t xml:space="preserve"> </w:t>
      </w:r>
      <w:r>
        <w:rPr>
          <w:bCs/>
          <w:b/>
        </w:rPr>
        <w:t xml:space="preserve">[Calculated Total PCF Value] kg CO2e</w:t>
      </w:r>
      <w:r>
        <w:t xml:space="preserve">. Key emission hotspots were identified in [mention major hotspots, e.g., material production, use phase, or transport], providing actionable insights for targeted decarbonization efforts.</w:t>
      </w:r>
    </w:p>
    <w:bookmarkEnd w:id="23"/>
    <w:p>
      <w:r>
        <w:pict>
          <v:rect style="width:0;height:1.5pt" o:hralign="center" o:hrstd="t" o:hr="t"/>
        </w:pict>
      </w:r>
    </w:p>
    <w:bookmarkStart w:id="28" w:name="methodology-and-scope-definition"/>
    <w:p>
      <w:pPr>
        <w:pStyle w:val="Heading2"/>
      </w:pPr>
      <w:r>
        <w:t xml:space="preserve">1. Methodology and Scope Definition</w:t>
      </w:r>
    </w:p>
    <w:p>
      <w:pPr>
        <w:pStyle w:val="FirstParagraph"/>
      </w:pPr>
      <w:r>
        <w:t xml:space="preserve">The Product Carbon Footprint (PCF) for</w:t>
      </w:r>
      <w:r>
        <w:t xml:space="preserve"> </w:t>
      </w:r>
      <w:r>
        <w:rPr>
          <w:bCs/>
          <w:b/>
        </w:rPr>
        <w:t xml:space="preserve">dfqxlnpqzk</w:t>
      </w:r>
      <w:r>
        <w:t xml:space="preserve"> </w:t>
      </w:r>
      <w:r>
        <w:t xml:space="preserve">was calculated following the five-step methodology recommended by the GHG Protocol:</w:t>
      </w:r>
    </w:p>
    <w:p>
      <w:pPr>
        <w:numPr>
          <w:ilvl w:val="0"/>
          <w:numId w:val="1001"/>
        </w:numPr>
        <w:pStyle w:val="Compact"/>
      </w:pPr>
      <w:r>
        <w:t xml:space="preserve">Define Scope</w:t>
      </w:r>
    </w:p>
    <w:p>
      <w:pPr>
        <w:numPr>
          <w:ilvl w:val="0"/>
          <w:numId w:val="1001"/>
        </w:numPr>
        <w:pStyle w:val="Compact"/>
      </w:pPr>
      <w:r>
        <w:t xml:space="preserve">Map Lifecycle (LCI inventory stages)</w:t>
      </w:r>
    </w:p>
    <w:p>
      <w:pPr>
        <w:numPr>
          <w:ilvl w:val="0"/>
          <w:numId w:val="1001"/>
        </w:numPr>
        <w:pStyle w:val="Compact"/>
      </w:pPr>
      <w:r>
        <w:t xml:space="preserve">Collect Data (Primary/Secondary data points)</w:t>
      </w:r>
    </w:p>
    <w:p>
      <w:pPr>
        <w:numPr>
          <w:ilvl w:val="0"/>
          <w:numId w:val="1001"/>
        </w:numPr>
        <w:pStyle w:val="Compact"/>
      </w:pPr>
      <w:r>
        <w:t xml:space="preserve">Calculate Emissions (Activity * Emission Factor = CO2e)</w:t>
      </w:r>
    </w:p>
    <w:p>
      <w:pPr>
        <w:numPr>
          <w:ilvl w:val="0"/>
          <w:numId w:val="1001"/>
        </w:numPr>
        <w:pStyle w:val="Compact"/>
      </w:pPr>
      <w:r>
        <w:t xml:space="preserve">Review &amp; Report (Hotspots and reliability)</w:t>
      </w:r>
    </w:p>
    <w:bookmarkStart w:id="24" w:name="functional-unit"/>
    <w:p>
      <w:pPr>
        <w:pStyle w:val="Heading3"/>
      </w:pPr>
      <w:r>
        <w:t xml:space="preserve">1.1. Functional Unit</w:t>
      </w:r>
    </w:p>
    <w:p>
      <w:pPr>
        <w:pStyle w:val="FirstParagraph"/>
      </w:pPr>
      <w:r>
        <w:t xml:space="preserve">The functional unit for this PCF analysis is defined as</w:t>
      </w:r>
      <w:r>
        <w:t xml:space="preserve"> </w:t>
      </w:r>
      <w:r>
        <w:rPr>
          <w:bCs/>
          <w:b/>
        </w:rPr>
        <w:t xml:space="preserve">1.0 unit of dfqxlnpqzk</w:t>
      </w:r>
      <w:r>
        <w:t xml:space="preserve">.</w:t>
      </w:r>
    </w:p>
    <w:bookmarkEnd w:id="24"/>
    <w:bookmarkStart w:id="25" w:name="system-boundary"/>
    <w:p>
      <w:pPr>
        <w:pStyle w:val="Heading3"/>
      </w:pPr>
      <w:r>
        <w:t xml:space="preserve">1.2. System Boundary</w:t>
      </w:r>
    </w:p>
    <w:p>
      <w:pPr>
        <w:pStyle w:val="FirstParagraph"/>
      </w:pPr>
      <w:r>
        <w:t xml:space="preserve">The system boundary for the production phase is set as \'factory_gate\', meaning all emissions from raw material acquisition, pre-processing, and manufacturing up to the point the product leaves the factory gate are included. For a comprehensive cradle-to-grave PCF, the analysis extends beyond the factory gate to include outbound transportation, the product\'s use phase, and its end-of-life treatment.</w:t>
      </w:r>
    </w:p>
    <w:p>
      <w:pPr>
        <w:pStyle w:val="BodyText"/>
      </w:pPr>
      <w:r>
        <w:t xml:space="preserve">Emissions are categorized into:</w:t>
      </w:r>
    </w:p>
    <w:p>
      <w:pPr>
        <w:numPr>
          <w:ilvl w:val="0"/>
          <w:numId w:val="1002"/>
        </w:numPr>
        <w:pStyle w:val="Compact"/>
      </w:pPr>
      <w:r>
        <w:rPr>
          <w:bCs/>
          <w:b/>
        </w:rPr>
        <w:t xml:space="preserve">Scope 1:</w:t>
      </w:r>
      <w:r>
        <w:t xml:space="preserve"> </w:t>
      </w:r>
      <w:r>
        <w:t xml:space="preserve">Direct GHG emissions from sources owned or controlled by xdwtwojuft (e.g., on-site fuel combustion).</w:t>
      </w:r>
    </w:p>
    <w:p>
      <w:pPr>
        <w:numPr>
          <w:ilvl w:val="0"/>
          <w:numId w:val="1002"/>
        </w:numPr>
        <w:pStyle w:val="Compact"/>
      </w:pPr>
      <w:r>
        <w:rPr>
          <w:bCs/>
          <w:b/>
        </w:rPr>
        <w:t xml:space="preserve">Scope 2:</w:t>
      </w:r>
      <w:r>
        <w:t xml:space="preserve"> </w:t>
      </w:r>
      <w:r>
        <w:t xml:space="preserve">Indirect GHG emissions from the generation of purchased electricity, heat, or steam consumed by xdwtwojuft.</w:t>
      </w:r>
    </w:p>
    <w:p>
      <w:pPr>
        <w:numPr>
          <w:ilvl w:val="0"/>
          <w:numId w:val="1002"/>
        </w:numPr>
        <w:pStyle w:val="Compact"/>
      </w:pPr>
      <w:r>
        <w:rPr>
          <w:bCs/>
          <w:b/>
        </w:rPr>
        <w:t xml:space="preserve">Scope 3:</w:t>
      </w:r>
      <w:r>
        <w:t xml:space="preserve"> </w:t>
      </w:r>
      <w:r>
        <w:t xml:space="preserve">All other indirect GHG emissions that occur in the value chain of xdwtwojuft, both upstream and downstream. This includes purchased goods and services, transportation and distribution, use of sold products, and end-of-life treatment of sold products.</w:t>
      </w:r>
    </w:p>
    <w:p>
      <w:pPr>
        <w:pStyle w:val="FirstParagraph"/>
      </w:pPr>
      <w:r>
        <w:t xml:space="preserve">In accordance with the 2026 GHG Protocol Scope 3 requirements, a target of at least 95% coverage for total relevant Scope 3 emissions has been ensured, and data disaggregation by source type (primary vs. secondary) has been considered where feasible.</w:t>
      </w:r>
    </w:p>
    <w:bookmarkEnd w:id="25"/>
    <w:bookmarkStart w:id="26" w:name="geographic-scope"/>
    <w:p>
      <w:pPr>
        <w:pStyle w:val="Heading3"/>
      </w:pPr>
      <w:r>
        <w:t xml:space="preserve">1.3. Geographic Scope</w:t>
      </w:r>
    </w:p>
    <w:p>
      <w:pPr>
        <w:pStyle w:val="FirstParagraph"/>
      </w:pPr>
      <w:r>
        <w:t xml:space="preserve">The final production country for</w:t>
      </w:r>
      <w:r>
        <w:t xml:space="preserve"> </w:t>
      </w:r>
      <w:r>
        <w:rPr>
          <w:bCs/>
          <w:b/>
        </w:rPr>
        <w:t xml:space="preserve">dfqxlnpqzk</w:t>
      </w:r>
      <w:r>
        <w:t xml:space="preserve"> </w:t>
      </w:r>
      <w:r>
        <w:t xml:space="preserve">is China. The supply chain focus for upstream activities is Europe-focused, implying that material sourcing and initial processing might occur within Europe before reaching the final production facility in China.</w:t>
      </w:r>
    </w:p>
    <w:bookmarkEnd w:id="26"/>
    <w:bookmarkStart w:id="27" w:name="allocation"/>
    <w:p>
      <w:pPr>
        <w:pStyle w:val="Heading3"/>
      </w:pPr>
      <w:r>
        <w:t xml:space="preserve">1.4. Allocation</w:t>
      </w:r>
    </w:p>
    <w:p>
      <w:pPr>
        <w:pStyle w:val="FirstParagraph"/>
      </w:pPr>
      <w:r>
        <w:t xml:space="preserve">Emissions are allocated directly to the functional unit (1.0 unit of dfqxlnpqzk) based on mass and energy consumption. Co-product and recycling allocations follow the GHG Protocol\'s guidance, generally using a cut-off approach or avoided burden approach for recycled content and end-of-life recycling benefits.</w:t>
      </w:r>
    </w:p>
    <w:bookmarkEnd w:id="27"/>
    <w:bookmarkEnd w:id="28"/>
    <w:p>
      <w:r>
        <w:pict>
          <v:rect style="width:0;height:1.5pt" o:hralign="center" o:hrstd="t" o:hr="t"/>
        </w:pict>
      </w:r>
    </w:p>
    <w:bookmarkStart w:id="30" w:name="lifecycle-mapping-lci-inventory-stages"/>
    <w:p>
      <w:pPr>
        <w:pStyle w:val="Heading2"/>
      </w:pPr>
      <w:r>
        <w:t xml:space="preserve">2. Lifecycle Mapping (LCI Inventory Stages)</w:t>
      </w:r>
    </w:p>
    <w:p>
      <w:pPr>
        <w:pStyle w:val="FirstParagraph"/>
      </w:pPr>
      <w:r>
        <w:t xml:space="preserve">The lifecycle of</w:t>
      </w:r>
      <w:r>
        <w:t xml:space="preserve"> </w:t>
      </w:r>
      <w:r>
        <w:rPr>
          <w:bCs/>
          <w:b/>
        </w:rPr>
        <w:t xml:space="preserve">dfqxlnpqzk</w:t>
      </w:r>
      <w:r>
        <w:t xml:space="preserve"> </w:t>
      </w:r>
      <w:r>
        <w:t xml:space="preserve">is mapped across five key stages:</w:t>
      </w:r>
    </w:p>
    <w:p>
      <w:pPr>
        <w:numPr>
          <w:ilvl w:val="0"/>
          <w:numId w:val="1003"/>
        </w:numPr>
        <w:pStyle w:val="Compact"/>
      </w:pPr>
      <w:r>
        <w:t xml:space="preserve">Material Acquisition &amp; Pre-processing (Upstream, Scope 3)</w:t>
      </w:r>
    </w:p>
    <w:p>
      <w:pPr>
        <w:numPr>
          <w:ilvl w:val="0"/>
          <w:numId w:val="1003"/>
        </w:numPr>
        <w:pStyle w:val="Compact"/>
      </w:pPr>
      <w:r>
        <w:t xml:space="preserve">Manufacturing (Direct Operations, Scope 1 &amp; 2; Upstream Processes, Scope 3)</w:t>
      </w:r>
    </w:p>
    <w:p>
      <w:pPr>
        <w:numPr>
          <w:ilvl w:val="0"/>
          <w:numId w:val="1003"/>
        </w:numPr>
        <w:pStyle w:val="Compact"/>
      </w:pPr>
      <w:r>
        <w:t xml:space="preserve">Transportation &amp; Distribution (Upstream &amp; Downstream, Scope 3)</w:t>
      </w:r>
    </w:p>
    <w:p>
      <w:pPr>
        <w:numPr>
          <w:ilvl w:val="0"/>
          <w:numId w:val="1003"/>
        </w:numPr>
        <w:pStyle w:val="Compact"/>
      </w:pPr>
      <w:r>
        <w:t xml:space="preserve">Use Phase (Downstream, Scope 3)</w:t>
      </w:r>
    </w:p>
    <w:p>
      <w:pPr>
        <w:numPr>
          <w:ilvl w:val="0"/>
          <w:numId w:val="1003"/>
        </w:numPr>
        <w:pStyle w:val="Compact"/>
      </w:pPr>
      <w:r>
        <w:t xml:space="preserve">End-of-Life (Downstream, Scope 3)</w:t>
      </w:r>
    </w:p>
    <w:bookmarkStart w:id="29" w:name="Xeb754447d8c78dd87f7ec08a97c12e84c19d1d0"/>
    <w:p>
      <w:pPr>
        <w:pStyle w:val="Heading3"/>
      </w:pPr>
      <w:r>
        <w:t xml:space="preserve">2.1. Detailed Bill of Materials (BOM) for dfqxlnpqzk</w:t>
      </w:r>
    </w:p>
    <w:p>
      <w:pPr>
        <w:pStyle w:val="FirstParagraph"/>
      </w:pPr>
      <w:r>
        <w:t xml:space="preserve">The following detailed Bill of Materials (BOM)</w:t>
      </w:r>
      <w:r>
        <w:t xml:space="preserve"> </w:t>
      </w:r>
      <w:r>
        <w:rPr>
          <w:bCs/>
          <w:b/>
        </w:rPr>
        <w:t xml:space="preserve">dffdejik</w:t>
      </w:r>
      <w:r>
        <w:t xml:space="preserve"> </w:t>
      </w:r>
      <w:r>
        <w:t xml:space="preserve">was used to calculate the material-related emissions. The \'Total Carbon\' values represent the high-accuracy material impact based on the specified quantities and emission factors.</w:t>
      </w:r>
    </w:p>
    <w:tbl>
      <w:tblPr>
        <w:tblStyle w:val="Table"/>
        <w:tblW w:type="auto" w:w="0"/>
        <w:tblLook w:firstRow="1" w:lastRow="0" w:firstColumn="0" w:lastColumn="0" w:noHBand="0" w:noVBand="0" w:val="0020"/>
        <w:jc w:val="start"/>
      </w:tblPr>
      <w:tblGrid>
        <w:gridCol w:w="1131"/>
        <w:gridCol w:w="1131"/>
        <w:gridCol w:w="1131"/>
        <w:gridCol w:w="1131"/>
        <w:gridCol w:w="1131"/>
        <w:gridCol w:w="1131"/>
        <w:gridCol w:w="1131"/>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M001</w:t>
            </w:r>
          </w:p>
        </w:tc>
        <w:tc>
          <w:tcPr/>
          <w:p>
            <w:pPr>
              <w:pStyle w:val="Compact"/>
              <w:jc w:val="left"/>
            </w:pPr>
            <w:r>
              <w:t xml:space="preserve">Aluminium Alloy (Component A)</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0.5 kg</w:t>
            </w:r>
          </w:p>
        </w:tc>
        <w:tc>
          <w:tcPr/>
          <w:p>
            <w:pPr>
              <w:pStyle w:val="Compact"/>
              <w:jc w:val="left"/>
            </w:pPr>
            <w:r>
              <w:t xml:space="preserve">7.0 kgCO2e/kg</w:t>
            </w:r>
          </w:p>
        </w:tc>
        <w:tc>
          <w:tcPr/>
          <w:p>
            <w:pPr>
              <w:pStyle w:val="Compact"/>
              <w:jc w:val="left"/>
            </w:pPr>
            <w:r>
              <w:t xml:space="preserve">3.50 kgCO2e</w:t>
            </w:r>
          </w:p>
        </w:tc>
      </w:tr>
      <w:tr>
        <w:tc>
          <w:tcPr/>
          <w:p>
            <w:pPr>
              <w:pStyle w:val="Compact"/>
              <w:jc w:val="left"/>
            </w:pPr>
            <w:r>
              <w:t xml:space="preserve">M002</w:t>
            </w:r>
          </w:p>
        </w:tc>
        <w:tc>
          <w:tcPr/>
          <w:p>
            <w:pPr>
              <w:pStyle w:val="Compact"/>
              <w:jc w:val="left"/>
            </w:pPr>
            <w:r>
              <w:t xml:space="preserve">ABS Plastic (Housing)</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0.8 kg</w:t>
            </w:r>
          </w:p>
        </w:tc>
        <w:tc>
          <w:tcPr/>
          <w:p>
            <w:pPr>
              <w:pStyle w:val="Compact"/>
              <w:jc w:val="left"/>
            </w:pPr>
            <w:r>
              <w:t xml:space="preserve">2.5 kgCO2e/kg</w:t>
            </w:r>
          </w:p>
        </w:tc>
        <w:tc>
          <w:tcPr/>
          <w:p>
            <w:pPr>
              <w:pStyle w:val="Compact"/>
              <w:jc w:val="left"/>
            </w:pPr>
            <w:r>
              <w:t xml:space="preserve">2.00 kgCO2e</w:t>
            </w:r>
          </w:p>
        </w:tc>
      </w:tr>
      <w:tr>
        <w:tc>
          <w:tcPr/>
          <w:p>
            <w:pPr>
              <w:pStyle w:val="Compact"/>
              <w:jc w:val="left"/>
            </w:pPr>
            <w:r>
              <w:t xml:space="preserve">M003</w:t>
            </w:r>
          </w:p>
        </w:tc>
        <w:tc>
          <w:tcPr/>
          <w:p>
            <w:pPr>
              <w:pStyle w:val="Compact"/>
              <w:jc w:val="left"/>
            </w:pPr>
            <w:r>
              <w:t xml:space="preserve">Printed Circuit Board (Main)</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0.1 kg</w:t>
            </w:r>
          </w:p>
        </w:tc>
        <w:tc>
          <w:tcPr/>
          <w:p>
            <w:pPr>
              <w:pStyle w:val="Compact"/>
              <w:jc w:val="left"/>
            </w:pPr>
            <w:r>
              <w:t xml:space="preserve">15.0 kgCO2e/kg</w:t>
            </w:r>
          </w:p>
        </w:tc>
        <w:tc>
          <w:tcPr/>
          <w:p>
            <w:pPr>
              <w:pStyle w:val="Compact"/>
              <w:jc w:val="left"/>
            </w:pPr>
            <w:r>
              <w:t xml:space="preserve">1.50 kgCO2e</w:t>
            </w:r>
          </w:p>
        </w:tc>
      </w:tr>
      <w:tr>
        <w:tc>
          <w:tcPr/>
          <w:p>
            <w:pPr>
              <w:pStyle w:val="Compact"/>
              <w:jc w:val="left"/>
            </w:pPr>
            <w:r>
              <w:t xml:space="preserve">M004</w:t>
            </w:r>
          </w:p>
        </w:tc>
        <w:tc>
          <w:tcPr/>
          <w:p>
            <w:pPr>
              <w:pStyle w:val="Compact"/>
              <w:jc w:val="left"/>
            </w:pPr>
            <w:r>
              <w:t xml:space="preserve">Copper Wire (Internal Wiring)</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0.2 kg</w:t>
            </w:r>
          </w:p>
        </w:tc>
        <w:tc>
          <w:tcPr/>
          <w:p>
            <w:pPr>
              <w:pStyle w:val="Compact"/>
              <w:jc w:val="left"/>
            </w:pPr>
            <w:r>
              <w:t xml:space="preserve">3.0 kgCO2e/kg</w:t>
            </w:r>
          </w:p>
        </w:tc>
        <w:tc>
          <w:tcPr/>
          <w:p>
            <w:pPr>
              <w:pStyle w:val="Compact"/>
              <w:jc w:val="left"/>
            </w:pPr>
            <w:r>
              <w:t xml:space="preserve">0.60 kgCO2e</w:t>
            </w:r>
          </w:p>
        </w:tc>
      </w:tr>
      <w:tr>
        <w:tc>
          <w:tcPr/>
          <w:p>
            <w:pPr>
              <w:pStyle w:val="Compact"/>
              <w:jc w:val="left"/>
            </w:pPr>
            <w:r>
              <w:t xml:space="preserve">M005</w:t>
            </w:r>
          </w:p>
        </w:tc>
        <w:tc>
          <w:tcPr/>
          <w:p>
            <w:pPr>
              <w:pStyle w:val="Compact"/>
              <w:jc w:val="left"/>
            </w:pPr>
            <w:r>
              <w:t xml:space="preserve">Packaging (Recycled Cardboard)</w:t>
            </w:r>
          </w:p>
        </w:tc>
        <w:tc>
          <w:tcPr/>
          <w:p>
            <w:pPr>
              <w:pStyle w:val="Compact"/>
              <w:jc w:val="left"/>
            </w:pPr>
            <w:r>
              <w:t xml:space="preserve">Paper/Wood</w:t>
            </w:r>
          </w:p>
        </w:tc>
        <w:tc>
          <w:tcPr/>
          <w:p>
            <w:pPr>
              <w:pStyle w:val="Compact"/>
              <w:jc w:val="left"/>
            </w:pPr>
            <w:r>
              <w:t xml:space="preserve">Production</w:t>
            </w:r>
          </w:p>
        </w:tc>
        <w:tc>
          <w:tcPr/>
          <w:p>
            <w:pPr>
              <w:pStyle w:val="Compact"/>
              <w:jc w:val="left"/>
            </w:pPr>
            <w:r>
              <w:t xml:space="preserve">0.15 kg</w:t>
            </w:r>
          </w:p>
        </w:tc>
        <w:tc>
          <w:tcPr/>
          <w:p>
            <w:pPr>
              <w:pStyle w:val="Compact"/>
              <w:jc w:val="left"/>
            </w:pPr>
            <w:r>
              <w:t xml:space="preserve">0.8 kgCO2e/kg</w:t>
            </w:r>
          </w:p>
        </w:tc>
        <w:tc>
          <w:tcPr/>
          <w:p>
            <w:pPr>
              <w:pStyle w:val="Compact"/>
              <w:jc w:val="left"/>
            </w:pPr>
            <w:r>
              <w:t xml:space="preserve">0.12 kgCO2e</w:t>
            </w:r>
          </w:p>
        </w:tc>
      </w:tr>
    </w:tbl>
    <w:p>
      <w:pPr>
        <w:pStyle w:val="BodyText"/>
      </w:pPr>
      <w:r>
        <w:rPr>
          <w:iCs/>
          <w:i/>
        </w:rPr>
        <w:t xml:space="preserve">Note: The specific values for quantities and emission factors for the BOM are derived from the provided \'dffdejik\' data, using industry-standard emission factors where specific \'Total Carbon\' was not explicitly provided but implied by the format.</w:t>
      </w:r>
    </w:p>
    <w:bookmarkEnd w:id="29"/>
    <w:bookmarkEnd w:id="30"/>
    <w:p>
      <w:r>
        <w:pict>
          <v:rect style="width:0;height:1.5pt" o:hralign="center" o:hrstd="t" o:hr="t"/>
        </w:pict>
      </w:r>
    </w:p>
    <w:bookmarkStart w:id="33" w:name="data-collection-and-emission-factors"/>
    <w:p>
      <w:pPr>
        <w:pStyle w:val="Heading2"/>
      </w:pPr>
      <w:r>
        <w:t xml:space="preserve">3. Data Collection and Emission Factors</w:t>
      </w:r>
    </w:p>
    <w:p>
      <w:pPr>
        <w:pStyle w:val="FirstParagraph"/>
      </w:pPr>
      <w:r>
        <w:t xml:space="preserve">Both primary and secondary data were collected for this analysis. Primary data includes company-specific operational data. Secondary data, particularly for emission factors, was sourced from reputable databases such as Ecoinvent, DEFRA, US EPA, and Climatiq, providing robust industry averages for material production, energy generation, and transportation.</w:t>
      </w:r>
    </w:p>
    <w:bookmarkStart w:id="31" w:name="key-data-points-and-assumptions"/>
    <w:p>
      <w:pPr>
        <w:pStyle w:val="Heading3"/>
      </w:pPr>
      <w:r>
        <w:t xml:space="preserve">3.1. Key Data Points and Assumptions</w:t>
      </w:r>
    </w:p>
    <w:p>
      <w:pPr>
        <w:numPr>
          <w:ilvl w:val="0"/>
          <w:numId w:val="1004"/>
        </w:numPr>
        <w:pStyle w:val="Compact"/>
      </w:pPr>
      <w:r>
        <w:rPr>
          <w:bCs/>
          <w:b/>
        </w:rPr>
        <w:t xml:space="preserve">Total Product Weight:</w:t>
      </w:r>
      <w:r>
        <w:t xml:space="preserve"> </w:t>
      </w:r>
      <w:r>
        <w:t xml:space="preserve">1.75 kg (Sum of BOM quantities).</w:t>
      </w:r>
    </w:p>
    <w:p>
      <w:pPr>
        <w:numPr>
          <w:ilvl w:val="0"/>
          <w:numId w:val="1004"/>
        </w:numPr>
        <w:pStyle w:val="Compact"/>
      </w:pPr>
      <w:r>
        <w:rPr>
          <w:bCs/>
          <w:b/>
        </w:rPr>
        <w:t xml:space="preserve">Production Country:</w:t>
      </w:r>
      <w:r>
        <w:t xml:space="preserve"> </w:t>
      </w:r>
      <w:r>
        <w:t xml:space="preserve">China.</w:t>
      </w:r>
    </w:p>
    <w:p>
      <w:pPr>
        <w:numPr>
          <w:ilvl w:val="0"/>
          <w:numId w:val="1004"/>
        </w:numPr>
        <w:pStyle w:val="Compact"/>
      </w:pPr>
      <w:r>
        <w:rPr>
          <w:bCs/>
          <w:b/>
        </w:rPr>
        <w:t xml:space="preserve">Supply Chain Focus:</w:t>
      </w:r>
      <w:r>
        <w:t xml:space="preserve"> </w:t>
      </w:r>
      <w:r>
        <w:t xml:space="preserve">Europe Focused.</w:t>
      </w:r>
    </w:p>
    <w:p>
      <w:pPr>
        <w:numPr>
          <w:ilvl w:val="0"/>
          <w:numId w:val="1004"/>
        </w:numPr>
        <w:pStyle w:val="Compact"/>
      </w:pPr>
      <w:r>
        <w:rPr>
          <w:bCs/>
          <w:b/>
        </w:rPr>
        <w:t xml:space="preserve">Transport Mode (Illustrative):</w:t>
      </w:r>
      <w:r>
        <w:t xml:space="preserve"> </w:t>
      </w:r>
      <w:r>
        <w:t xml:space="preserve">Road Freight (Heavy Goods Vehicle).</w:t>
      </w:r>
    </w:p>
    <w:p>
      <w:pPr>
        <w:numPr>
          <w:ilvl w:val="0"/>
          <w:numId w:val="1004"/>
        </w:numPr>
        <w:pStyle w:val="Compact"/>
      </w:pPr>
      <w:r>
        <w:rPr>
          <w:bCs/>
          <w:b/>
        </w:rPr>
        <w:t xml:space="preserve">Transport Distance (Illustrative):</w:t>
      </w:r>
      <w:r>
        <w:t xml:space="preserve"> </w:t>
      </w:r>
      <w:r>
        <w:t xml:space="preserve">1500 km for inbound/outbound logistics, 50 km for last-mile delivery.</w:t>
      </w:r>
    </w:p>
    <w:p>
      <w:pPr>
        <w:numPr>
          <w:ilvl w:val="0"/>
          <w:numId w:val="1004"/>
        </w:numPr>
        <w:pStyle w:val="Compact"/>
      </w:pPr>
      <w:r>
        <w:rPr>
          <w:bCs/>
          <w:b/>
        </w:rPr>
        <w:t xml:space="preserve">Last-Mile Delivery Channel (Illustrative):</w:t>
      </w:r>
      <w:r>
        <w:t xml:space="preserve"> </w:t>
      </w:r>
      <w:r>
        <w:t xml:space="preserve">Parcel Delivery Van.</w:t>
      </w:r>
    </w:p>
    <w:p>
      <w:pPr>
        <w:numPr>
          <w:ilvl w:val="0"/>
          <w:numId w:val="1004"/>
        </w:numPr>
        <w:pStyle w:val="Compact"/>
      </w:pPr>
      <w:r>
        <w:rPr>
          <w:bCs/>
          <w:b/>
        </w:rPr>
        <w:t xml:space="preserve">Renewable Energy Usage (Manufacturing):</w:t>
      </w:r>
      <w:r>
        <w:t xml:space="preserve"> </w:t>
      </w:r>
      <w:r>
        <w:t xml:space="preserve">70% (dhqjupkhjn) of total energy consumption.</w:t>
      </w:r>
    </w:p>
    <w:p>
      <w:pPr>
        <w:numPr>
          <w:ilvl w:val="0"/>
          <w:numId w:val="1004"/>
        </w:numPr>
        <w:pStyle w:val="Compact"/>
      </w:pPr>
      <w:r>
        <w:rPr>
          <w:bCs/>
          <w:b/>
        </w:rPr>
        <w:t xml:space="preserve">Energy Intensity (Manufacturing):</w:t>
      </w:r>
      <w:r>
        <w:t xml:space="preserve"> </w:t>
      </w:r>
      <w:r>
        <w:t xml:space="preserve">15 kWh/unit (dzrdzvsspy).</w:t>
      </w:r>
    </w:p>
    <w:p>
      <w:pPr>
        <w:numPr>
          <w:ilvl w:val="0"/>
          <w:numId w:val="1004"/>
        </w:numPr>
        <w:pStyle w:val="Compact"/>
      </w:pPr>
      <w:r>
        <w:rPr>
          <w:bCs/>
          <w:b/>
        </w:rPr>
        <w:t xml:space="preserve">Product Lifespan:</w:t>
      </w:r>
      <w:r>
        <w:t xml:space="preserve"> </w:t>
      </w:r>
      <w:r>
        <w:t xml:space="preserve">5 years (exfxmgmptl).</w:t>
      </w:r>
    </w:p>
    <w:p>
      <w:pPr>
        <w:numPr>
          <w:ilvl w:val="0"/>
          <w:numId w:val="1004"/>
        </w:numPr>
        <w:pStyle w:val="Compact"/>
      </w:pPr>
      <w:r>
        <w:rPr>
          <w:bCs/>
          <w:b/>
        </w:rPr>
        <w:t xml:space="preserve">Energy Consumption in Use:</w:t>
      </w:r>
      <w:r>
        <w:t xml:space="preserve"> </w:t>
      </w:r>
      <w:r>
        <w:t xml:space="preserve">10 kWh/year (vxpwykvxif).</w:t>
      </w:r>
    </w:p>
    <w:p>
      <w:pPr>
        <w:numPr>
          <w:ilvl w:val="0"/>
          <w:numId w:val="1004"/>
        </w:numPr>
        <w:pStyle w:val="Compact"/>
      </w:pPr>
      <w:r>
        <w:rPr>
          <w:bCs/>
          <w:b/>
        </w:rPr>
        <w:t xml:space="preserve">Recyclability Percentage (Product EoL):</w:t>
      </w:r>
      <w:r>
        <w:t xml:space="preserve"> </w:t>
      </w:r>
      <w:r>
        <w:t xml:space="preserve">85% (jfnsxwklsy).</w:t>
      </w:r>
    </w:p>
    <w:p>
      <w:pPr>
        <w:numPr>
          <w:ilvl w:val="0"/>
          <w:numId w:val="1004"/>
        </w:numPr>
        <w:pStyle w:val="Compact"/>
      </w:pPr>
      <w:r>
        <w:rPr>
          <w:bCs/>
          <w:b/>
        </w:rPr>
        <w:t xml:space="preserve">Circular/Take-back Programs:</w:t>
      </w:r>
      <w:r>
        <w:t xml:space="preserve"> </w:t>
      </w:r>
      <w:r>
        <w:t xml:space="preserve">The company offers a comprehensive take-back program for product recycling and refurbishment (pfvnjdvdgg).</w:t>
      </w:r>
    </w:p>
    <w:bookmarkEnd w:id="31"/>
    <w:bookmarkStart w:id="32" w:name="X8c642b6e0c49d8d1c0a93c4fd19f8bd97050907"/>
    <w:p>
      <w:pPr>
        <w:pStyle w:val="Heading3"/>
      </w:pPr>
      <w:r>
        <w:t xml:space="preserve">3.2. Emission Factors Used (Illustrative &amp; Industry-Standard)</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Category</w:t>
            </w:r>
          </w:p>
        </w:tc>
        <w:tc>
          <w:tcPr/>
          <w:p>
            <w:pPr>
              <w:pStyle w:val="Compact"/>
              <w:jc w:val="left"/>
            </w:pPr>
            <w:r>
              <w:t xml:space="preserve">Activity</w:t>
            </w:r>
          </w:p>
        </w:tc>
        <w:tc>
          <w:tcPr/>
          <w:p>
            <w:pPr>
              <w:pStyle w:val="Compact"/>
              <w:jc w:val="left"/>
            </w:pPr>
            <w:r>
              <w:t xml:space="preserve">Emission Factor (EF)</w:t>
            </w:r>
          </w:p>
        </w:tc>
        <w:tc>
          <w:tcPr/>
          <w:p>
            <w:pPr>
              <w:pStyle w:val="Compact"/>
              <w:jc w:val="left"/>
            </w:pPr>
            <w:r>
              <w:t xml:space="preserve">Source/Basis</w:t>
            </w:r>
          </w:p>
        </w:tc>
      </w:tr>
      <w:tr>
        <w:tc>
          <w:tcPr/>
          <w:p>
            <w:pPr>
              <w:pStyle w:val="Compact"/>
              <w:jc w:val="left"/>
            </w:pPr>
            <w:r>
              <w:rPr>
                <w:bCs/>
                <w:b/>
              </w:rPr>
              <w:t xml:space="preserve">Material Production</w:t>
            </w:r>
          </w:p>
        </w:tc>
        <w:tc>
          <w:tcPr/>
          <w:p>
            <w:pPr>
              <w:pStyle w:val="Compact"/>
              <w:jc w:val="left"/>
            </w:pPr>
            <w:r>
              <w:t xml:space="preserve">Aluminium Alloy</w:t>
            </w:r>
          </w:p>
        </w:tc>
        <w:tc>
          <w:tcPr/>
          <w:p>
            <w:pPr>
              <w:pStyle w:val="Compact"/>
              <w:jc w:val="left"/>
            </w:pPr>
            <w:r>
              <w:t xml:space="preserve">7.0 kgCO2e/kg</w:t>
            </w:r>
          </w:p>
        </w:tc>
        <w:tc>
          <w:tcPr/>
          <w:p>
            <w:pPr>
              <w:pStyle w:val="Compact"/>
              <w:jc w:val="left"/>
            </w:pPr>
            <w:r>
              <w:t xml:space="preserve">Ecoinvent informed (primary aluminium production)</w:t>
            </w:r>
          </w:p>
        </w:tc>
      </w:tr>
      <w:tr>
        <w:tc>
          <w:tcPr/>
          <w:p>
            <w:pPr>
              <w:pStyle w:val="Compact"/>
            </w:pPr>
          </w:p>
        </w:tc>
        <w:tc>
          <w:tcPr/>
          <w:p>
            <w:pPr>
              <w:pStyle w:val="Compact"/>
              <w:jc w:val="left"/>
            </w:pPr>
            <w:r>
              <w:t xml:space="preserve">ABS Plastic</w:t>
            </w:r>
          </w:p>
        </w:tc>
        <w:tc>
          <w:tcPr/>
          <w:p>
            <w:pPr>
              <w:pStyle w:val="Compact"/>
              <w:jc w:val="left"/>
            </w:pPr>
            <w:r>
              <w:t xml:space="preserve">2.5 kgCO2e/kg</w:t>
            </w:r>
          </w:p>
        </w:tc>
        <w:tc>
          <w:tcPr/>
          <w:p>
            <w:pPr>
              <w:pStyle w:val="Compact"/>
              <w:jc w:val="left"/>
            </w:pPr>
            <w:r>
              <w:t xml:space="preserve">DEFRA/Ecoinvent informed (general plastics)</w:t>
            </w:r>
          </w:p>
        </w:tc>
      </w:tr>
      <w:tr>
        <w:tc>
          <w:tcPr/>
          <w:p>
            <w:pPr>
              <w:pStyle w:val="Compact"/>
            </w:pPr>
          </w:p>
        </w:tc>
        <w:tc>
          <w:tcPr/>
          <w:p>
            <w:pPr>
              <w:pStyle w:val="Compact"/>
              <w:jc w:val="left"/>
            </w:pPr>
            <w:r>
              <w:t xml:space="preserve">Printed Circuit Board</w:t>
            </w:r>
          </w:p>
        </w:tc>
        <w:tc>
          <w:tcPr/>
          <w:p>
            <w:pPr>
              <w:pStyle w:val="Compact"/>
              <w:jc w:val="left"/>
            </w:pPr>
            <w:r>
              <w:t xml:space="preserve">15.0 kgCO2e/kg</w:t>
            </w:r>
          </w:p>
        </w:tc>
        <w:tc>
          <w:tcPr/>
          <w:p>
            <w:pPr>
              <w:pStyle w:val="Compact"/>
              <w:jc w:val="left"/>
            </w:pPr>
            <w:r>
              <w:t xml:space="preserve">Industry studies (PCB manufacturing)</w:t>
            </w:r>
          </w:p>
        </w:tc>
      </w:tr>
      <w:tr>
        <w:tc>
          <w:tcPr/>
          <w:p>
            <w:pPr>
              <w:pStyle w:val="Compact"/>
            </w:pPr>
          </w:p>
        </w:tc>
        <w:tc>
          <w:tcPr/>
          <w:p>
            <w:pPr>
              <w:pStyle w:val="Compact"/>
              <w:jc w:val="left"/>
            </w:pPr>
            <w:r>
              <w:t xml:space="preserve">Copper Wire</w:t>
            </w:r>
          </w:p>
        </w:tc>
        <w:tc>
          <w:tcPr/>
          <w:p>
            <w:pPr>
              <w:pStyle w:val="Compact"/>
              <w:jc w:val="left"/>
            </w:pPr>
            <w:r>
              <w:t xml:space="preserve">3.0 kgCO2e/kg</w:t>
            </w:r>
          </w:p>
        </w:tc>
        <w:tc>
          <w:tcPr/>
          <w:p>
            <w:pPr>
              <w:pStyle w:val="Compact"/>
              <w:jc w:val="left"/>
            </w:pPr>
            <w:r>
              <w:t xml:space="preserve">US EPA informed (virgin copper production)</w:t>
            </w:r>
          </w:p>
        </w:tc>
      </w:tr>
      <w:tr>
        <w:tc>
          <w:tcPr/>
          <w:p>
            <w:pPr>
              <w:pStyle w:val="Compact"/>
            </w:pPr>
          </w:p>
        </w:tc>
        <w:tc>
          <w:tcPr/>
          <w:p>
            <w:pPr>
              <w:pStyle w:val="Compact"/>
              <w:jc w:val="left"/>
            </w:pPr>
            <w:r>
              <w:t xml:space="preserve">Recycled Cardboard</w:t>
            </w:r>
          </w:p>
        </w:tc>
        <w:tc>
          <w:tcPr/>
          <w:p>
            <w:pPr>
              <w:pStyle w:val="Compact"/>
              <w:jc w:val="left"/>
            </w:pPr>
            <w:r>
              <w:t xml:space="preserve">0.8 kgCO2e/kg</w:t>
            </w:r>
          </w:p>
        </w:tc>
        <w:tc>
          <w:tcPr/>
          <w:p>
            <w:pPr>
              <w:pStyle w:val="Compact"/>
              <w:jc w:val="left"/>
            </w:pPr>
            <w:r>
              <w:t xml:space="preserve">DEFRA/Industry average for recycled material</w:t>
            </w:r>
          </w:p>
        </w:tc>
      </w:tr>
      <w:tr>
        <w:tc>
          <w:tcPr/>
          <w:p>
            <w:pPr>
              <w:pStyle w:val="Compact"/>
              <w:jc w:val="left"/>
            </w:pPr>
            <w:r>
              <w:rPr>
                <w:bCs/>
                <w:b/>
              </w:rPr>
              <w:t xml:space="preserve">Energy Production (China Grid)</w:t>
            </w:r>
          </w:p>
        </w:tc>
        <w:tc>
          <w:tcPr/>
          <w:p>
            <w:pPr>
              <w:pStyle w:val="Compact"/>
              <w:jc w:val="left"/>
            </w:pPr>
            <w:r>
              <w:t xml:space="preserve">Electricity Grid Mix</w:t>
            </w:r>
          </w:p>
        </w:tc>
        <w:tc>
          <w:tcPr/>
          <w:p>
            <w:pPr>
              <w:pStyle w:val="Compact"/>
              <w:jc w:val="left"/>
            </w:pPr>
            <w:r>
              <w:t xml:space="preserve">0.56 kgCO2e/kWh</w:t>
            </w:r>
          </w:p>
        </w:tc>
        <w:tc>
          <w:tcPr/>
          <w:p>
            <w:pPr>
              <w:pStyle w:val="Compact"/>
              <w:jc w:val="left"/>
            </w:pPr>
            <w:r>
              <w:t xml:space="preserve">Average China Grid Mix (2024/2025 data)</w:t>
            </w:r>
          </w:p>
        </w:tc>
      </w:tr>
      <w:tr>
        <w:tc>
          <w:tcPr/>
          <w:p>
            <w:pPr>
              <w:pStyle w:val="Compact"/>
              <w:jc w:val="left"/>
            </w:pPr>
            <w:r>
              <w:rPr>
                <w:bCs/>
                <w:b/>
              </w:rPr>
              <w:t xml:space="preserve">Energy Production (Europe Grid)</w:t>
            </w:r>
          </w:p>
        </w:tc>
        <w:tc>
          <w:tcPr/>
          <w:p>
            <w:pPr>
              <w:pStyle w:val="Compact"/>
              <w:jc w:val="left"/>
            </w:pPr>
            <w:r>
              <w:t xml:space="preserve">Electricity Grid Mix</w:t>
            </w:r>
          </w:p>
        </w:tc>
        <w:tc>
          <w:tcPr/>
          <w:p>
            <w:pPr>
              <w:pStyle w:val="Compact"/>
              <w:jc w:val="left"/>
            </w:pPr>
            <w:r>
              <w:t xml:space="preserve">0.25 kgCO2e/kWh</w:t>
            </w:r>
          </w:p>
        </w:tc>
        <w:tc>
          <w:tcPr/>
          <w:p>
            <w:pPr>
              <w:pStyle w:val="Compact"/>
              <w:jc w:val="left"/>
            </w:pPr>
            <w:r>
              <w:t xml:space="preserve">Average European Grid Mix (Illustrative for use phase)</w:t>
            </w:r>
          </w:p>
        </w:tc>
      </w:tr>
      <w:tr>
        <w:tc>
          <w:tcPr/>
          <w:p>
            <w:pPr>
              <w:pStyle w:val="Compact"/>
              <w:jc w:val="left"/>
            </w:pPr>
            <w:r>
              <w:rPr>
                <w:bCs/>
                <w:b/>
              </w:rPr>
              <w:t xml:space="preserve">Transportation</w:t>
            </w:r>
          </w:p>
        </w:tc>
        <w:tc>
          <w:tcPr/>
          <w:p>
            <w:pPr>
              <w:pStyle w:val="Compact"/>
              <w:jc w:val="left"/>
            </w:pPr>
            <w:r>
              <w:t xml:space="preserve">Road Freight (Heavy Goods Vehicle)</w:t>
            </w:r>
          </w:p>
        </w:tc>
        <w:tc>
          <w:tcPr/>
          <w:p>
            <w:pPr>
              <w:pStyle w:val="Compact"/>
              <w:jc w:val="left"/>
            </w:pPr>
            <w:r>
              <w:t xml:space="preserve">0.1 kgCO2e/tkm</w:t>
            </w:r>
          </w:p>
        </w:tc>
        <w:tc>
          <w:tcPr/>
          <w:p>
            <w:pPr>
              <w:pStyle w:val="Compact"/>
              <w:jc w:val="left"/>
            </w:pPr>
            <w:r>
              <w:t xml:space="preserve">Ecoinvent/DEFRA informed</w:t>
            </w:r>
          </w:p>
        </w:tc>
      </w:tr>
      <w:tr>
        <w:tc>
          <w:tcPr/>
          <w:p>
            <w:pPr>
              <w:pStyle w:val="Compact"/>
            </w:pPr>
          </w:p>
        </w:tc>
        <w:tc>
          <w:tcPr/>
          <w:p>
            <w:pPr>
              <w:pStyle w:val="Compact"/>
              <w:jc w:val="left"/>
            </w:pPr>
            <w:r>
              <w:t xml:space="preserve">Parcel Delivery Van (Last-Mile)</w:t>
            </w:r>
          </w:p>
        </w:tc>
        <w:tc>
          <w:tcPr/>
          <w:p>
            <w:pPr>
              <w:pStyle w:val="Compact"/>
              <w:jc w:val="left"/>
            </w:pPr>
            <w:r>
              <w:t xml:space="preserve">0.2 kgCO2e/tkm</w:t>
            </w:r>
          </w:p>
        </w:tc>
        <w:tc>
          <w:tcPr/>
          <w:p>
            <w:pPr>
              <w:pStyle w:val="Compact"/>
              <w:jc w:val="left"/>
            </w:pPr>
            <w:r>
              <w:t xml:space="preserve">Ecoinvent/DEFRA informed (general higher intensity for last mile)</w:t>
            </w:r>
          </w:p>
        </w:tc>
      </w:tr>
      <w:tr>
        <w:tc>
          <w:tcPr/>
          <w:p>
            <w:pPr>
              <w:pStyle w:val="Compact"/>
              <w:jc w:val="left"/>
            </w:pPr>
            <w:r>
              <w:rPr>
                <w:bCs/>
                <w:b/>
              </w:rPr>
              <w:t xml:space="preserve">End-of-Life</w:t>
            </w:r>
          </w:p>
        </w:tc>
        <w:tc>
          <w:tcPr/>
          <w:p>
            <w:pPr>
              <w:pStyle w:val="Compact"/>
              <w:jc w:val="left"/>
            </w:pPr>
            <w:r>
              <w:t xml:space="preserve">Landfill (Residual Waste)</w:t>
            </w:r>
          </w:p>
        </w:tc>
        <w:tc>
          <w:tcPr/>
          <w:p>
            <w:pPr>
              <w:pStyle w:val="Compact"/>
              <w:jc w:val="left"/>
            </w:pPr>
            <w:r>
              <w:t xml:space="preserve">0.2 kgCO2e/kg</w:t>
            </w:r>
          </w:p>
        </w:tc>
        <w:tc>
          <w:tcPr/>
          <w:p>
            <w:pPr>
              <w:pStyle w:val="Compact"/>
              <w:jc w:val="left"/>
            </w:pPr>
            <w:r>
              <w:t xml:space="preserve">General mixed waste landfill</w:t>
            </w:r>
          </w:p>
        </w:tc>
      </w:tr>
      <w:tr>
        <w:tc>
          <w:tcPr/>
          <w:p>
            <w:pPr>
              <w:pStyle w:val="Compact"/>
            </w:pPr>
          </w:p>
        </w:tc>
        <w:tc>
          <w:tcPr/>
          <w:p>
            <w:pPr>
              <w:pStyle w:val="Compact"/>
              <w:jc w:val="left"/>
            </w:pPr>
            <w:r>
              <w:t xml:space="preserve">Recycling Credit - Aluminium</w:t>
            </w:r>
          </w:p>
        </w:tc>
        <w:tc>
          <w:tcPr/>
          <w:p>
            <w:pPr>
              <w:pStyle w:val="Compact"/>
              <w:jc w:val="left"/>
            </w:pPr>
            <w:r>
              <w:t xml:space="preserve">-7.0 kgCO2e/kg</w:t>
            </w:r>
          </w:p>
        </w:tc>
        <w:tc>
          <w:tcPr/>
          <w:p>
            <w:pPr>
              <w:pStyle w:val="Compact"/>
              <w:jc w:val="left"/>
            </w:pPr>
            <w:r>
              <w:t xml:space="preserve">Avoided primary production</w:t>
            </w:r>
          </w:p>
        </w:tc>
      </w:tr>
      <w:tr>
        <w:tc>
          <w:tcPr/>
          <w:p>
            <w:pPr>
              <w:pStyle w:val="Compact"/>
            </w:pPr>
          </w:p>
        </w:tc>
        <w:tc>
          <w:tcPr/>
          <w:p>
            <w:pPr>
              <w:pStyle w:val="Compact"/>
              <w:jc w:val="left"/>
            </w:pPr>
            <w:r>
              <w:t xml:space="preserve">Recycling Credit - Plastics</w:t>
            </w:r>
          </w:p>
        </w:tc>
        <w:tc>
          <w:tcPr/>
          <w:p>
            <w:pPr>
              <w:pStyle w:val="Compact"/>
              <w:jc w:val="left"/>
            </w:pPr>
            <w:r>
              <w:t xml:space="preserve">-1.0 kgCO2e/kg</w:t>
            </w:r>
          </w:p>
        </w:tc>
        <w:tc>
          <w:tcPr/>
          <w:p>
            <w:pPr>
              <w:pStyle w:val="Compact"/>
              <w:jc w:val="left"/>
            </w:pPr>
            <w:r>
              <w:t xml:space="preserve">Avoided primary production</w:t>
            </w:r>
          </w:p>
        </w:tc>
      </w:tr>
      <w:tr>
        <w:tc>
          <w:tcPr/>
          <w:p>
            <w:pPr>
              <w:pStyle w:val="Compact"/>
            </w:pPr>
          </w:p>
        </w:tc>
        <w:tc>
          <w:tcPr/>
          <w:p>
            <w:pPr>
              <w:pStyle w:val="Compact"/>
              <w:jc w:val="left"/>
            </w:pPr>
            <w:r>
              <w:t xml:space="preserve">Recycling Credit - Cardboard</w:t>
            </w:r>
          </w:p>
        </w:tc>
        <w:tc>
          <w:tcPr/>
          <w:p>
            <w:pPr>
              <w:pStyle w:val="Compact"/>
              <w:jc w:val="left"/>
            </w:pPr>
            <w:r>
              <w:t xml:space="preserve">-0.4 kgCO2e/kg</w:t>
            </w:r>
          </w:p>
        </w:tc>
        <w:tc>
          <w:tcPr/>
          <w:p>
            <w:pPr>
              <w:pStyle w:val="Compact"/>
              <w:jc w:val="left"/>
            </w:pPr>
            <w:r>
              <w:t xml:space="preserve">Avoided primary production</w:t>
            </w:r>
          </w:p>
        </w:tc>
      </w:tr>
      <w:tr>
        <w:tc>
          <w:tcPr/>
          <w:p>
            <w:pPr>
              <w:pStyle w:val="Compact"/>
            </w:pPr>
          </w:p>
        </w:tc>
        <w:tc>
          <w:tcPr/>
          <w:p>
            <w:pPr>
              <w:pStyle w:val="Compact"/>
              <w:jc w:val="left"/>
            </w:pPr>
            <w:r>
              <w:t xml:space="preserve">Recycling Credit - Copper</w:t>
            </w:r>
          </w:p>
        </w:tc>
        <w:tc>
          <w:tcPr/>
          <w:p>
            <w:pPr>
              <w:pStyle w:val="Compact"/>
              <w:jc w:val="left"/>
            </w:pPr>
            <w:r>
              <w:t xml:space="preserve">-2.0 kgCO2e/kg</w:t>
            </w:r>
          </w:p>
        </w:tc>
        <w:tc>
          <w:tcPr/>
          <w:p>
            <w:pPr>
              <w:pStyle w:val="Compact"/>
              <w:jc w:val="left"/>
            </w:pPr>
            <w:r>
              <w:t xml:space="preserve">Avoided primary production (illustrative)</w:t>
            </w:r>
          </w:p>
        </w:tc>
      </w:tr>
    </w:tbl>
    <w:bookmarkEnd w:id="32"/>
    <w:bookmarkEnd w:id="33"/>
    <w:p>
      <w:r>
        <w:pict>
          <v:rect style="width:0;height:1.5pt" o:hralign="center" o:hrstd="t" o:hr="t"/>
        </w:pict>
      </w:r>
    </w:p>
    <w:bookmarkStart w:id="45" w:name="emission-calculations"/>
    <w:p>
      <w:pPr>
        <w:pStyle w:val="Heading2"/>
      </w:pPr>
      <w:r>
        <w:t xml:space="preserve">4. Emission Calculations</w:t>
      </w:r>
    </w:p>
    <w:p>
      <w:pPr>
        <w:pStyle w:val="FirstParagraph"/>
      </w:pPr>
      <w:r>
        <w:t xml:space="preserve">The emissions for each lifecycle stage are calculated as</w:t>
      </w:r>
      <w:r>
        <w:t xml:space="preserve"> </w:t>
      </w:r>
      <w:r>
        <w:rPr>
          <w:rStyle w:val="VerbatimChar"/>
        </w:rPr>
        <w:t xml:space="preserve">Activity Data * Emission Factor = CO2e</w:t>
      </w:r>
      <w:r>
        <w:t xml:space="preserve">. All emissions are categorized according to the GHG Protocol\'s Scope 1, 2, and 3 definitions.</w:t>
      </w:r>
    </w:p>
    <w:bookmarkStart w:id="34" w:name="X5fba48d7b85b1fc1d0080a72f3bcf6c0594fa3b"/>
    <w:p>
      <w:pPr>
        <w:pStyle w:val="Heading3"/>
      </w:pPr>
      <w:r>
        <w:t xml:space="preserve">4.1. Material Acquisition &amp; Pre-processing (Scope 3, Category 1: Purchased Goods and Services)</w:t>
      </w:r>
    </w:p>
    <w:p>
      <w:pPr>
        <w:pStyle w:val="FirstParagraph"/>
      </w:pPr>
      <w:r>
        <w:t xml:space="preserve">This stage includes emissions from raw material extraction, processing, and manufacturing of components detailed in the BOM.</w:t>
      </w:r>
    </w:p>
    <w:p>
      <w:pPr>
        <w:pStyle w:val="BodyText"/>
      </w:pPr>
      <w:r>
        <w:t xml:space="preserve">Total emissions from material production for 1 unit of dfqxlnpqzk (sum of \'Total Carbon\' from BOM):</w:t>
      </w:r>
      <w:r>
        <w:t xml:space="preserve"> </w:t>
      </w:r>
      <w:r>
        <w:t xml:space="preserve">3.50 kgCO2e (Aluminium) + 2.00 kgCO2e (ABS Plastic) + 1.50 kgCO2e (PCB) + 0.60 kgCO2e (Copper) + 0.12 kgCO2e (Packaging) =</w:t>
      </w:r>
      <w:r>
        <w:t xml:space="preserve"> </w:t>
      </w:r>
      <w:r>
        <w:rPr>
          <w:bCs/>
          <w:b/>
        </w:rPr>
        <w:t xml:space="preserve">7.72 kg CO2e</w:t>
      </w:r>
      <w:r>
        <w:t xml:space="preserve">.</w:t>
      </w:r>
    </w:p>
    <w:bookmarkEnd w:id="34"/>
    <w:bookmarkStart w:id="35" w:name="Xe5fb81b86f731b3c7a450762c8eaa67ddfa7a6c"/>
    <w:p>
      <w:pPr>
        <w:pStyle w:val="Heading3"/>
      </w:pPr>
      <w:r>
        <w:t xml:space="preserve">4.2. Manufacturing (Scope 1 &amp; 2, and related Scope 3)</w:t>
      </w:r>
    </w:p>
    <w:p>
      <w:pPr>
        <w:pStyle w:val="FirstParagraph"/>
      </w:pPr>
      <w:r>
        <w:t xml:space="preserve">This covers emissions from the production process in the factory located in China. We consider both direct (Scope 1) and purchased energy (Scope 2) emissions.</w:t>
      </w:r>
    </w:p>
    <w:p>
      <w:pPr>
        <w:numPr>
          <w:ilvl w:val="0"/>
          <w:numId w:val="1005"/>
        </w:numPr>
        <w:pStyle w:val="Compact"/>
      </w:pPr>
      <w:r>
        <w:t xml:space="preserve">Total Energy Consumption: 15 kWh/unit (dzrdzvsspy)</w:t>
      </w:r>
    </w:p>
    <w:p>
      <w:pPr>
        <w:numPr>
          <w:ilvl w:val="0"/>
          <w:numId w:val="1005"/>
        </w:numPr>
        <w:pStyle w:val="Compact"/>
      </w:pPr>
      <w:r>
        <w:t xml:space="preserve">Renewable Energy Usage: 70% (dhqjupkhjn)</w:t>
      </w:r>
    </w:p>
    <w:p>
      <w:pPr>
        <w:numPr>
          <w:ilvl w:val="0"/>
          <w:numId w:val="1005"/>
        </w:numPr>
        <w:pStyle w:val="Compact"/>
      </w:pPr>
      <w:r>
        <w:t xml:space="preserve">Grid Energy Consumption: 15 kWh/unit * (1 - 0.70) = 4.5 kWh/unit</w:t>
      </w:r>
    </w:p>
    <w:p>
      <w:pPr>
        <w:numPr>
          <w:ilvl w:val="0"/>
          <w:numId w:val="1005"/>
        </w:numPr>
        <w:pStyle w:val="Compact"/>
      </w:pPr>
      <w:r>
        <w:t xml:space="preserve">Renewable Energy Consumption: 15 kWh/unit * 0.70 = 10.5 kWh/unit (Assumed 0 kgCO2e/kWh for certified renewables)</w:t>
      </w:r>
    </w:p>
    <w:p>
      <w:pPr>
        <w:numPr>
          <w:ilvl w:val="0"/>
          <w:numId w:val="1005"/>
        </w:numPr>
        <w:pStyle w:val="Compact"/>
      </w:pPr>
      <w:r>
        <w:t xml:space="preserve">China Grid Mix Emission Factor: 0.56 kgCO2e/kWh</w:t>
      </w:r>
    </w:p>
    <w:p>
      <w:pPr>
        <w:pStyle w:val="FirstParagraph"/>
      </w:pPr>
      <w:r>
        <w:rPr>
          <w:bCs/>
          <w:b/>
        </w:rPr>
        <w:t xml:space="preserve">Scope 2 Emissions (Purchased Electricity):</w:t>
      </w:r>
      <w:r>
        <w:t xml:space="preserve"> </w:t>
      </w:r>
      <w:r>
        <w:t xml:space="preserve">4.5 kWh/unit * 0.56 kgCO2e/kWh =</w:t>
      </w:r>
      <w:r>
        <w:t xml:space="preserve"> </w:t>
      </w:r>
      <w:r>
        <w:rPr>
          <w:bCs/>
          <w:b/>
        </w:rPr>
        <w:t xml:space="preserve">2.52 kg CO2e</w:t>
      </w:r>
      <w:r>
        <w:t xml:space="preserve">.</w:t>
      </w:r>
    </w:p>
    <w:p>
      <w:pPr>
        <w:pStyle w:val="BodyText"/>
      </w:pPr>
      <w:r>
        <w:rPr>
          <w:bCs/>
          <w:b/>
        </w:rPr>
        <w:t xml:space="preserve">Scope 1 Emissions (Direct Operations):</w:t>
      </w:r>
      <w:r>
        <w:t xml:space="preserve"> </w:t>
      </w:r>
      <w:r>
        <w:t xml:space="preserve">Assuming negligible direct on-site fuel combustion for the manufacturing of dfqxlnpqzk for the purpose of this PCF, unless specific data is provided. Thus,</w:t>
      </w:r>
      <w:r>
        <w:t xml:space="preserve"> </w:t>
      </w:r>
      <w:r>
        <w:rPr>
          <w:bCs/>
          <w:b/>
        </w:rPr>
        <w:t xml:space="preserve">0.00 kg CO2e</w:t>
      </w:r>
      <w:r>
        <w:t xml:space="preserve">.</w:t>
      </w:r>
    </w:p>
    <w:bookmarkEnd w:id="35"/>
    <w:bookmarkStart w:id="39" w:name="X1aba12e767cf943a5f815dc779ff8a22eed13a2"/>
    <w:p>
      <w:pPr>
        <w:pStyle w:val="Heading3"/>
      </w:pPr>
      <w:r>
        <w:t xml:space="preserve">4.3. Transportation &amp; Distribution (Scope 3, Category 4 &amp; 9)</w:t>
      </w:r>
    </w:p>
    <w:p>
      <w:pPr>
        <w:pStyle w:val="FirstParagraph"/>
      </w:pPr>
      <w:r>
        <w:t xml:space="preserve">This includes inbound transport of materials to the factory (upstream) and outbound transport of the finished product to the customer, including last-mile delivery (downstream).</w:t>
      </w:r>
    </w:p>
    <w:p>
      <w:pPr>
        <w:numPr>
          <w:ilvl w:val="0"/>
          <w:numId w:val="1006"/>
        </w:numPr>
        <w:pStyle w:val="Compact"/>
      </w:pPr>
      <w:r>
        <w:t xml:space="preserve">Product Weight: 1.75 kg = 0.00175 tonnes.</w:t>
      </w:r>
    </w:p>
    <w:p>
      <w:pPr>
        <w:numPr>
          <w:ilvl w:val="0"/>
          <w:numId w:val="1006"/>
        </w:numPr>
        <w:pStyle w:val="Compact"/>
      </w:pPr>
      <w:r>
        <w:t xml:space="preserve">Transport Distance (wuyvzzppzf): 1500 km.</w:t>
      </w:r>
    </w:p>
    <w:p>
      <w:pPr>
        <w:numPr>
          <w:ilvl w:val="0"/>
          <w:numId w:val="1006"/>
        </w:numPr>
        <w:pStyle w:val="Compact"/>
      </w:pPr>
      <w:r>
        <w:t xml:space="preserve">Transport Mode: Road Freight (Heavy Goods Vehicle).</w:t>
      </w:r>
    </w:p>
    <w:p>
      <w:pPr>
        <w:numPr>
          <w:ilvl w:val="0"/>
          <w:numId w:val="1006"/>
        </w:numPr>
        <w:pStyle w:val="Compact"/>
      </w:pPr>
      <w:r>
        <w:t xml:space="preserve">Last-Mile Delivery Distance (Illustrative): 50 km.</w:t>
      </w:r>
    </w:p>
    <w:p>
      <w:pPr>
        <w:numPr>
          <w:ilvl w:val="0"/>
          <w:numId w:val="1006"/>
        </w:numPr>
        <w:pStyle w:val="Compact"/>
      </w:pPr>
      <w:r>
        <w:t xml:space="preserve">Last-Mile Delivery Channel: Parcel Delivery Van.</w:t>
      </w:r>
    </w:p>
    <w:bookmarkStart w:id="36" w:name="inbound-transport-materials-to-factory"/>
    <w:p>
      <w:pPr>
        <w:pStyle w:val="Heading4"/>
      </w:pPr>
      <w:r>
        <w:t xml:space="preserve">4.3.1. Inbound Transport (Materials to Factory)</w:t>
      </w:r>
    </w:p>
    <w:p>
      <w:pPr>
        <w:pStyle w:val="FirstParagraph"/>
      </w:pPr>
      <w:r>
        <w:t xml:space="preserve">Emissions = Product Weight (tonnes) * Transport Distance (km) * Road Freight EF (kgCO2e/tkm)</w:t>
      </w:r>
      <w:r>
        <w:t xml:space="preserve"> </w:t>
      </w:r>
      <w:r>
        <w:t xml:space="preserve">= 0.00175 tonnes * 1500 km * 0.1 kgCO2e/tkm =</w:t>
      </w:r>
      <w:r>
        <w:t xml:space="preserve"> </w:t>
      </w:r>
      <w:r>
        <w:rPr>
          <w:bCs/>
          <w:b/>
        </w:rPr>
        <w:t xml:space="preserve">0.26 kg CO2e</w:t>
      </w:r>
      <w:r>
        <w:t xml:space="preserve">.</w:t>
      </w:r>
    </w:p>
    <w:bookmarkEnd w:id="36"/>
    <w:bookmarkStart w:id="37" w:name="X657d34a6f8ec17683176782beb28f8a067c616f"/>
    <w:p>
      <w:pPr>
        <w:pStyle w:val="Heading4"/>
      </w:pPr>
      <w:r>
        <w:t xml:space="preserve">4.3.2. Outbound Transport (Factory to Distribution Center/Customer)</w:t>
      </w:r>
    </w:p>
    <w:p>
      <w:pPr>
        <w:pStyle w:val="FirstParagraph"/>
      </w:pPr>
      <w:r>
        <w:t xml:space="preserve">Emissions = Product Weight (tonnes) * Transport Distance (km) * Road Freight EF (kgCO2e/tkm)</w:t>
      </w:r>
      <w:r>
        <w:t xml:space="preserve"> </w:t>
      </w:r>
      <w:r>
        <w:t xml:space="preserve">= 0.00175 tonnes * 1500 km * 0.1 kgCO2e/tkm =</w:t>
      </w:r>
      <w:r>
        <w:t xml:space="preserve"> </w:t>
      </w:r>
      <w:r>
        <w:rPr>
          <w:bCs/>
          <w:b/>
        </w:rPr>
        <w:t xml:space="preserve">0.26 kg CO2e</w:t>
      </w:r>
      <w:r>
        <w:t xml:space="preserve">.</w:t>
      </w:r>
    </w:p>
    <w:bookmarkEnd w:id="37"/>
    <w:bookmarkStart w:id="38" w:name="last-mile-delivery"/>
    <w:p>
      <w:pPr>
        <w:pStyle w:val="Heading4"/>
      </w:pPr>
      <w:r>
        <w:t xml:space="preserve">4.3.3. Last-Mile Delivery</w:t>
      </w:r>
    </w:p>
    <w:p>
      <w:pPr>
        <w:pStyle w:val="FirstParagraph"/>
      </w:pPr>
      <w:r>
        <w:t xml:space="preserve">Emissions = Product Weight (tonnes) * Last-Mile Distance (km) * Parcel Delivery Van EF (kgCO2e/tkm)</w:t>
      </w:r>
      <w:r>
        <w:t xml:space="preserve"> </w:t>
      </w:r>
      <w:r>
        <w:t xml:space="preserve">= 0.00175 tonnes * 50 km * 0.2 kgCO2e/tkm =</w:t>
      </w:r>
      <w:r>
        <w:t xml:space="preserve"> </w:t>
      </w:r>
      <w:r>
        <w:rPr>
          <w:bCs/>
          <w:b/>
        </w:rPr>
        <w:t xml:space="preserve">0.02 kg CO2e</w:t>
      </w:r>
      <w:r>
        <w:t xml:space="preserve">.</w:t>
      </w:r>
    </w:p>
    <w:p>
      <w:pPr>
        <w:pStyle w:val="BodyText"/>
      </w:pPr>
      <w:r>
        <w:rPr>
          <w:bCs/>
          <w:b/>
        </w:rPr>
        <w:t xml:space="preserve">Total Transport Emissions:</w:t>
      </w:r>
      <w:r>
        <w:t xml:space="preserve"> </w:t>
      </w:r>
      <w:r>
        <w:t xml:space="preserve">0.26 + 0.26 + 0.02 =</w:t>
      </w:r>
      <w:r>
        <w:t xml:space="preserve"> </w:t>
      </w:r>
      <w:r>
        <w:rPr>
          <w:bCs/>
          <w:b/>
        </w:rPr>
        <w:t xml:space="preserve">0.54 kg CO2e</w:t>
      </w:r>
      <w:r>
        <w:t xml:space="preserve">.</w:t>
      </w:r>
    </w:p>
    <w:bookmarkEnd w:id="38"/>
    <w:bookmarkEnd w:id="39"/>
    <w:bookmarkStart w:id="40" w:name="Xc8d47610e025d3b1fe367d676386ecee874efa3"/>
    <w:p>
      <w:pPr>
        <w:pStyle w:val="Heading3"/>
      </w:pPr>
      <w:r>
        <w:t xml:space="preserve">4.4. Use Phase (Scope 3, Category 11: Use of Sold Products)</w:t>
      </w:r>
    </w:p>
    <w:p>
      <w:pPr>
        <w:pStyle w:val="FirstParagraph"/>
      </w:pPr>
      <w:r>
        <w:t xml:space="preserve">This phase accounts for the energy consumed by the product during its operational lifespan.</w:t>
      </w:r>
    </w:p>
    <w:p>
      <w:pPr>
        <w:numPr>
          <w:ilvl w:val="0"/>
          <w:numId w:val="1007"/>
        </w:numPr>
        <w:pStyle w:val="Compact"/>
      </w:pPr>
      <w:r>
        <w:t xml:space="preserve">Product Lifespan (exfxmgmptl): 5 years.</w:t>
      </w:r>
    </w:p>
    <w:p>
      <w:pPr>
        <w:numPr>
          <w:ilvl w:val="0"/>
          <w:numId w:val="1007"/>
        </w:numPr>
        <w:pStyle w:val="Compact"/>
      </w:pPr>
      <w:r>
        <w:t xml:space="preserve">Energy Consumption in Use (vxpwykvxif): 10 kWh/year.</w:t>
      </w:r>
    </w:p>
    <w:p>
      <w:pPr>
        <w:numPr>
          <w:ilvl w:val="0"/>
          <w:numId w:val="1007"/>
        </w:numPr>
        <w:pStyle w:val="Compact"/>
      </w:pPr>
      <w:r>
        <w:t xml:space="preserve">Total Use Phase Energy: 10 kWh/year * 5 years = 50 kWh.</w:t>
      </w:r>
    </w:p>
    <w:p>
      <w:pPr>
        <w:numPr>
          <w:ilvl w:val="0"/>
          <w:numId w:val="1007"/>
        </w:numPr>
        <w:pStyle w:val="Compact"/>
      </w:pPr>
      <w:r>
        <w:t xml:space="preserve">Assumed User\'s Electricity Grid Mix (Europe Average): 0.25 kgCO2e/kWh.</w:t>
      </w:r>
    </w:p>
    <w:p>
      <w:pPr>
        <w:pStyle w:val="FirstParagraph"/>
      </w:pPr>
      <w:r>
        <w:rPr>
          <w:bCs/>
          <w:b/>
        </w:rPr>
        <w:t xml:space="preserve">Use Phase Emissions:</w:t>
      </w:r>
      <w:r>
        <w:t xml:space="preserve"> </w:t>
      </w:r>
      <w:r>
        <w:t xml:space="preserve">50 kWh * 0.25 kgCO2e/kWh =</w:t>
      </w:r>
      <w:r>
        <w:t xml:space="preserve"> </w:t>
      </w:r>
      <w:r>
        <w:rPr>
          <w:bCs/>
          <w:b/>
        </w:rPr>
        <w:t xml:space="preserve">12.50 kg CO2e</w:t>
      </w:r>
      <w:r>
        <w:t xml:space="preserve">.</w:t>
      </w:r>
    </w:p>
    <w:bookmarkEnd w:id="40"/>
    <w:bookmarkStart w:id="43" w:name="X65f813d24c0ff2e24bde4d8d9de683cc7ae7bcb"/>
    <w:p>
      <w:pPr>
        <w:pStyle w:val="Heading3"/>
      </w:pPr>
      <w:r>
        <w:t xml:space="preserve">4.5. End-of-Life (EoL) Treatment (Scope 3, Category 12: End-of-Life Treatment of Sold Products)</w:t>
      </w:r>
    </w:p>
    <w:p>
      <w:pPr>
        <w:pStyle w:val="FirstParagraph"/>
      </w:pPr>
      <w:r>
        <w:t xml:space="preserve">This stage considers emissions and potential avoided emissions (credits) from recycling and disposal.</w:t>
      </w:r>
    </w:p>
    <w:p>
      <w:pPr>
        <w:numPr>
          <w:ilvl w:val="0"/>
          <w:numId w:val="1008"/>
        </w:numPr>
        <w:pStyle w:val="Compact"/>
      </w:pPr>
      <w:r>
        <w:t xml:space="preserve">Recyclability Percentage (jfnsxwklsy): 85%.</w:t>
      </w:r>
    </w:p>
    <w:p>
      <w:pPr>
        <w:numPr>
          <w:ilvl w:val="0"/>
          <w:numId w:val="1008"/>
        </w:numPr>
        <w:pStyle w:val="Compact"/>
      </w:pPr>
      <w:r>
        <w:t xml:space="preserve">Non-Recycled Portion: 1 - 0.85 = 0.15 (15%).</w:t>
      </w:r>
    </w:p>
    <w:p>
      <w:pPr>
        <w:numPr>
          <w:ilvl w:val="0"/>
          <w:numId w:val="1008"/>
        </w:numPr>
        <w:pStyle w:val="Compact"/>
      </w:pPr>
      <w:r>
        <w:t xml:space="preserve">Product Weight: 1.75 kg.</w:t>
      </w:r>
    </w:p>
    <w:p>
      <w:pPr>
        <w:numPr>
          <w:ilvl w:val="0"/>
          <w:numId w:val="1008"/>
        </w:numPr>
        <w:pStyle w:val="Compact"/>
      </w:pPr>
      <w:r>
        <w:t xml:space="preserve">Circular/Take-back Programs (pfvnjdvdgg): Company offers a comprehensive take-back program for product recycling and refurbishment. This enhances the likelihood of achieving the stated recyclability.</w:t>
      </w:r>
    </w:p>
    <w:bookmarkStart w:id="41" w:name="X0bfa303feb9e2b06fe571ac901b74d9df691be2"/>
    <w:p>
      <w:pPr>
        <w:pStyle w:val="Heading4"/>
      </w:pPr>
      <w:r>
        <w:t xml:space="preserve">4.5.1. Emissions from Disposal of Non-Recycled Part</w:t>
      </w:r>
    </w:p>
    <w:p>
      <w:pPr>
        <w:pStyle w:val="FirstParagraph"/>
      </w:pPr>
      <w:r>
        <w:t xml:space="preserve">Emissions = Non-Recycled Portion * Product Weight (kg) * Landfill EF (kgCO2e/kg)</w:t>
      </w:r>
      <w:r>
        <w:t xml:space="preserve"> </w:t>
      </w:r>
      <w:r>
        <w:t xml:space="preserve">= 0.15 * 1.75 kg * 0.2 kgCO2e/kg =</w:t>
      </w:r>
      <w:r>
        <w:t xml:space="preserve"> </w:t>
      </w:r>
      <w:r>
        <w:rPr>
          <w:bCs/>
          <w:b/>
        </w:rPr>
        <w:t xml:space="preserve">0.05 kg CO2e</w:t>
      </w:r>
      <w:r>
        <w:t xml:space="preserve">.</w:t>
      </w:r>
    </w:p>
    <w:bookmarkEnd w:id="41"/>
    <w:bookmarkStart w:id="42" w:name="credits-from-recycling"/>
    <w:p>
      <w:pPr>
        <w:pStyle w:val="Heading4"/>
      </w:pPr>
      <w:r>
        <w:t xml:space="preserve">4.5.2. Credits from Recycling</w:t>
      </w:r>
    </w:p>
    <w:p>
      <w:pPr>
        <w:pStyle w:val="FirstParagraph"/>
      </w:pPr>
      <w:r>
        <w:t xml:space="preserve">Recycling credits are applied to the recyclable portion, representing avoided emissions from primary material production. We will apply average credits weighted by the material composition for the 85% recycled portion.</w:t>
      </w:r>
    </w:p>
    <w:p>
      <w:pPr>
        <w:numPr>
          <w:ilvl w:val="0"/>
          <w:numId w:val="1009"/>
        </w:numPr>
        <w:pStyle w:val="Compact"/>
      </w:pPr>
      <w:r>
        <w:t xml:space="preserve">Aluminium (0.5 kg): 0.5 kg * -7.0 kgCO2e/kg = -3.50 kgCO2e</w:t>
      </w:r>
    </w:p>
    <w:p>
      <w:pPr>
        <w:numPr>
          <w:ilvl w:val="0"/>
          <w:numId w:val="1009"/>
        </w:numPr>
        <w:pStyle w:val="Compact"/>
      </w:pPr>
      <w:r>
        <w:t xml:space="preserve">ABS Plastic (0.8 kg): 0.8 kg * -1.0 kgCO2e/kg = -0.80 kgCO2e</w:t>
      </w:r>
    </w:p>
    <w:p>
      <w:pPr>
        <w:numPr>
          <w:ilvl w:val="0"/>
          <w:numId w:val="1009"/>
        </w:numPr>
        <w:pStyle w:val="Compact"/>
      </w:pPr>
      <w:r>
        <w:t xml:space="preserve">PCB (0.1 kg): Due to complexity and variability, assume a conservative 0 credit for now. = 0.00 kgCO2e</w:t>
      </w:r>
    </w:p>
    <w:p>
      <w:pPr>
        <w:numPr>
          <w:ilvl w:val="0"/>
          <w:numId w:val="1009"/>
        </w:numPr>
        <w:pStyle w:val="Compact"/>
      </w:pPr>
      <w:r>
        <w:t xml:space="preserve">Copper (0.2 kg): 0.2 kg * -2.0 kgCO2e/kg = -0.40 kgCO2e</w:t>
      </w:r>
    </w:p>
    <w:p>
      <w:pPr>
        <w:numPr>
          <w:ilvl w:val="0"/>
          <w:numId w:val="1009"/>
        </w:numPr>
        <w:pStyle w:val="Compact"/>
      </w:pPr>
      <w:r>
        <w:t xml:space="preserve">Packaging (0.15 kg): 0.15 kg * -0.4 kgCO2e/kg = -0.06 kgCO2e</w:t>
      </w:r>
    </w:p>
    <w:p>
      <w:pPr>
        <w:pStyle w:val="FirstParagraph"/>
      </w:pPr>
      <w:r>
        <w:t xml:space="preserve">Total Potential Recycling Credits (for 100% recycling of components, then scaled by 85%):</w:t>
      </w:r>
      <w:r>
        <w:t xml:space="preserve"> </w:t>
      </w:r>
      <w:r>
        <w:t xml:space="preserve">(-3.50 - 0.80 + 0.00 - 0.40 - 0.06) = -4.76 kgCO2e for 100% of material if fully recycled.</w:t>
      </w:r>
      <w:r>
        <w:t xml:space="preserve"> </w:t>
      </w:r>
      <w:r>
        <w:t xml:space="preserve">Applying the 85% recyclability: -4.76 kgCO2e * 0.85 =</w:t>
      </w:r>
      <w:r>
        <w:t xml:space="preserve"> </w:t>
      </w:r>
      <w:r>
        <w:rPr>
          <w:bCs/>
          <w:b/>
        </w:rPr>
        <w:t xml:space="preserve">-4.05 kg CO2e</w:t>
      </w:r>
      <w:r>
        <w:t xml:space="preserve">.</w:t>
      </w:r>
    </w:p>
    <w:p>
      <w:pPr>
        <w:pStyle w:val="BodyText"/>
      </w:pPr>
      <w:r>
        <w:rPr>
          <w:bCs/>
          <w:b/>
        </w:rPr>
        <w:t xml:space="preserve">Total End-of-Life Emissions:</w:t>
      </w:r>
      <w:r>
        <w:t xml:space="preserve"> </w:t>
      </w:r>
      <w:r>
        <w:t xml:space="preserve">0.05 kgCO2e + (-4.05 kgCO2e) =</w:t>
      </w:r>
      <w:r>
        <w:t xml:space="preserve"> </w:t>
      </w:r>
      <w:r>
        <w:rPr>
          <w:bCs/>
          <w:b/>
        </w:rPr>
        <w:t xml:space="preserve">-4.00 kg CO2e</w:t>
      </w:r>
      <w:r>
        <w:t xml:space="preserve">.</w:t>
      </w:r>
      <w:r>
        <w:t xml:space="preserve"> </w:t>
      </w:r>
      <w:r>
        <w:t xml:space="preserve">(The negative value indicates a net carbon removal/avoidance due to recycling benefits exceeding disposal emissions).</w:t>
      </w:r>
    </w:p>
    <w:bookmarkEnd w:id="42"/>
    <w:bookmarkEnd w:id="43"/>
    <w:bookmarkStart w:id="44" w:name="summary-of-emissions-by-lifecycle-stage"/>
    <w:p>
      <w:pPr>
        <w:pStyle w:val="Heading3"/>
      </w:pPr>
      <w:r>
        <w:t xml:space="preserve">4.6. Summary of Emissions by Lifecycle Stage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Scope(s)</w:t>
            </w:r>
          </w:p>
        </w:tc>
        <w:tc>
          <w:tcPr/>
          <w:p>
            <w:pPr>
              <w:pStyle w:val="Compact"/>
              <w:jc w:val="left"/>
            </w:pPr>
            <w:r>
              <w:t xml:space="preserve">Emissions (kg CO2e)</w:t>
            </w:r>
          </w:p>
        </w:tc>
      </w:tr>
      <w:tr>
        <w:tc>
          <w:tcPr/>
          <w:p>
            <w:pPr>
              <w:pStyle w:val="Compact"/>
              <w:jc w:val="left"/>
            </w:pPr>
            <w:r>
              <w:t xml:space="preserve">1. Material Acquisition &amp; Pre-processing</w:t>
            </w:r>
          </w:p>
        </w:tc>
        <w:tc>
          <w:tcPr/>
          <w:p>
            <w:pPr>
              <w:pStyle w:val="Compact"/>
              <w:jc w:val="left"/>
            </w:pPr>
            <w:r>
              <w:t xml:space="preserve">Scope 3 (Category 1)</w:t>
            </w:r>
          </w:p>
        </w:tc>
        <w:tc>
          <w:tcPr/>
          <w:p>
            <w:pPr>
              <w:pStyle w:val="Compact"/>
              <w:jc w:val="left"/>
            </w:pPr>
            <w:r>
              <w:t xml:space="preserve">7.72</w:t>
            </w:r>
          </w:p>
        </w:tc>
      </w:tr>
      <w:tr>
        <w:tc>
          <w:tcPr/>
          <w:p>
            <w:pPr>
              <w:pStyle w:val="Compact"/>
              <w:jc w:val="left"/>
            </w:pPr>
            <w:r>
              <w:t xml:space="preserve">2. Manufacturing (Scope 1)</w:t>
            </w:r>
          </w:p>
        </w:tc>
        <w:tc>
          <w:tcPr/>
          <w:p>
            <w:pPr>
              <w:pStyle w:val="Compact"/>
              <w:jc w:val="left"/>
            </w:pPr>
            <w:r>
              <w:t xml:space="preserve">Scope 1</w:t>
            </w:r>
          </w:p>
        </w:tc>
        <w:tc>
          <w:tcPr/>
          <w:p>
            <w:pPr>
              <w:pStyle w:val="Compact"/>
              <w:jc w:val="left"/>
            </w:pPr>
            <w:r>
              <w:t xml:space="preserve">0.00</w:t>
            </w:r>
          </w:p>
        </w:tc>
      </w:tr>
      <w:tr>
        <w:tc>
          <w:tcPr/>
          <w:p>
            <w:pPr>
              <w:pStyle w:val="Compact"/>
              <w:jc w:val="left"/>
            </w:pPr>
            <w:r>
              <w:t xml:space="preserve">2. Manufacturing (Scope 2)</w:t>
            </w:r>
          </w:p>
        </w:tc>
        <w:tc>
          <w:tcPr/>
          <w:p>
            <w:pPr>
              <w:pStyle w:val="Compact"/>
              <w:jc w:val="left"/>
            </w:pPr>
            <w:r>
              <w:t xml:space="preserve">Scope 2</w:t>
            </w:r>
          </w:p>
        </w:tc>
        <w:tc>
          <w:tcPr/>
          <w:p>
            <w:pPr>
              <w:pStyle w:val="Compact"/>
              <w:jc w:val="left"/>
            </w:pPr>
            <w:r>
              <w:t xml:space="preserve">2.52</w:t>
            </w:r>
          </w:p>
        </w:tc>
      </w:tr>
      <w:tr>
        <w:tc>
          <w:tcPr/>
          <w:p>
            <w:pPr>
              <w:pStyle w:val="Compact"/>
              <w:jc w:val="left"/>
            </w:pPr>
            <w:r>
              <w:t xml:space="preserve">3. Transportation &amp; Distribution</w:t>
            </w:r>
          </w:p>
        </w:tc>
        <w:tc>
          <w:tcPr/>
          <w:p>
            <w:pPr>
              <w:pStyle w:val="Compact"/>
              <w:jc w:val="left"/>
            </w:pPr>
            <w:r>
              <w:t xml:space="preserve">Scope 3 (Categories 4, 9)</w:t>
            </w:r>
          </w:p>
        </w:tc>
        <w:tc>
          <w:tcPr/>
          <w:p>
            <w:pPr>
              <w:pStyle w:val="Compact"/>
              <w:jc w:val="left"/>
            </w:pPr>
            <w:r>
              <w:t xml:space="preserve">0.54</w:t>
            </w:r>
          </w:p>
        </w:tc>
      </w:tr>
      <w:tr>
        <w:tc>
          <w:tcPr/>
          <w:p>
            <w:pPr>
              <w:pStyle w:val="Compact"/>
              <w:jc w:val="left"/>
            </w:pPr>
            <w:r>
              <w:t xml:space="preserve">4. Use Phase</w:t>
            </w:r>
          </w:p>
        </w:tc>
        <w:tc>
          <w:tcPr/>
          <w:p>
            <w:pPr>
              <w:pStyle w:val="Compact"/>
              <w:jc w:val="left"/>
            </w:pPr>
            <w:r>
              <w:t xml:space="preserve">Scope 3 (Category 11)</w:t>
            </w:r>
          </w:p>
        </w:tc>
        <w:tc>
          <w:tcPr/>
          <w:p>
            <w:pPr>
              <w:pStyle w:val="Compact"/>
              <w:jc w:val="left"/>
            </w:pPr>
            <w:r>
              <w:t xml:space="preserve">12.50</w:t>
            </w:r>
          </w:p>
        </w:tc>
      </w:tr>
      <w:tr>
        <w:tc>
          <w:tcPr/>
          <w:p>
            <w:pPr>
              <w:pStyle w:val="Compact"/>
              <w:jc w:val="left"/>
            </w:pPr>
            <w:r>
              <w:t xml:space="preserve">5. End-of-Life Treatment</w:t>
            </w:r>
          </w:p>
        </w:tc>
        <w:tc>
          <w:tcPr/>
          <w:p>
            <w:pPr>
              <w:pStyle w:val="Compact"/>
              <w:jc w:val="left"/>
            </w:pPr>
            <w:r>
              <w:t xml:space="preserve">Scope 3 (Category 12)</w:t>
            </w:r>
          </w:p>
        </w:tc>
        <w:tc>
          <w:tcPr/>
          <w:p>
            <w:pPr>
              <w:pStyle w:val="Compact"/>
              <w:jc w:val="left"/>
            </w:pPr>
            <w:r>
              <w:t xml:space="preserve">-4.00</w:t>
            </w:r>
          </w:p>
        </w:tc>
      </w:tr>
    </w:tbl>
    <w:p>
      <w:pPr>
        <w:pStyle w:val="BodyText"/>
      </w:pPr>
      <w:r>
        <w:rPr>
          <w:bCs/>
          <w:b/>
        </w:rPr>
        <w:t xml:space="preserve">Total Product Carbon Footprint (Cradle-to-Grave):</w:t>
      </w:r>
      <w:r>
        <w:t xml:space="preserve"> </w:t>
      </w:r>
      <w:r>
        <w:t xml:space="preserve">7.72 + 0.00 + 2.52 + 0.54 + 12.50 - 4.00 =</w:t>
      </w:r>
      <w:r>
        <w:t xml:space="preserve"> </w:t>
      </w:r>
      <w:r>
        <w:rPr>
          <w:bCs/>
          <w:b/>
        </w:rPr>
        <w:t xml:space="preserve">19.28 kg CO2e per unit of dfqxlnpqzk</w:t>
      </w:r>
      <w:r>
        <w:t xml:space="preserve">.</w:t>
      </w:r>
    </w:p>
    <w:bookmarkEnd w:id="44"/>
    <w:bookmarkEnd w:id="45"/>
    <w:p>
      <w:r>
        <w:pict>
          <v:rect style="width:0;height:1.5pt" o:hralign="center" o:hrstd="t" o:hr="t"/>
        </w:pict>
      </w:r>
    </w:p>
    <w:bookmarkStart w:id="48" w:name="review-reporting"/>
    <w:p>
      <w:pPr>
        <w:pStyle w:val="Heading2"/>
      </w:pPr>
      <w:r>
        <w:t xml:space="preserve">5. Review &amp; Reporting</w:t>
      </w:r>
    </w:p>
    <w:bookmarkStart w:id="46" w:name="hotspot-analysis"/>
    <w:p>
      <w:pPr>
        <w:pStyle w:val="Heading3"/>
      </w:pPr>
      <w:r>
        <w:t xml:space="preserve">5.1. Hotspot Analysis</w:t>
      </w:r>
    </w:p>
    <w:p>
      <w:pPr>
        <w:pStyle w:val="FirstParagraph"/>
      </w:pPr>
      <w:r>
        <w:t xml:space="preserve">The primary emission hotspots for</w:t>
      </w:r>
      <w:r>
        <w:t xml:space="preserve"> </w:t>
      </w:r>
      <w:r>
        <w:rPr>
          <w:bCs/>
          <w:b/>
        </w:rPr>
        <w:t xml:space="preserve">dfqxlnpqzk</w:t>
      </w:r>
      <w:r>
        <w:t xml:space="preserve"> </w:t>
      </w:r>
      <w:r>
        <w:t xml:space="preserve">are:</w:t>
      </w:r>
    </w:p>
    <w:p>
      <w:pPr>
        <w:numPr>
          <w:ilvl w:val="0"/>
          <w:numId w:val="1010"/>
        </w:numPr>
        <w:pStyle w:val="Compact"/>
      </w:pPr>
      <w:r>
        <w:rPr>
          <w:bCs/>
          <w:b/>
        </w:rPr>
        <w:t xml:space="preserve">Use Phase (12.50 kg CO2e):</w:t>
      </w:r>
      <w:r>
        <w:t xml:space="preserve"> </w:t>
      </w:r>
      <w:r>
        <w:t xml:space="preserve">This is the most significant contributor to the overall PCF, primarily due to the product\'s energy consumption over its 5-year lifespan. This highlights the importance of improving energy efficiency during the use phase.</w:t>
      </w:r>
    </w:p>
    <w:p>
      <w:pPr>
        <w:numPr>
          <w:ilvl w:val="0"/>
          <w:numId w:val="1010"/>
        </w:numPr>
        <w:pStyle w:val="Compact"/>
      </w:pPr>
      <w:r>
        <w:rPr>
          <w:bCs/>
          <w:b/>
        </w:rPr>
        <w:t xml:space="preserve">Material Acquisition &amp; Pre-processing (7.72 kg CO2e):</w:t>
      </w:r>
      <w:r>
        <w:t xml:space="preserve"> </w:t>
      </w:r>
      <w:r>
        <w:t xml:space="preserve">The production of raw materials, particularly aluminium and PCBs, contributes substantially to the upstream footprint. Material selection, recycled content, and supplier engagement are critical areas for reduction.</w:t>
      </w:r>
    </w:p>
    <w:p>
      <w:pPr>
        <w:numPr>
          <w:ilvl w:val="0"/>
          <w:numId w:val="1010"/>
        </w:numPr>
        <w:pStyle w:val="Compact"/>
      </w:pPr>
      <w:r>
        <w:rPr>
          <w:bCs/>
          <w:b/>
        </w:rPr>
        <w:t xml:space="preserve">Manufacturing (2.52 kg CO2e - Scope 2):</w:t>
      </w:r>
      <w:r>
        <w:t xml:space="preserve"> </w:t>
      </w:r>
      <w:r>
        <w:t xml:space="preserve">While 70% renewable energy is used, the remaining grid electricity from China\'s relatively carbon-intensive grid still contributes a notable portion. Further increasing renewable energy penetration or sourcing from lower-carbon grids could reduce this.</w:t>
      </w:r>
    </w:p>
    <w:p>
      <w:pPr>
        <w:numPr>
          <w:ilvl w:val="0"/>
          <w:numId w:val="1010"/>
        </w:numPr>
        <w:pStyle w:val="Compact"/>
      </w:pPr>
      <w:r>
        <w:rPr>
          <w:bCs/>
          <w:b/>
        </w:rPr>
        <w:t xml:space="preserve">End-of-Life (-4.00 kg CO2e):</w:t>
      </w:r>
      <w:r>
        <w:t xml:space="preserve"> </w:t>
      </w:r>
      <w:r>
        <w:t xml:space="preserve">The strong recyclability and circular programs result in significant avoided emissions, demonstrating a positive impact from circular economy principles.</w:t>
      </w:r>
    </w:p>
    <w:bookmarkEnd w:id="46"/>
    <w:bookmarkStart w:id="47" w:name="reliability-and-ghg-protocol-compliance"/>
    <w:p>
      <w:pPr>
        <w:pStyle w:val="Heading3"/>
      </w:pPr>
      <w:r>
        <w:t xml:space="preserve">5.2. Reliability and GHG Protocol Compliance</w:t>
      </w:r>
    </w:p>
    <w:p>
      <w:pPr>
        <w:pStyle w:val="FirstParagraph"/>
      </w:pPr>
      <w:r>
        <w:t xml:space="preserve">This report adheres to the GHG Protocol\'s principles of relevance, completeness, consistency, transparency, and accuracy.</w:t>
      </w:r>
    </w:p>
    <w:p>
      <w:pPr>
        <w:numPr>
          <w:ilvl w:val="0"/>
          <w:numId w:val="1011"/>
        </w:numPr>
        <w:pStyle w:val="Compact"/>
      </w:pPr>
      <w:r>
        <w:rPr>
          <w:bCs/>
          <w:b/>
        </w:rPr>
        <w:t xml:space="preserve">Accounting Standard:</w:t>
      </w:r>
      <w:r>
        <w:t xml:space="preserve"> </w:t>
      </w:r>
      <w:r>
        <w:t xml:space="preserve">The analysis explicitly follows the GHG Protocol standards.</w:t>
      </w:r>
    </w:p>
    <w:p>
      <w:pPr>
        <w:numPr>
          <w:ilvl w:val="0"/>
          <w:numId w:val="1011"/>
        </w:numPr>
        <w:pStyle w:val="Compact"/>
      </w:pPr>
      <w:r>
        <w:rPr>
          <w:bCs/>
          <w:b/>
        </w:rPr>
        <w:t xml:space="preserve">2026 LSR Update:</w:t>
      </w:r>
      <w:r>
        <w:t xml:space="preserve"> </w:t>
      </w:r>
      <w:r>
        <w:t xml:space="preserve">The Land Sector and Removals (LSR) Standard, published January 30, 2026, and effective January 1, 2027, has been considered. While dfqxlnpqzk does not directly involve land management activities in its use, potential upstream biogenic carbon in materials (e.g., wood-based products) and any carbon removal activities undertaken by xdwtwojuft will be accounted for according to the LSR Standard\'s principles, as its guidance for implementation is forthcoming in Q2 2026. Forest carbon accounting is not included in the current LSR Standard.</w:t>
      </w:r>
    </w:p>
    <w:p>
      <w:pPr>
        <w:numPr>
          <w:ilvl w:val="0"/>
          <w:numId w:val="1011"/>
        </w:numPr>
        <w:pStyle w:val="Compact"/>
      </w:pPr>
      <w:r>
        <w:rPr>
          <w:bCs/>
          <w:b/>
        </w:rPr>
        <w:t xml:space="preserve">Scope 3 Compliance:</w:t>
      </w:r>
      <w:r>
        <w:t xml:space="preserve"> </w:t>
      </w:r>
      <w:r>
        <w:t xml:space="preserve">The analysis aims for at least 95% coverage for Scope 3 emissions, as mandated by the 2026 GHG Protocol revisions. All major upstream and downstream categories relevant to dfqxlnpqzk have been included. Data disaggregation by source type (primary for BOM \'Total Carbon\' and secondary for emission factors) has been applied.</w:t>
      </w:r>
    </w:p>
    <w:p>
      <w:pPr>
        <w:pStyle w:val="FirstParagraph"/>
      </w:pPr>
      <w:r>
        <w:t xml:space="preserve">The use of detailed BOM data (dffdejik) for material impact calculations and specific logistics and energy data enhances the accuracy and reliability of the primary data points. Secondary emission factors from industry-standard databases ensure a robust and verifiable assessment where primary data was unavailable.</w:t>
      </w:r>
    </w:p>
    <w:bookmarkEnd w:id="47"/>
    <w:bookmarkEnd w:id="48"/>
    <w:p>
      <w:r>
        <w:pict>
          <v:rect style="width:0;height:1.5pt" o:hralign="center" o:hrstd="t" o:hr="t"/>
        </w:pict>
      </w:r>
    </w:p>
    <w:bookmarkStart w:id="49" w:name="recommendations"/>
    <w:p>
      <w:pPr>
        <w:pStyle w:val="Heading2"/>
      </w:pPr>
      <w:r>
        <w:t xml:space="preserve">Recommendations</w:t>
      </w:r>
    </w:p>
    <w:p>
      <w:pPr>
        <w:pStyle w:val="FirstParagraph"/>
      </w:pPr>
      <w:r>
        <w:t xml:space="preserve">Based on this PCF analysis, the following recommendations are provided to xdwtwojuft for reducing the carbon footprint of dfqxlnpqzk:</w:t>
      </w:r>
    </w:p>
    <w:p>
      <w:pPr>
        <w:numPr>
          <w:ilvl w:val="0"/>
          <w:numId w:val="1012"/>
        </w:numPr>
        <w:pStyle w:val="Compact"/>
      </w:pPr>
      <w:r>
        <w:rPr>
          <w:bCs/>
          <w:b/>
        </w:rPr>
        <w:t xml:space="preserve">Energy Efficiency in Use Phase:</w:t>
      </w:r>
      <w:r>
        <w:t xml:space="preserve"> </w:t>
      </w:r>
      <w:r>
        <w:t xml:space="preserve">Invest in R&amp;D to significantly improve the energy efficiency of dfqxlnpqzk during its operational lifespan. This is the largest hotspot and offers the greatest potential for reduction.</w:t>
      </w:r>
    </w:p>
    <w:p>
      <w:pPr>
        <w:numPr>
          <w:ilvl w:val="0"/>
          <w:numId w:val="1012"/>
        </w:numPr>
        <w:pStyle w:val="Compact"/>
      </w:pPr>
      <w:r>
        <w:rPr>
          <w:bCs/>
          <w:b/>
        </w:rPr>
        <w:t xml:space="preserve">Sustainable Material Sourcing:</w:t>
      </w:r>
      <w:r>
        <w:t xml:space="preserve"> </w:t>
      </w:r>
      <w:r>
        <w:t xml:space="preserve">Explore opportunities to increase the recycled content of aluminium and plastics, and investigate lower-carbon alternatives for Printed Circuit Boards. Engage with suppliers to obtain primary, site-specific emission data (moving from secondary to primary data for Scope 3 categories, as encouraged by 2026 GHG Protocol updates).</w:t>
      </w:r>
    </w:p>
    <w:p>
      <w:pPr>
        <w:numPr>
          <w:ilvl w:val="0"/>
          <w:numId w:val="1012"/>
        </w:numPr>
        <w:pStyle w:val="Compact"/>
      </w:pPr>
      <w:r>
        <w:rPr>
          <w:bCs/>
          <w:b/>
        </w:rPr>
        <w:t xml:space="preserve">Renewable Energy Expansion:</w:t>
      </w:r>
      <w:r>
        <w:t xml:space="preserve"> </w:t>
      </w:r>
      <w:r>
        <w:t xml:space="preserve">Continue to increase renewable energy usage in manufacturing facilities, aiming for 100% renewable energy procurement or generation, especially in regions with carbon-intensive grids like China.</w:t>
      </w:r>
    </w:p>
    <w:p>
      <w:pPr>
        <w:numPr>
          <w:ilvl w:val="0"/>
          <w:numId w:val="1012"/>
        </w:numPr>
        <w:pStyle w:val="Compact"/>
      </w:pPr>
      <w:r>
        <w:rPr>
          <w:bCs/>
          <w:b/>
        </w:rPr>
        <w:t xml:space="preserve">Optimized Logistics:</w:t>
      </w:r>
      <w:r>
        <w:t xml:space="preserve"> </w:t>
      </w:r>
      <w:r>
        <w:t xml:space="preserve">Further optimize transport routes, modes, and load factors. Consider switching to lower-emission freight options where feasible, and explore local sourcing of materials where it reduces overall transport emissions.</w:t>
      </w:r>
    </w:p>
    <w:p>
      <w:pPr>
        <w:numPr>
          <w:ilvl w:val="0"/>
          <w:numId w:val="1012"/>
        </w:numPr>
        <w:pStyle w:val="Compact"/>
      </w:pPr>
      <w:r>
        <w:rPr>
          <w:bCs/>
          <w:b/>
        </w:rPr>
        <w:t xml:space="preserve">Strengthen Circularity:</w:t>
      </w:r>
      <w:r>
        <w:t xml:space="preserve"> </w:t>
      </w:r>
      <w:r>
        <w:t xml:space="preserve">Continue to invest in and promote take-back and recycling programs, ensuring high rates of material recovery and maximizing recycling credits.</w:t>
      </w:r>
    </w:p>
    <w:bookmarkEnd w:id="49"/>
    <w:p>
      <w:pPr>
        <w:pStyle w:val="FirstParagraph"/>
      </w:pPr>
      <w:r>
        <w:t xml:space="preserve">Confidential - Internal Use Only |</w:t>
      </w:r>
      <w:r>
        <w:t xml:space="preserve"> </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dfqxlnpqzk</dc:title>
  <dc:creator/>
  <dc:description>High-detail Product Carbon Footprint (PCF) analysis for dfqxlnpqzk, adhering to GHG Protocol standards and 2026 updates, performed by Senior Sustainability Consultant ooesofkgoj for xdwtwojuft.</dc:description>
  <dc:language>en</dc:language>
  <cp:keywords/>
  <dcterms:created xsi:type="dcterms:W3CDTF">2026-05-30T20:15:54Z</dcterms:created>
  <dcterms:modified xsi:type="dcterms:W3CDTF">2026-05-30T20:15:54Z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