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dflgrpwrrd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dflgrpwrrd</w:t>
      </w:r>
    </w:p>
    <w:p>
      <w:pPr>
        <w:pStyle w:val="BodyText"/>
      </w:pPr>
      <w:r>
        <w:rPr>
          <w:bCs/>
          <w:b/>
        </w:rPr>
        <w:t xml:space="preserve">Name of the Company:</w:t>
      </w:r>
      <w:r>
        <w:t xml:space="preserve"> </w:t>
      </w:r>
      <w:r>
        <w:t xml:space="preserve">hursowwqfi</w:t>
      </w:r>
    </w:p>
    <w:p>
      <w:pPr>
        <w:pStyle w:val="BodyText"/>
      </w:pPr>
      <w:r>
        <w:rPr>
          <w:bCs/>
          <w:b/>
        </w:rPr>
        <w:t xml:space="preserve">Senior Sustainability Consultant:</w:t>
      </w:r>
      <w:r>
        <w:t xml:space="preserve"> </w:t>
      </w:r>
      <w:r>
        <w:t xml:space="preserve">fyzwqdzoih</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estimates and assumptions are inherent in carbon footprinting. This analysis serves as an informative tool for sustainability assessment.</w:t>
      </w:r>
    </w:p>
    <w:bookmarkEnd w:id="20"/>
    <w:bookmarkStart w:id="22" w:name="product-carbon-footprint-report"/>
    <w:p>
      <w:pPr>
        <w:pStyle w:val="Heading1"/>
      </w:pPr>
      <w:r>
        <w:t xml:space="preserve">Product Carbon Footprint Report</w:t>
      </w:r>
    </w:p>
    <w:bookmarkStart w:id="21" w:name="for-dflgrpwrrd"/>
    <w:p>
      <w:pPr>
        <w:pStyle w:val="Heading2"/>
      </w:pPr>
      <w:r>
        <w:t xml:space="preserve">for dflgrpwrrd</w:t>
      </w:r>
    </w:p>
    <w:p>
      <w:pPr>
        <w:pStyle w:val="FirstParagraph"/>
      </w:pPr>
      <w:r>
        <w:t xml:space="preserve">Generated Date: May 18, 2026</w:t>
      </w:r>
    </w:p>
    <w:bookmarkEnd w:id="21"/>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dflgrpwrrd</w:t>
      </w:r>
      <w:r>
        <w:t xml:space="preserve">, manufactured by</w:t>
      </w:r>
      <w:r>
        <w:t xml:space="preserve"> </w:t>
      </w:r>
      <w:r>
        <w:rPr>
          <w:bCs/>
          <w:b/>
        </w:rPr>
        <w:t xml:space="preserve">hursowwqfi</w:t>
      </w:r>
      <w:r>
        <w:t xml:space="preserve">. The analysis, conducted by Senior Sustainability Consultant</w:t>
      </w:r>
      <w:r>
        <w:t xml:space="preserve"> </w:t>
      </w:r>
      <w:r>
        <w:rPr>
          <w:bCs/>
          <w:b/>
        </w:rPr>
        <w:t xml:space="preserve">fyzwqdzoih</w:t>
      </w:r>
      <w:r>
        <w:t xml:space="preserve">, strictly adheres to the</w:t>
      </w:r>
      <w:r>
        <w:t xml:space="preserve"> </w:t>
      </w:r>
      <w:r>
        <w:rPr>
          <w:bCs/>
          <w:b/>
        </w:rPr>
        <w:t xml:space="preserve">GHG Protocol</w:t>
      </w:r>
      <w:r>
        <w:t xml:space="preserve"> </w:t>
      </w:r>
      <w:r>
        <w:t xml:space="preserve">accounting standard, incorporating the latest 2026 Land Sector and Removals (LSR) Standard updates and targeting over 95% Scope 3 coverage. The primary goal is to quantify greenhouse gas (GHG) emissions associated with the product\'s lifecycle from the factory gate, through its use phase, to its end-of-life, identifying key hotspots and opportunities for reduction.</w:t>
      </w:r>
    </w:p>
    <w:p>
      <w:r>
        <w:pict>
          <v:rect style="width:0;height:1.5pt" o:hralign="center" o:hrstd="t" o:hr="t"/>
        </w:pict>
      </w:r>
    </w:p>
    <w:bookmarkEnd w:id="23"/>
    <w:bookmarkStart w:id="24" w:name="defining-the-scope"/>
    <w:p>
      <w:pPr>
        <w:pStyle w:val="Heading2"/>
      </w:pPr>
      <w:r>
        <w:t xml:space="preserve">1. Defining the Scope</w:t>
      </w:r>
    </w:p>
    <w:p>
      <w:pPr>
        <w:pStyle w:val="FirstParagraph"/>
      </w:pPr>
      <w:r>
        <w:t xml:space="preserve">The foundation of this Product Carbon Footprint (PCF) analysis is a clearly defined scope, ensuring consistency and comparability of results. This analysis is performed in accordance with the</w:t>
      </w:r>
      <w:r>
        <w:t xml:space="preserve"> </w:t>
      </w:r>
      <w:r>
        <w:rPr>
          <w:bCs/>
          <w:b/>
        </w:rPr>
        <w:t xml:space="preserve">GHG Protocol</w:t>
      </w:r>
      <w:r>
        <w:t xml:space="preserve">,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Functional Unit:</w:t>
      </w:r>
      <w:r>
        <w:t xml:space="preserve"> </w:t>
      </w:r>
      <w:r>
        <w:t xml:space="preserve">1.0 unit of dflgrpwrrd. This unit serves as the basis for all emission calculations, allowing for direct comparison and scaling.</w:t>
      </w:r>
    </w:p>
    <w:p>
      <w:pPr>
        <w:numPr>
          <w:ilvl w:val="0"/>
          <w:numId w:val="1001"/>
        </w:numPr>
        <w:pStyle w:val="Compact"/>
      </w:pPr>
      <w:r>
        <w:rPr>
          <w:bCs/>
          <w:b/>
        </w:rPr>
        <w:t xml:space="preserve">System Boundary:</w:t>
      </w:r>
      <w:r>
        <w:t xml:space="preserve"> </w:t>
      </w:r>
      <w:r>
        <w:t xml:space="preserve">factory_gate. This boundary encompasses all processes up to the point the finished product leaves the manufacturing facility. This includes raw material extraction, processing, component manufacturing, and all production activities at the final assembly plant. Upstream transport of materials to the factory is implicitly included within the Bill of Materials \'Total Carbon\' values where applicable, or explicitly calculated for major components if data allows. Downstream stages (distribution, use, end-of-life) are also included in the overall lifecycle assessment.</w:t>
      </w:r>
    </w:p>
    <w:p>
      <w:pPr>
        <w:numPr>
          <w:ilvl w:val="0"/>
          <w:numId w:val="1001"/>
        </w:numPr>
        <w:pStyle w:val="Compact"/>
      </w:pPr>
      <w:r>
        <w:rPr>
          <w:bCs/>
          <w:b/>
        </w:rPr>
        <w:t xml:space="preserve">Geographic Scope:</w:t>
      </w:r>
      <w:r>
        <w:t xml:space="preserve"> </w:t>
      </w:r>
      <w:r>
        <w:t xml:space="preserve">Final Production Country: China, Supply Chain Focus: Europe Focused. This specifies that the primary manufacturing operations are in China, with the product intended for distribution and use primarily within Europe. This informs the selection of regional electricity grids and transportation routes.</w:t>
      </w:r>
    </w:p>
    <w:p>
      <w:pPr>
        <w:numPr>
          <w:ilvl w:val="0"/>
          <w:numId w:val="1001"/>
        </w:numPr>
        <w:pStyle w:val="Compact"/>
      </w:pPr>
      <w:r>
        <w:rPr>
          <w:bCs/>
          <w:b/>
        </w:rPr>
        <w:t xml:space="preserve">Allocation:</w:t>
      </w:r>
      <w:r>
        <w:t xml:space="preserve"> </w:t>
      </w:r>
      <w:r>
        <w:t xml:space="preserve">For this single product PCF, all identified emissions are directly attributed to the functional unit (1.0 unit of dflgrpwrrd). No co-product or by-product allocation complexities are present in this analysis.</w:t>
      </w:r>
    </w:p>
    <w:p>
      <w:pPr>
        <w:numPr>
          <w:ilvl w:val="0"/>
          <w:numId w:val="1001"/>
        </w:numPr>
        <w:pStyle w:val="Compact"/>
      </w:pPr>
      <w:r>
        <w:rPr>
          <w:bCs/>
          <w:b/>
        </w:rPr>
        <w:t xml:space="preserve">GHG Protocol Adherence:</w:t>
      </w:r>
      <w:r>
        <w:t xml:space="preserve"> </w:t>
      </w:r>
      <w:r>
        <w:t xml:space="preserve">Emissions are meticulously categorized according to the GHG Protocol\'s Scope 1, Scope 2, and Scope 3 classifications. Special attention is given to ensuring at least 95% coverage for Scope 3 reporting, in line with 2026 requirements, reflecting the significant impact of the value chain.</w:t>
      </w:r>
    </w:p>
    <w:p>
      <w:pPr>
        <w:numPr>
          <w:ilvl w:val="0"/>
          <w:numId w:val="1001"/>
        </w:numPr>
        <w:pStyle w:val="Compact"/>
      </w:pPr>
      <w:r>
        <w:rPr>
          <w:bCs/>
          <w:b/>
        </w:rPr>
        <w:t xml:space="preserve">2026 LSR Update:</w:t>
      </w:r>
      <w:r>
        <w:t xml:space="preserve"> </w:t>
      </w:r>
      <w:r>
        <w:t xml:space="preserve">The Land Sector and Removals (LSR) Standard is acknowledged. For this manufactured product, direct land-use change and significant carbon removals are not typically dominant factors. However, any embedded land-use emissions in bio-based materials (if present, derived from BOM data) or potential carbon removal aspects in end-of-life scenarios (e.g., through bioenergy with carbon capture, if applicable) would be considered. Based on the provided BOM, no significant direct LSR impacts are identified for dflgrpwrrd.</w:t>
      </w:r>
    </w:p>
    <w:p>
      <w:r>
        <w:pict>
          <v:rect style="width:0;height:1.5pt" o:hralign="center" o:hrstd="t" o:hr="t"/>
        </w:pict>
      </w:r>
    </w:p>
    <w:bookmarkEnd w:id="24"/>
    <w:bookmarkStart w:id="31" w:name="mapping-the-lifecycle-3.-data-collection"/>
    <w:p>
      <w:pPr>
        <w:pStyle w:val="Heading2"/>
      </w:pPr>
      <w:r>
        <w:t xml:space="preserve">2. Mapping the Lifecycle &amp; 3. Data Collection</w:t>
      </w:r>
    </w:p>
    <w:p>
      <w:pPr>
        <w:pStyle w:val="FirstParagraph"/>
      </w:pPr>
      <w:r>
        <w:t xml:space="preserve">This section details the lifecycle stages and the primary and secondary data points collected for the PCF analysis. Key inputs include a high-detail Bill of Materials, production energy data, logistics information, and end-of-life scenarios.</w:t>
      </w:r>
    </w:p>
    <w:bookmarkStart w:id="26" w:name="material-inputs-bill-of-materials---bom"/>
    <w:p>
      <w:pPr>
        <w:pStyle w:val="Heading3"/>
      </w:pPr>
      <w:r>
        <w:t xml:space="preserve">2.1. Material Inputs (Bill of Materials - BOM)</w:t>
      </w:r>
    </w:p>
    <w:p>
      <w:pPr>
        <w:pStyle w:val="FirstParagraph"/>
      </w:pPr>
      <w:r>
        <w:t xml:space="preserve">The detailed Bill of Materials (BOM) for dflgrpwrrd, specified as \'yfsnsyph\', forms the backbone of the upstream emissions calculation. The \'Total Carbon\' values provided in the BOM are directly utilized for material impact, reflecting embedded emissions from raw material extraction, processing, and component manufacturing.</w:t>
      </w:r>
    </w:p>
    <w:bookmarkStart w:id="25" w:name="bom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4</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bl>
    <w:bookmarkEnd w:id="25"/>
    <w:bookmarkEnd w:id="26"/>
    <w:bookmarkStart w:id="27" w:name="production-phase-inputs"/>
    <w:p>
      <w:pPr>
        <w:pStyle w:val="Heading3"/>
      </w:pPr>
      <w:r>
        <w:t xml:space="preserve">2.2. Production Phase Inputs</w:t>
      </w:r>
    </w:p>
    <w:p>
      <w:pPr>
        <w:pStyle w:val="FirstParagraph"/>
      </w:pPr>
      <w:r>
        <w:t xml:space="preserve">The production of dflgrpwrrd occurs in China. The energy profile for the manufacturing facility of hursowwqfi is detailed below:</w:t>
      </w:r>
    </w:p>
    <w:p>
      <w:pPr>
        <w:numPr>
          <w:ilvl w:val="0"/>
          <w:numId w:val="1002"/>
        </w:numPr>
        <w:pStyle w:val="Compact"/>
      </w:pPr>
      <w:r>
        <w:rPr>
          <w:bCs/>
          <w:b/>
        </w:rPr>
        <w:t xml:space="preserve">Energy Intensity (kWh/unit):</w:t>
      </w:r>
      <w:r>
        <w:t xml:space="preserve"> </w:t>
      </w:r>
      <w:r>
        <w:t xml:space="preserve">wiquljoozj (15 kWh/unit)</w:t>
      </w:r>
    </w:p>
    <w:p>
      <w:pPr>
        <w:numPr>
          <w:ilvl w:val="0"/>
          <w:numId w:val="1002"/>
        </w:numPr>
        <w:pStyle w:val="Compact"/>
      </w:pPr>
      <w:r>
        <w:rPr>
          <w:bCs/>
          <w:b/>
        </w:rPr>
        <w:t xml:space="preserve">Renewable Energy Usage:</w:t>
      </w:r>
      <w:r>
        <w:t xml:space="preserve"> </w:t>
      </w:r>
      <w:r>
        <w:t xml:space="preserve">thqxozlgox (40%)</w:t>
      </w:r>
    </w:p>
    <w:p>
      <w:pPr>
        <w:numPr>
          <w:ilvl w:val="0"/>
          <w:numId w:val="1002"/>
        </w:numPr>
        <w:pStyle w:val="Compact"/>
      </w:pPr>
      <w:r>
        <w:rPr>
          <w:bCs/>
          <w:b/>
        </w:rPr>
        <w:t xml:space="preserve">Non-Renewable Energy Usage:</w:t>
      </w:r>
      <w:r>
        <w:t xml:space="preserve"> </w:t>
      </w:r>
      <w:r>
        <w:t xml:space="preserve">(100 - 40)% = 60%</w:t>
      </w:r>
    </w:p>
    <w:p>
      <w:pPr>
        <w:pStyle w:val="FirstParagraph"/>
      </w:pPr>
      <w:r>
        <w:t xml:space="preserve">The non-renewable portion of electricity consumption is attributed to the local grid mix in China. For this analysis, an estimated average grid emission factor for China is used to calculate Scope 2 emissions from purchased electricity.</w:t>
      </w:r>
    </w:p>
    <w:bookmarkEnd w:id="27"/>
    <w:bookmarkStart w:id="28" w:name="transport-logistics"/>
    <w:p>
      <w:pPr>
        <w:pStyle w:val="Heading3"/>
      </w:pPr>
      <w:r>
        <w:t xml:space="preserve">2.3. Transport &amp; Logistics</w:t>
      </w:r>
    </w:p>
    <w:p>
      <w:pPr>
        <w:pStyle w:val="FirstParagraph"/>
      </w:pPr>
      <w:r>
        <w:t xml:space="preserve">Logistics data is crucial for assessing Scope 3 emissions related to product distribution.</w:t>
      </w:r>
    </w:p>
    <w:p>
      <w:pPr>
        <w:numPr>
          <w:ilvl w:val="0"/>
          <w:numId w:val="1003"/>
        </w:numPr>
        <w:pStyle w:val="Compact"/>
      </w:pPr>
      <w:r>
        <w:rPr>
          <w:bCs/>
          <w:b/>
        </w:rPr>
        <w:t xml:space="preserve">Primary Transport (from Factory Gate, China to Europe):</w:t>
      </w:r>
    </w:p>
    <w:p>
      <w:pPr>
        <w:numPr>
          <w:ilvl w:val="1"/>
          <w:numId w:val="1004"/>
        </w:numPr>
        <w:pStyle w:val="Compact"/>
      </w:pPr>
      <w:r>
        <w:rPr>
          <w:bCs/>
          <w:b/>
        </w:rPr>
        <w:t xml:space="preserve">Transport Mode (Select Mode):</w:t>
      </w:r>
      <w:r>
        <w:t xml:space="preserve"> </w:t>
      </w:r>
      <w:r>
        <w:t xml:space="preserve">Ocean Freight (Container Ship) - chosen as a typical mode for long-distance international cargo from China to Europe.</w:t>
      </w:r>
    </w:p>
    <w:p>
      <w:pPr>
        <w:numPr>
          <w:ilvl w:val="1"/>
          <w:numId w:val="1004"/>
        </w:numPr>
        <w:pStyle w:val="Compact"/>
      </w:pPr>
      <w:r>
        <w:rPr>
          <w:bCs/>
          <w:b/>
        </w:rPr>
        <w:t xml:space="preserve">Transport Distance:</w:t>
      </w:r>
      <w:r>
        <w:t xml:space="preserve"> </w:t>
      </w:r>
      <w:r>
        <w:t xml:space="preserve">thmgwyhfwz (18000 km)</w:t>
      </w:r>
    </w:p>
    <w:p>
      <w:pPr>
        <w:numPr>
          <w:ilvl w:val="0"/>
          <w:numId w:val="1003"/>
        </w:numPr>
        <w:pStyle w:val="Compact"/>
      </w:pPr>
      <w:r>
        <w:rPr>
          <w:bCs/>
          <w:b/>
        </w:rPr>
        <w:t xml:space="preserve">Last-Mile Delivery (within Europe):</w:t>
      </w:r>
    </w:p>
    <w:p>
      <w:pPr>
        <w:numPr>
          <w:ilvl w:val="1"/>
          <w:numId w:val="1005"/>
        </w:numPr>
        <w:pStyle w:val="Compact"/>
      </w:pPr>
      <w:r>
        <w:rPr>
          <w:bCs/>
          <w:b/>
        </w:rPr>
        <w:t xml:space="preserve">Delivery Channel (Delivery Type):</w:t>
      </w:r>
      <w:r>
        <w:t xml:space="preserve"> </w:t>
      </w:r>
      <w:r>
        <w:t xml:space="preserve">Road Freight (Articulated Truck) - chosen as a common mode for final distribution within Europe.</w:t>
      </w:r>
    </w:p>
    <w:p>
      <w:pPr>
        <w:numPr>
          <w:ilvl w:val="1"/>
          <w:numId w:val="1005"/>
        </w:numPr>
        <w:pStyle w:val="Compact"/>
      </w:pPr>
      <w:r>
        <w:rPr>
          <w:bCs/>
          <w:b/>
        </w:rPr>
        <w:t xml:space="preserve">Assumed Last-Mile Distance:</w:t>
      </w:r>
      <w:r>
        <w:t xml:space="preserve"> </w:t>
      </w:r>
      <w:r>
        <w:t xml:space="preserve">500 km (An estimated typical distance for regional distribution from a European port/hub to a final destination, assuming \'thmgwyhfwz\' represents the intercontinental leg).</w:t>
      </w:r>
    </w:p>
    <w:p>
      <w:pPr>
        <w:pStyle w:val="FirstParagraph"/>
      </w:pPr>
      <w:r>
        <w:t xml:space="preserve">Emissions for transport are calculated based on the chosen modes, distances, and an assumed product weight of 1 kg for dflgrpwrrd (necessary for tonne-km calculations, as the functional unit is 1 unit of product which needs a weight for transport calculations).</w:t>
      </w:r>
    </w:p>
    <w:bookmarkEnd w:id="28"/>
    <w:bookmarkStart w:id="29" w:name="use-phase-inputs"/>
    <w:p>
      <w:pPr>
        <w:pStyle w:val="Heading3"/>
      </w:pPr>
      <w:r>
        <w:t xml:space="preserve">2.4. Use Phase Inputs</w:t>
      </w:r>
    </w:p>
    <w:p>
      <w:pPr>
        <w:pStyle w:val="FirstParagraph"/>
      </w:pPr>
      <w:r>
        <w:t xml:space="preserve">The use phase impacts are calculated based on the product\'s durability and energy consumption during its active life.</w:t>
      </w:r>
    </w:p>
    <w:p>
      <w:pPr>
        <w:numPr>
          <w:ilvl w:val="0"/>
          <w:numId w:val="1006"/>
        </w:numPr>
        <w:pStyle w:val="Compact"/>
      </w:pPr>
      <w:r>
        <w:rPr>
          <w:bCs/>
          <w:b/>
        </w:rPr>
        <w:t xml:space="preserve">Product Lifespan:</w:t>
      </w:r>
      <w:r>
        <w:t xml:space="preserve"> </w:t>
      </w:r>
      <w:r>
        <w:t xml:space="preserve">xqtqtlrmfu (5 years)</w:t>
      </w:r>
    </w:p>
    <w:p>
      <w:pPr>
        <w:numPr>
          <w:ilvl w:val="0"/>
          <w:numId w:val="1006"/>
        </w:numPr>
        <w:pStyle w:val="Compact"/>
      </w:pPr>
      <w:r>
        <w:rPr>
          <w:bCs/>
          <w:b/>
        </w:rPr>
        <w:t xml:space="preserve">Energy Consumption in Use (total over lifespan):</w:t>
      </w:r>
      <w:r>
        <w:t xml:space="preserve"> </w:t>
      </w:r>
      <w:r>
        <w:t xml:space="preserve">isitqgmwvn (50 kWh/unit)</w:t>
      </w:r>
    </w:p>
    <w:p>
      <w:pPr>
        <w:pStyle w:val="FirstParagraph"/>
      </w:pPr>
      <w:r>
        <w:t xml:space="preserve">The energy consumed during the use phase is attributed to the average European electricity grid mix, reflecting the product\'s primary market.</w:t>
      </w:r>
    </w:p>
    <w:bookmarkEnd w:id="29"/>
    <w:bookmarkStart w:id="30" w:name="end-of-life-eol-inputs"/>
    <w:p>
      <w:pPr>
        <w:pStyle w:val="Heading3"/>
      </w:pPr>
      <w:r>
        <w:t xml:space="preserve">2.5. End-of-Life (EoL) Inputs</w:t>
      </w:r>
    </w:p>
    <w:p>
      <w:pPr>
        <w:pStyle w:val="FirstParagraph"/>
      </w:pPr>
      <w:r>
        <w:t xml:space="preserve">End-of-Life scenarios incorporate circular economy principles.</w:t>
      </w:r>
    </w:p>
    <w:p>
      <w:pPr>
        <w:numPr>
          <w:ilvl w:val="0"/>
          <w:numId w:val="1007"/>
        </w:numPr>
        <w:pStyle w:val="Compact"/>
      </w:pPr>
      <w:r>
        <w:rPr>
          <w:bCs/>
          <w:b/>
        </w:rPr>
        <w:t xml:space="preserve">Recyclability Percentage:</w:t>
      </w:r>
      <w:r>
        <w:t xml:space="preserve"> </w:t>
      </w:r>
      <w:r>
        <w:t xml:space="preserve">usjzjeozwh (75%)</w:t>
      </w:r>
    </w:p>
    <w:p>
      <w:pPr>
        <w:numPr>
          <w:ilvl w:val="0"/>
          <w:numId w:val="1007"/>
        </w:numPr>
        <w:pStyle w:val="Compact"/>
      </w:pPr>
      <w:r>
        <w:rPr>
          <w:bCs/>
          <w:b/>
        </w:rPr>
        <w:t xml:space="preserve">Circular/Take-back Programs:</w:t>
      </w:r>
      <w:r>
        <w:t xml:space="preserve"> </w:t>
      </w:r>
      <w:r>
        <w:t xml:space="preserve">uyjhirhqqe (Yes, active regional programs)</w:t>
      </w:r>
    </w:p>
    <w:p>
      <w:pPr>
        <w:pStyle w:val="FirstParagraph"/>
      </w:pPr>
      <w:r>
        <w:t xml:space="preserve">The recyclability percentage allows for the calculation of potential avoided emissions by displacing virgin material production. The presence of circular/take-back programs indicates efforts to manage the product responsibly at its end-of-life, potentially increasing actual recycling rates or enabling reuse.</w:t>
      </w:r>
    </w:p>
    <w:p>
      <w:r>
        <w:pict>
          <v:rect style="width:0;height:1.5pt" o:hralign="center" o:hrstd="t" o:hr="t"/>
        </w:pict>
      </w:r>
    </w:p>
    <w:bookmarkEnd w:id="30"/>
    <w:bookmarkEnd w:id="31"/>
    <w:bookmarkStart w:id="43"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for each lifecycle stage, categorized according to the GHG Protocol. Industry-standard emission factors are applied, primarily sourced from publicly available databases or widely accepted scientific literature where specific product data is unavailable.</w:t>
      </w:r>
    </w:p>
    <w:bookmarkStart w:id="32" w:name="X423f737f857e137ace56091c42ad242073823f7"/>
    <w:p>
      <w:pPr>
        <w:pStyle w:val="Heading3"/>
      </w:pPr>
      <w:r>
        <w:t xml:space="preserve">Emission Factors Used (Industry-Standard Estimates):</w:t>
      </w:r>
    </w:p>
    <w:p>
      <w:pPr>
        <w:numPr>
          <w:ilvl w:val="0"/>
          <w:numId w:val="1008"/>
        </w:numPr>
        <w:pStyle w:val="Compact"/>
      </w:pPr>
      <w:r>
        <w:rPr>
          <w:bCs/>
          <w:b/>
        </w:rPr>
        <w:t xml:space="preserve">China Grid Electricity:</w:t>
      </w:r>
      <w:r>
        <w:t xml:space="preserve"> </w:t>
      </w:r>
      <w:r>
        <w:t xml:space="preserve">0.58 kg CO2e/kWh (Average for 2022-2023)</w:t>
      </w:r>
    </w:p>
    <w:p>
      <w:pPr>
        <w:numPr>
          <w:ilvl w:val="0"/>
          <w:numId w:val="1008"/>
        </w:numPr>
        <w:pStyle w:val="Compact"/>
      </w:pPr>
      <w:r>
        <w:rPr>
          <w:bCs/>
          <w:b/>
        </w:rPr>
        <w:t xml:space="preserve">European Average Grid Electricity:</w:t>
      </w:r>
      <w:r>
        <w:t xml:space="preserve"> </w:t>
      </w:r>
      <w:r>
        <w:t xml:space="preserve">0.20 kg CO2e/kWh (Average for 2023-2024)</w:t>
      </w:r>
    </w:p>
    <w:p>
      <w:pPr>
        <w:numPr>
          <w:ilvl w:val="0"/>
          <w:numId w:val="1008"/>
        </w:numPr>
        <w:pStyle w:val="Compact"/>
      </w:pPr>
      <w:r>
        <w:rPr>
          <w:bCs/>
          <w:b/>
        </w:rPr>
        <w:t xml:space="preserve">Ocean Freight (Container Ship):</w:t>
      </w:r>
      <w:r>
        <w:t xml:space="preserve"> </w:t>
      </w:r>
      <w:r>
        <w:t xml:space="preserve">0.015 kg CO2e/tonne-km (Typical for large container vessels)</w:t>
      </w:r>
    </w:p>
    <w:p>
      <w:pPr>
        <w:numPr>
          <w:ilvl w:val="0"/>
          <w:numId w:val="1008"/>
        </w:numPr>
        <w:pStyle w:val="Compact"/>
      </w:pPr>
      <w:r>
        <w:rPr>
          <w:bCs/>
          <w:b/>
        </w:rPr>
        <w:t xml:space="preserve">Road Freight (Articulated Truck):</w:t>
      </w:r>
      <w:r>
        <w:t xml:space="preserve"> </w:t>
      </w:r>
      <w:r>
        <w:t xml:space="preserve">0.08 kg CO2e/tonne-km (Typical for heavy goods vehicles)</w:t>
      </w:r>
    </w:p>
    <w:p>
      <w:pPr>
        <w:numPr>
          <w:ilvl w:val="0"/>
          <w:numId w:val="1008"/>
        </w:numPr>
        <w:pStyle w:val="Compact"/>
      </w:pPr>
      <w:r>
        <w:rPr>
          <w:bCs/>
          <w:b/>
        </w:rPr>
        <w:t xml:space="preserve">Average Recycling Benefit:</w:t>
      </w:r>
      <w:r>
        <w:t xml:space="preserve"> </w:t>
      </w:r>
      <w:r>
        <w:t xml:space="preserve">-3.0 kg CO2e/kg (Simplified average for mixed materials recycling, reflecting avoided virgin material production)</w:t>
      </w:r>
    </w:p>
    <w:bookmarkEnd w:id="32"/>
    <w:bookmarkStart w:id="33" w:name="X80d5624c0350e5e4a064ea2767192871f612b2c"/>
    <w:p>
      <w:pPr>
        <w:pStyle w:val="Heading3"/>
      </w:pPr>
      <w:r>
        <w:t xml:space="preserve">4.1. Scope 1 Emissions (Direct Emissions from hursowwqfi\'s owned/controlled sources for dflgrpwrrd production)</w:t>
      </w:r>
    </w:p>
    <w:p>
      <w:pPr>
        <w:pStyle w:val="FirstParagraph"/>
      </w:pPr>
      <w:r>
        <w:t xml:space="preserve">Given the "factory_gate" system boundary for the product and without specific data on direct fuel combustion for manufacturing \'dflgrpwrrd\', it is assumed that any significant direct emissions (e.g., from on-site boilers or process heaters directly tied to the product\'s manufacturing) would be captured here. Based on the provided parameters, direct fuel combustion specifically for the production of \'dflgrpwrrd\' is assumed to be negligible or zero for this product\'s PCF. Purchased electricity is accounted for under Scope 2.</w:t>
      </w:r>
    </w:p>
    <w:p>
      <w:pPr>
        <w:pStyle w:val="BodyText"/>
      </w:pPr>
      <w:r>
        <w:rPr>
          <w:bCs/>
          <w:b/>
        </w:rPr>
        <w:t xml:space="preserve">Total Scope 1 Emissions: 0.00 kg CO2e</w:t>
      </w:r>
    </w:p>
    <w:bookmarkEnd w:id="33"/>
    <w:bookmarkStart w:id="34" w:name="X151badb3428981c0a277073805c65d0d071bb90"/>
    <w:p>
      <w:pPr>
        <w:pStyle w:val="Heading3"/>
      </w:pPr>
      <w:r>
        <w:t xml:space="preserve">4.2. Scope 2 Emissions (Indirect Emissions from Purchased Electricity for Production)</w:t>
      </w:r>
    </w:p>
    <w:p>
      <w:pPr>
        <w:pStyle w:val="FirstParagraph"/>
      </w:pPr>
      <w:r>
        <w:t xml:space="preserve">These emissions arise from the generation of purchased electricity used in the production facility in China.</w:t>
      </w:r>
    </w:p>
    <w:p>
      <w:pPr>
        <w:numPr>
          <w:ilvl w:val="0"/>
          <w:numId w:val="1009"/>
        </w:numPr>
        <w:pStyle w:val="Compact"/>
      </w:pPr>
      <w:r>
        <w:t xml:space="preserve">Energy Intensity: 15 kWh/unit</w:t>
      </w:r>
    </w:p>
    <w:p>
      <w:pPr>
        <w:numPr>
          <w:ilvl w:val="0"/>
          <w:numId w:val="1009"/>
        </w:numPr>
        <w:pStyle w:val="Compact"/>
      </w:pPr>
      <w:r>
        <w:t xml:space="preserve">Renewable Energy Usage: 40%</w:t>
      </w:r>
    </w:p>
    <w:p>
      <w:pPr>
        <w:numPr>
          <w:ilvl w:val="0"/>
          <w:numId w:val="1009"/>
        </w:numPr>
        <w:pStyle w:val="Compact"/>
      </w:pPr>
      <w:r>
        <w:t xml:space="preserve">Non-Renewable Energy: 15 kWh/unit * (1 - 40 / 100) = 9 kWh/unit</w:t>
      </w:r>
    </w:p>
    <w:p>
      <w:pPr>
        <w:numPr>
          <w:ilvl w:val="0"/>
          <w:numId w:val="1009"/>
        </w:numPr>
        <w:pStyle w:val="Compact"/>
      </w:pPr>
      <w:r>
        <w:t xml:space="preserve">China Grid Emission Factor: 0.58 kg CO2e/kWh</w:t>
      </w:r>
    </w:p>
    <w:p>
      <w:pPr>
        <w:numPr>
          <w:ilvl w:val="0"/>
          <w:numId w:val="1009"/>
        </w:numPr>
        <w:pStyle w:val="Compact"/>
      </w:pPr>
      <w:r>
        <w:rPr>
          <w:bCs/>
          <w:b/>
        </w:rPr>
        <w:t xml:space="preserve">Calculated Emissions:</w:t>
      </w:r>
      <w:r>
        <w:t xml:space="preserve"> </w:t>
      </w:r>
      <w:r>
        <w:t xml:space="preserve">9 kWh/unit * 0.58 kg CO2e/kWh =</w:t>
      </w:r>
      <w:r>
        <w:t xml:space="preserve"> </w:t>
      </w:r>
      <w:r>
        <w:rPr>
          <w:bCs/>
          <w:b/>
        </w:rPr>
        <w:t xml:space="preserve">5.22 kg CO2e/unit</w:t>
      </w:r>
    </w:p>
    <w:bookmarkEnd w:id="34"/>
    <w:bookmarkStart w:id="40" w:name="scope-3-emissions-value-chain-emissions"/>
    <w:p>
      <w:pPr>
        <w:pStyle w:val="Heading3"/>
      </w:pPr>
      <w:r>
        <w:t xml:space="preserve">4.3. Scope 3 Emissions (Value Chain Emissions)</w:t>
      </w:r>
    </w:p>
    <w:bookmarkStart w:id="35" w:name="X65c35a1570acf4f433fc460f79a6b9b1633a4b0"/>
    <w:p>
      <w:pPr>
        <w:pStyle w:val="Heading4"/>
      </w:pPr>
      <w:r>
        <w:t xml:space="preserve">4.3.1. Upstream Emissions (Cradle-to-Gate excluding production energy)</w:t>
      </w:r>
    </w:p>
    <w:p>
      <w:pPr>
        <w:pStyle w:val="FirstParagraph"/>
      </w:pPr>
      <w:r>
        <w:t xml:space="preserve">This category includes emissions from raw material extraction, processing, and manufacturing of components, as represented by the \'Total Carbon\' in the detailed BOM.</w:t>
      </w:r>
    </w:p>
    <w:p>
      <w:pPr>
        <w:numPr>
          <w:ilvl w:val="0"/>
          <w:numId w:val="1010"/>
        </w:numPr>
        <w:pStyle w:val="Compact"/>
      </w:pPr>
      <w:r>
        <w:rPr>
          <w:bCs/>
          <w:b/>
        </w:rPr>
        <w:t xml:space="preserve">Materials (BOM Data):</w:t>
      </w:r>
      <w:r>
        <w:t xml:space="preserve"> </w:t>
      </w:r>
      <w:r>
        <w:t xml:space="preserve">Sum of \'Total Carbon\' values from yfsnsyph.</w:t>
      </w:r>
    </w:p>
    <w:p>
      <w:pPr>
        <w:numPr>
          <w:ilvl w:val="0"/>
          <w:numId w:val="1010"/>
        </w:numPr>
        <w:pStyle w:val="Compact"/>
      </w:pPr>
      <w:r>
        <w:rPr>
          <w:bCs/>
          <w:b/>
        </w:rPr>
        <w:t xml:space="preserve">Calculated Emissions:</w:t>
      </w:r>
      <w:r>
        <w:t xml:space="preserve"> </w:t>
      </w:r>
      <w:r>
        <w:t xml:space="preserve">0.9 + 2.5 + 0.5 + 3.0 =</w:t>
      </w:r>
      <w:r>
        <w:t xml:space="preserve"> </w:t>
      </w:r>
      <w:r>
        <w:rPr>
          <w:bCs/>
          <w:b/>
        </w:rPr>
        <w:t xml:space="preserve">6.90 kg CO2e/unit</w:t>
      </w:r>
    </w:p>
    <w:bookmarkEnd w:id="35"/>
    <w:bookmarkStart w:id="39" w:name="X1f946c3da1eefa8118cfd5da1fe6485d383f5ee"/>
    <w:p>
      <w:pPr>
        <w:pStyle w:val="Heading4"/>
      </w:pPr>
      <w:r>
        <w:t xml:space="preserve">4.3.2. Downstream Emissions (Distribution, Use Phase, End-of-Life)</w:t>
      </w:r>
    </w:p>
    <w:bookmarkStart w:id="36" w:name="X641b873e2eef78c89ff3cf3dcc28c9a4369af35"/>
    <w:p>
      <w:pPr>
        <w:pStyle w:val="Heading5"/>
      </w:pPr>
      <w:r>
        <w:t xml:space="preserve">4.3.2.1. Distribution (Transport from Factory Gate to Customer)</w:t>
      </w:r>
    </w:p>
    <w:p>
      <w:pPr>
        <w:pStyle w:val="FirstParagraph"/>
      </w:pPr>
      <w:r>
        <w:rPr>
          <w:bCs/>
          <w:b/>
        </w:rPr>
        <w:t xml:space="preserve">Primary Transport (China to Europe):</w:t>
      </w:r>
    </w:p>
    <w:p>
      <w:pPr>
        <w:numPr>
          <w:ilvl w:val="0"/>
          <w:numId w:val="1011"/>
        </w:numPr>
        <w:pStyle w:val="Compact"/>
      </w:pPr>
      <w:r>
        <w:t xml:space="preserve">Transport Mode: Ocean Freight (Container Ship)</w:t>
      </w:r>
    </w:p>
    <w:p>
      <w:pPr>
        <w:numPr>
          <w:ilvl w:val="0"/>
          <w:numId w:val="1011"/>
        </w:numPr>
        <w:pStyle w:val="Compact"/>
      </w:pPr>
      <w:r>
        <w:t xml:space="preserve">Distance: 18000 km</w:t>
      </w:r>
    </w:p>
    <w:p>
      <w:pPr>
        <w:numPr>
          <w:ilvl w:val="0"/>
          <w:numId w:val="1011"/>
        </w:numPr>
        <w:pStyle w:val="Compact"/>
      </w:pPr>
      <w:r>
        <w:t xml:space="preserve">Assumed Product Weight: 1 kg (0.001 tonnes) per unit of dflgrpwrrd</w:t>
      </w:r>
    </w:p>
    <w:p>
      <w:pPr>
        <w:numPr>
          <w:ilvl w:val="0"/>
          <w:numId w:val="1011"/>
        </w:numPr>
        <w:pStyle w:val="Compact"/>
      </w:pPr>
      <w:r>
        <w:t xml:space="preserve">Emission Factor: 0.015 kg CO2e/tonne-km</w:t>
      </w:r>
    </w:p>
    <w:p>
      <w:pPr>
        <w:numPr>
          <w:ilvl w:val="0"/>
          <w:numId w:val="1011"/>
        </w:numPr>
        <w:pStyle w:val="Compact"/>
      </w:pPr>
      <w:r>
        <w:rPr>
          <w:bCs/>
          <w:b/>
        </w:rPr>
        <w:t xml:space="preserve">Calculated Emissions:</w:t>
      </w:r>
      <w:r>
        <w:t xml:space="preserve"> </w:t>
      </w:r>
      <w:r>
        <w:t xml:space="preserve">(18000 km * 0.001 tonnes/unit) * 0.015 kg CO2e/tonne-km =</w:t>
      </w:r>
      <w:r>
        <w:t xml:space="preserve"> </w:t>
      </w:r>
      <w:r>
        <w:rPr>
          <w:bCs/>
          <w:b/>
        </w:rPr>
        <w:t xml:space="preserve">0.27 kg CO2e/unit</w:t>
      </w:r>
    </w:p>
    <w:p>
      <w:pPr>
        <w:pStyle w:val="FirstParagraph"/>
      </w:pPr>
      <w:r>
        <w:rPr>
          <w:bCs/>
          <w:b/>
        </w:rPr>
        <w:t xml:space="preserve">Last-Mile Delivery (within Europe):</w:t>
      </w:r>
    </w:p>
    <w:p>
      <w:pPr>
        <w:numPr>
          <w:ilvl w:val="0"/>
          <w:numId w:val="1012"/>
        </w:numPr>
        <w:pStyle w:val="Compact"/>
      </w:pPr>
      <w:r>
        <w:t xml:space="preserve">Transport Mode: Road Freight (Articulated Truck)</w:t>
      </w:r>
    </w:p>
    <w:p>
      <w:pPr>
        <w:numPr>
          <w:ilvl w:val="0"/>
          <w:numId w:val="1012"/>
        </w:numPr>
        <w:pStyle w:val="Compact"/>
      </w:pPr>
      <w:r>
        <w:t xml:space="preserve">Distance: 500 km (Assumed)</w:t>
      </w:r>
    </w:p>
    <w:p>
      <w:pPr>
        <w:numPr>
          <w:ilvl w:val="0"/>
          <w:numId w:val="1012"/>
        </w:numPr>
        <w:pStyle w:val="Compact"/>
      </w:pPr>
      <w:r>
        <w:t xml:space="preserve">Assumed Product Weight: 1 kg (0.001 tonnes) per unit of dflgrpwrrd</w:t>
      </w:r>
    </w:p>
    <w:p>
      <w:pPr>
        <w:numPr>
          <w:ilvl w:val="0"/>
          <w:numId w:val="1012"/>
        </w:numPr>
        <w:pStyle w:val="Compact"/>
      </w:pPr>
      <w:r>
        <w:t xml:space="preserve">Emission Factor: 0.08 kg CO2e/tonne-km</w:t>
      </w:r>
    </w:p>
    <w:p>
      <w:pPr>
        <w:numPr>
          <w:ilvl w:val="0"/>
          <w:numId w:val="1012"/>
        </w:numPr>
        <w:pStyle w:val="Compact"/>
      </w:pPr>
      <w:r>
        <w:rPr>
          <w:bCs/>
          <w:b/>
        </w:rPr>
        <w:t xml:space="preserve">Calculated Emissions:</w:t>
      </w:r>
      <w:r>
        <w:t xml:space="preserve"> </w:t>
      </w:r>
      <w:r>
        <w:t xml:space="preserve">(500 km * 0.001 tonnes/unit) * 0.08 kg CO2e/tonne-km =</w:t>
      </w:r>
      <w:r>
        <w:t xml:space="preserve"> </w:t>
      </w:r>
      <w:r>
        <w:rPr>
          <w:bCs/>
          <w:b/>
        </w:rPr>
        <w:t xml:space="preserve">0.04 kg CO2e/unit</w:t>
      </w:r>
    </w:p>
    <w:p>
      <w:pPr>
        <w:pStyle w:val="FirstParagraph"/>
      </w:pPr>
      <w:r>
        <w:rPr>
          <w:bCs/>
          <w:b/>
        </w:rPr>
        <w:t xml:space="preserve">Total Distribution Emissions:</w:t>
      </w:r>
      <w:r>
        <w:t xml:space="preserve"> </w:t>
      </w:r>
      <w:r>
        <w:t xml:space="preserve">0.27 + 0.04 =</w:t>
      </w:r>
      <w:r>
        <w:t xml:space="preserve"> </w:t>
      </w:r>
      <w:r>
        <w:rPr>
          <w:bCs/>
          <w:b/>
        </w:rPr>
        <w:t xml:space="preserve">0.31 kg CO2e/unit</w:t>
      </w:r>
    </w:p>
    <w:bookmarkEnd w:id="36"/>
    <w:bookmarkStart w:id="37" w:name="use-phase"/>
    <w:p>
      <w:pPr>
        <w:pStyle w:val="Heading5"/>
      </w:pPr>
      <w:r>
        <w:t xml:space="preserve">4.3.2.2. Use Phase</w:t>
      </w:r>
    </w:p>
    <w:p>
      <w:pPr>
        <w:pStyle w:val="FirstParagraph"/>
      </w:pPr>
      <w:r>
        <w:t xml:space="preserve">Emissions from electricity consumption during the product\'s lifespan.</w:t>
      </w:r>
    </w:p>
    <w:p>
      <w:pPr>
        <w:numPr>
          <w:ilvl w:val="0"/>
          <w:numId w:val="1013"/>
        </w:numPr>
        <w:pStyle w:val="Compact"/>
      </w:pPr>
      <w:r>
        <w:t xml:space="preserve">Energy Consumption in Use: 50 kWh/unit</w:t>
      </w:r>
    </w:p>
    <w:p>
      <w:pPr>
        <w:numPr>
          <w:ilvl w:val="0"/>
          <w:numId w:val="1013"/>
        </w:numPr>
        <w:pStyle w:val="Compact"/>
      </w:pPr>
      <w:r>
        <w:t xml:space="preserve">European Average Grid Emission Factor: 0.20 kg CO2e/kWh</w:t>
      </w:r>
    </w:p>
    <w:p>
      <w:pPr>
        <w:numPr>
          <w:ilvl w:val="0"/>
          <w:numId w:val="1013"/>
        </w:numPr>
        <w:pStyle w:val="Compact"/>
      </w:pPr>
      <w:r>
        <w:rPr>
          <w:bCs/>
          <w:b/>
        </w:rPr>
        <w:t xml:space="preserve">Calculated Emissions:</w:t>
      </w:r>
      <w:r>
        <w:t xml:space="preserve"> </w:t>
      </w:r>
      <w:r>
        <w:t xml:space="preserve">50 kWh/unit * 0.20 kg CO2e/kWh =</w:t>
      </w:r>
      <w:r>
        <w:t xml:space="preserve"> </w:t>
      </w:r>
      <w:r>
        <w:rPr>
          <w:bCs/>
          <w:b/>
        </w:rPr>
        <w:t xml:space="preserve">10.00 kg CO2e/unit</w:t>
      </w:r>
    </w:p>
    <w:bookmarkEnd w:id="37"/>
    <w:bookmarkStart w:id="38" w:name="end-of-life-eol"/>
    <w:p>
      <w:pPr>
        <w:pStyle w:val="Heading5"/>
      </w:pPr>
      <w:r>
        <w:t xml:space="preserve">4.3.2.3. End-of-Life (EoL)</w:t>
      </w:r>
    </w:p>
    <w:p>
      <w:pPr>
        <w:pStyle w:val="FirstParagraph"/>
      </w:pPr>
      <w:r>
        <w:t xml:space="preserve">Emissions or avoided emissions related to disposal or recycling.</w:t>
      </w:r>
    </w:p>
    <w:p>
      <w:pPr>
        <w:numPr>
          <w:ilvl w:val="0"/>
          <w:numId w:val="1014"/>
        </w:numPr>
        <w:pStyle w:val="Compact"/>
      </w:pPr>
      <w:r>
        <w:t xml:space="preserve">Recyclability Percentage: 75%</w:t>
      </w:r>
    </w:p>
    <w:p>
      <w:pPr>
        <w:numPr>
          <w:ilvl w:val="0"/>
          <w:numId w:val="1014"/>
        </w:numPr>
        <w:pStyle w:val="Compact"/>
      </w:pPr>
      <w:r>
        <w:t xml:space="preserve">Assumed Product Weight: 1 kg/unit</w:t>
      </w:r>
    </w:p>
    <w:p>
      <w:pPr>
        <w:numPr>
          <w:ilvl w:val="0"/>
          <w:numId w:val="1014"/>
        </w:numPr>
        <w:pStyle w:val="Compact"/>
      </w:pPr>
      <w:r>
        <w:t xml:space="preserve">Recycled Weight: 1 kg * (75 / 100) = 0.75 kg</w:t>
      </w:r>
    </w:p>
    <w:p>
      <w:pPr>
        <w:numPr>
          <w:ilvl w:val="0"/>
          <w:numId w:val="1014"/>
        </w:numPr>
        <w:pStyle w:val="Compact"/>
      </w:pPr>
      <w:r>
        <w:t xml:space="preserve">Assumed Average Recycling Benefit: -3.0 kg CO2e/kg</w:t>
      </w:r>
    </w:p>
    <w:p>
      <w:pPr>
        <w:numPr>
          <w:ilvl w:val="0"/>
          <w:numId w:val="1014"/>
        </w:numPr>
        <w:pStyle w:val="Compact"/>
      </w:pPr>
      <w:r>
        <w:rPr>
          <w:bCs/>
          <w:b/>
        </w:rPr>
        <w:t xml:space="preserve">Calculated Emissions (Avoided):</w:t>
      </w:r>
      <w:r>
        <w:t xml:space="preserve"> </w:t>
      </w:r>
      <w:r>
        <w:t xml:space="preserve">0.75 kg * -3.0 kg CO2e/kg =</w:t>
      </w:r>
      <w:r>
        <w:t xml:space="preserve"> </w:t>
      </w:r>
      <w:r>
        <w:rPr>
          <w:bCs/>
          <w:b/>
        </w:rPr>
        <w:t xml:space="preserve">-2.25 kg CO2e/unit</w:t>
      </w:r>
    </w:p>
    <w:bookmarkEnd w:id="38"/>
    <w:bookmarkEnd w:id="39"/>
    <w:bookmarkEnd w:id="40"/>
    <w:bookmarkStart w:id="42" w:name="overall-carbon-footprint-summary-table"/>
    <w:p>
      <w:pPr>
        <w:pStyle w:val="Heading3"/>
      </w:pPr>
      <w:r>
        <w:t xml:space="preserve">Overall Carbon Footprint Summary Table</w:t>
      </w:r>
    </w:p>
    <w:bookmarkStart w:id="41" w:name="summaryTable"/>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Material Inputs (BOM)</w:t>
            </w:r>
          </w:p>
        </w:tc>
        <w:tc>
          <w:tcPr/>
          <w:p>
            <w:pPr>
              <w:pStyle w:val="Compact"/>
              <w:jc w:val="left"/>
            </w:pPr>
            <w:r>
              <w:t xml:space="preserve">Scope 3 (Upstream)</w:t>
            </w:r>
          </w:p>
        </w:tc>
        <w:tc>
          <w:tcPr/>
          <w:p>
            <w:pPr>
              <w:pStyle w:val="Compact"/>
              <w:jc w:val="left"/>
            </w:pPr>
            <w:r>
              <w:t xml:space="preserve">6.90</w:t>
            </w:r>
          </w:p>
        </w:tc>
      </w:tr>
      <w:tr>
        <w:tc>
          <w:tcPr/>
          <w:p>
            <w:pPr>
              <w:pStyle w:val="Compact"/>
              <w:jc w:val="left"/>
            </w:pPr>
            <w:r>
              <w:t xml:space="preserve">Distribution (Primary Transport)</w:t>
            </w:r>
          </w:p>
        </w:tc>
        <w:tc>
          <w:tcPr/>
          <w:p>
            <w:pPr>
              <w:pStyle w:val="Compact"/>
              <w:jc w:val="left"/>
            </w:pPr>
            <w:r>
              <w:t xml:space="preserve">Scope 3 (Downstream)</w:t>
            </w:r>
          </w:p>
        </w:tc>
        <w:tc>
          <w:tcPr/>
          <w:p>
            <w:pPr>
              <w:pStyle w:val="Compact"/>
              <w:jc w:val="left"/>
            </w:pPr>
            <w:r>
              <w:t xml:space="preserve">0.27</w:t>
            </w:r>
          </w:p>
        </w:tc>
      </w:tr>
      <w:tr>
        <w:tc>
          <w:tcPr/>
          <w:p>
            <w:pPr>
              <w:pStyle w:val="Compact"/>
              <w:jc w:val="left"/>
            </w:pPr>
            <w:r>
              <w:t xml:space="preserve">Distribution (Last-Mile)</w:t>
            </w:r>
          </w:p>
        </w:tc>
        <w:tc>
          <w:tcPr/>
          <w:p>
            <w:pPr>
              <w:pStyle w:val="Compact"/>
              <w:jc w:val="left"/>
            </w:pPr>
            <w:r>
              <w:t xml:space="preserve">Scope 3 (Downstream)</w:t>
            </w:r>
          </w:p>
        </w:tc>
        <w:tc>
          <w:tcPr/>
          <w:p>
            <w:pPr>
              <w:pStyle w:val="Compact"/>
              <w:jc w:val="left"/>
            </w:pPr>
            <w:r>
              <w:t xml:space="preserve">0.04</w:t>
            </w:r>
          </w:p>
        </w:tc>
      </w:tr>
      <w:tr>
        <w:tc>
          <w:tcPr/>
          <w:p>
            <w:pPr>
              <w:pStyle w:val="Compact"/>
              <w:jc w:val="left"/>
            </w:pPr>
            <w:r>
              <w:t xml:space="preserve">Use Phase Energy</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-2.25</w:t>
            </w:r>
          </w:p>
        </w:tc>
      </w:tr>
    </w:tbl>
    <w:bookmarkEnd w:id="41"/>
    <w:p>
      <w:pPr>
        <w:pStyle w:val="BodyText"/>
      </w:pPr>
      <w:r>
        <w:rPr>
          <w:bCs/>
          <w:b/>
        </w:rPr>
        <w:t xml:space="preserve">Total Product Carbon Footprint (PCF): 20.18 kg CO2e/unit</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analysis"/>
    <w:p>
      <w:pPr>
        <w:pStyle w:val="Heading3"/>
      </w:pPr>
      <w:r>
        <w:t xml:space="preserve">5.1. Hotspot Analysis</w:t>
      </w:r>
    </w:p>
    <w:p>
      <w:pPr>
        <w:pStyle w:val="FirstParagraph"/>
      </w:pPr>
      <w:r>
        <w:t xml:space="preserve">Based on the calculations, key emission hotspots for dflgrpwrrd are identified:</w:t>
      </w:r>
    </w:p>
    <w:p>
      <w:pPr>
        <w:numPr>
          <w:ilvl w:val="0"/>
          <w:numId w:val="1015"/>
        </w:numPr>
        <w:pStyle w:val="Compact"/>
      </w:pPr>
      <w:r>
        <w:rPr>
          <w:bCs/>
          <w:b/>
        </w:rPr>
        <w:t xml:space="preserve">Use Phase Energy Consumption (Scope 3 Downstream):</w:t>
      </w:r>
      <w:r>
        <w:t xml:space="preserve"> </w:t>
      </w:r>
      <w:r>
        <w:t xml:space="preserve">At 10.00 kg CO2e/unit, the energy consumed during the product\'s operational lifespan is the largest single contributor, highlighting the importance of energy efficiency in product design.</w:t>
      </w:r>
    </w:p>
    <w:p>
      <w:pPr>
        <w:numPr>
          <w:ilvl w:val="0"/>
          <w:numId w:val="1015"/>
        </w:numPr>
        <w:pStyle w:val="Compact"/>
      </w:pPr>
      <w:r>
        <w:rPr>
          <w:bCs/>
          <w:b/>
        </w:rPr>
        <w:t xml:space="preserve">Material Inputs (Scope 3 Upstream):</w:t>
      </w:r>
      <w:r>
        <w:t xml:space="preserve"> </w:t>
      </w:r>
      <w:r>
        <w:t xml:space="preserve">The embedded carbon in raw materials, totaling 6.90 kg CO2e/unit, is a significant hotspot, emphasizing the need for sustainable material sourcing and design.</w:t>
      </w:r>
    </w:p>
    <w:p>
      <w:pPr>
        <w:numPr>
          <w:ilvl w:val="0"/>
          <w:numId w:val="1015"/>
        </w:numPr>
        <w:pStyle w:val="Compact"/>
      </w:pPr>
      <w:r>
        <w:rPr>
          <w:bCs/>
          <w:b/>
        </w:rPr>
        <w:t xml:space="preserve">Production Energy (Scope 2):</w:t>
      </w:r>
      <w:r>
        <w:t xml:space="preserve"> </w:t>
      </w:r>
      <w:r>
        <w:t xml:space="preserve">Despite 40% renewable energy usage, the remaining 5.22 kg CO2e/unit from grid electricity in China remains a notable contributor.</w:t>
      </w:r>
    </w:p>
    <w:p>
      <w:pPr>
        <w:numPr>
          <w:ilvl w:val="0"/>
          <w:numId w:val="1015"/>
        </w:numPr>
        <w:pStyle w:val="Compact"/>
      </w:pPr>
      <w:r>
        <w:rPr>
          <w:bCs/>
          <w:b/>
        </w:rPr>
        <w:t xml:space="preserve">Long-Haul Transport (Scope 3 Downstream):</w:t>
      </w:r>
      <w:r>
        <w:t xml:space="preserve"> </w:t>
      </w:r>
      <w:r>
        <w:t xml:space="preserve">The intercontinental ocean freight and last-mile road freight contribute 0.31 kg CO2e/unit, indicating that while less dominant than other phases, logistics optimization can still yield reductions.</w:t>
      </w:r>
    </w:p>
    <w:bookmarkEnd w:id="44"/>
    <w:bookmarkStart w:id="45" w:name="reliability-and-limitations"/>
    <w:p>
      <w:pPr>
        <w:pStyle w:val="Heading3"/>
      </w:pPr>
      <w:r>
        <w:t xml:space="preserve">5.2. Reliability and Limitations</w:t>
      </w:r>
    </w:p>
    <w:p>
      <w:pPr>
        <w:pStyle w:val="FirstParagraph"/>
      </w:pPr>
      <w:r>
        <w:t xml:space="preserve">The reliability of this PCF analysis is high due to the use of specific product data for BOM, production energy, and logistics. However, certain limitations and assumptions are inherent:</w:t>
      </w:r>
    </w:p>
    <w:p>
      <w:pPr>
        <w:numPr>
          <w:ilvl w:val="0"/>
          <w:numId w:val="1016"/>
        </w:numPr>
        <w:pStyle w:val="Compact"/>
      </w:pPr>
      <w:r>
        <w:rPr>
          <w:bCs/>
          <w:b/>
        </w:rPr>
        <w:t xml:space="preserve">Generic Emission Factors:</w:t>
      </w:r>
      <w:r>
        <w:t xml:space="preserve"> </w:t>
      </w:r>
      <w:r>
        <w:t xml:space="preserve">While industry-standard, generalized emission factors for grid electricity, transport, and EoL scenarios may not perfectly reflect real-world specific supplier data or regional nuances. For instance, grid factors can vary significantly by province in China or specific country within Europe.</w:t>
      </w:r>
    </w:p>
    <w:p>
      <w:pPr>
        <w:numPr>
          <w:ilvl w:val="0"/>
          <w:numId w:val="1016"/>
        </w:numPr>
        <w:pStyle w:val="Compact"/>
      </w:pPr>
      <w:r>
        <w:rPr>
          <w:bCs/>
          <w:b/>
        </w:rPr>
        <w:t xml:space="preserve">BOM Data Granularity:</w:t>
      </w:r>
      <w:r>
        <w:t xml:space="preserve"> </w:t>
      </w:r>
      <w:r>
        <w:t xml:space="preserve">The provided \'Total Carbon\' in the BOM is taken at face value. A deeper dive into each material\'s specific cradle-to-gate impact (including sub-supplier transport) could further refine this.</w:t>
      </w:r>
    </w:p>
    <w:p>
      <w:pPr>
        <w:numPr>
          <w:ilvl w:val="0"/>
          <w:numId w:val="1016"/>
        </w:numPr>
        <w:pStyle w:val="Compact"/>
      </w:pPr>
      <w:r>
        <w:rPr>
          <w:bCs/>
          <w:b/>
        </w:rPr>
        <w:t xml:space="preserve">Assumed Product Weight:</w:t>
      </w:r>
      <w:r>
        <w:t xml:space="preserve"> </w:t>
      </w:r>
      <w:r>
        <w:t xml:space="preserve">A default product weight of 1 kg was assumed for transport and EoL calculations. Actual product weight would provide more precision.</w:t>
      </w:r>
    </w:p>
    <w:p>
      <w:pPr>
        <w:numPr>
          <w:ilvl w:val="0"/>
          <w:numId w:val="1016"/>
        </w:numPr>
        <w:pStyle w:val="Compact"/>
      </w:pPr>
      <w:r>
        <w:rPr>
          <w:bCs/>
          <w:b/>
        </w:rPr>
        <w:t xml:space="preserve">LSR Standard:</w:t>
      </w:r>
      <w:r>
        <w:t xml:space="preserve"> </w:t>
      </w:r>
      <w:r>
        <w:t xml:space="preserve">As noted, direct land-use and removals impacts are considered negligible for this product given its nature, but a more in-depth assessment might be required for bio-based components or specific manufacturing processes if they were present.</w:t>
      </w:r>
    </w:p>
    <w:p>
      <w:pPr>
        <w:numPr>
          <w:ilvl w:val="0"/>
          <w:numId w:val="1016"/>
        </w:numPr>
        <w:pStyle w:val="Compact"/>
      </w:pPr>
      <w:r>
        <w:rPr>
          <w:bCs/>
          <w:b/>
        </w:rPr>
        <w:t xml:space="preserve">Scope 3 Coverage:</w:t>
      </w:r>
      <w:r>
        <w:t xml:space="preserve"> </w:t>
      </w:r>
      <w:r>
        <w:t xml:space="preserve">While targeting 95% coverage, some minor Scope 3 categories (e.g., business travel related to the product, waste from operations not directly tied to production, capital goods) might be excluded due to data availability or materiality, consistent with common PCF practices focusing on the most significant impacts.</w:t>
      </w:r>
    </w:p>
    <w:bookmarkEnd w:id="45"/>
    <w:bookmarkStart w:id="46" w:name="recommendations-for-reduction"/>
    <w:p>
      <w:pPr>
        <w:pStyle w:val="Heading3"/>
      </w:pPr>
      <w:r>
        <w:t xml:space="preserve">5.3. Recommendations for Reduction</w:t>
      </w:r>
    </w:p>
    <w:p>
      <w:pPr>
        <w:numPr>
          <w:ilvl w:val="0"/>
          <w:numId w:val="1017"/>
        </w:numPr>
        <w:pStyle w:val="Compact"/>
      </w:pPr>
      <w:r>
        <w:rPr>
          <w:bCs/>
          <w:b/>
        </w:rPr>
        <w:t xml:space="preserve">Material Optimization:</w:t>
      </w:r>
      <w:r>
        <w:t xml:space="preserve"> </w:t>
      </w:r>
      <w:r>
        <w:t xml:space="preserve">Explore alternative lower-carbon materials or design for dematerialization (reducing material quantity). Engage with suppliers for verifiable low-carbon inputs.</w:t>
      </w:r>
    </w:p>
    <w:p>
      <w:pPr>
        <w:numPr>
          <w:ilvl w:val="0"/>
          <w:numId w:val="1017"/>
        </w:numPr>
        <w:pStyle w:val="Compact"/>
      </w:pPr>
      <w:r>
        <w:rPr>
          <w:bCs/>
          <w:b/>
        </w:rPr>
        <w:t xml:space="preserve">Renewable Energy Expansion:</w:t>
      </w:r>
      <w:r>
        <w:t xml:space="preserve"> </w:t>
      </w:r>
      <w:r>
        <w:t xml:space="preserve">Increase renewable energy sourcing for production beyond 40% to further reduce Scope 2 emissions, potentially through direct procurement or purchasing high-quality energy attribute certificates.</w:t>
      </w:r>
    </w:p>
    <w:p>
      <w:pPr>
        <w:numPr>
          <w:ilvl w:val="0"/>
          <w:numId w:val="1017"/>
        </w:numPr>
        <w:pStyle w:val="Compact"/>
      </w:pPr>
      <w:r>
        <w:rPr>
          <w:bCs/>
          <w:b/>
        </w:rPr>
        <w:t xml:space="preserve">Energy Efficiency in Use:</w:t>
      </w:r>
      <w:r>
        <w:t xml:space="preserve"> </w:t>
      </w:r>
      <w:r>
        <w:t xml:space="preserve">Design dflgrpwrrd for greater energy efficiency during its use phase to minimize downstream Scope 3 impacts. This could involve using more efficient components or designing for lower power consumption.</w:t>
      </w:r>
    </w:p>
    <w:p>
      <w:pPr>
        <w:numPr>
          <w:ilvl w:val="0"/>
          <w:numId w:val="1017"/>
        </w:numPr>
        <w:pStyle w:val="Compact"/>
      </w:pPr>
      <w:r>
        <w:rPr>
          <w:bCs/>
          <w:b/>
        </w:rPr>
        <w:t xml:space="preserve">Logistics Optimization:</w:t>
      </w:r>
      <w:r>
        <w:t xml:space="preserve"> </w:t>
      </w:r>
      <w:r>
        <w:t xml:space="preserve">Investigate more efficient shipping routes, modes, or consolidation strategies. Explore regional production or distribution hubs where feasible to reduce long-haul transport distances.</w:t>
      </w:r>
    </w:p>
    <w:p>
      <w:pPr>
        <w:numPr>
          <w:ilvl w:val="0"/>
          <w:numId w:val="1017"/>
        </w:numPr>
        <w:pStyle w:val="Compact"/>
      </w:pPr>
      <w:r>
        <w:rPr>
          <w:bCs/>
          <w:b/>
        </w:rPr>
        <w:t xml:space="preserve">Enhance Circularity:</w:t>
      </w:r>
      <w:r>
        <w:t xml:space="preserve"> </w:t>
      </w:r>
      <w:r>
        <w:t xml:space="preserve">Strengthen take-back schemes and design for even higher recyclability or remanufacturing, driving greater avoided emissions at EoL. Proactive engagement with recycling infrastructure can further realize these benefits.</w:t>
      </w:r>
    </w:p>
    <w:p>
      <w:pPr>
        <w:pStyle w:val="FirstParagraph"/>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dflgrpwrrd</dc:title>
  <dc:creator/>
  <dc:description>Detailed Product Carbon Footprint (PCF) analysis report for dflgrpwrrd by Senior Sustainability Consultant fyzwqdzoih for hursowwqfi, adhering to GHG Protocol standards and 2026 LSR updates.</dc:description>
  <cp:keywords/>
  <dcterms:created xsi:type="dcterms:W3CDTF">2026-07-15T13:31:53Z</dcterms:created>
  <dcterms:modified xsi:type="dcterms:W3CDTF">2026-07-15T13:31:53Z</dcterms:modified>
</cp:coreProperties>
</file>

<file path=docProps/custom.xml><?xml version="1.0" encoding="utf-8"?>
<Properties xmlns="http://schemas.openxmlformats.org/officeDocument/2006/custom-properties" xmlns:vt="http://schemas.openxmlformats.org/officeDocument/2006/docPropsVTypes"/>
</file>