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dejotfsdsj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dejotfsdsj</w:t>
      </w:r>
    </w:p>
    <w:p>
      <w:pPr>
        <w:pStyle w:val="BodyText"/>
      </w:pPr>
      <w:r>
        <w:t xml:space="preserve">Company: wtnoqmusjw</w:t>
      </w:r>
    </w:p>
    <w:p>
      <w:pPr>
        <w:pStyle w:val="BodyText"/>
      </w:pPr>
      <w:r>
        <w:t xml:space="preserve">Senior Sustainability Consultant: pnwxirudxq</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the actual environmental impacts may vary depending on real-world conditions and specific supplier data.</w:t>
      </w:r>
    </w:p>
    <w:bookmarkEnd w:id="20"/>
    <w:bookmarkStart w:id="43" w:name="X96924aec0fb281f2a82bfcd6ff5299757c0008a"/>
    <w:p>
      <w:pPr>
        <w:pStyle w:val="Heading1"/>
      </w:pPr>
      <w:r>
        <w:t xml:space="preserve">Product Carbon Footprint (PCF) Analysis Report for dejotfsdsj</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dejotfsdsj</w:t>
      </w:r>
      <w:r>
        <w:t xml:space="preserve">, manufactured by</w:t>
      </w:r>
      <w:r>
        <w:t xml:space="preserve"> </w:t>
      </w:r>
      <w:r>
        <w:rPr>
          <w:bCs/>
          <w:b/>
        </w:rPr>
        <w:t xml:space="preserve">wtnoqmusjw</w:t>
      </w:r>
      <w:r>
        <w:t xml:space="preserve">. As</w:t>
      </w:r>
      <w:r>
        <w:t xml:space="preserve"> </w:t>
      </w:r>
      <w:r>
        <w:rPr>
          <w:bCs/>
          <w:b/>
        </w:rPr>
        <w:t xml:space="preserve">pnwxirudxq</w:t>
      </w:r>
      <w:r>
        <w:t xml:space="preserve">, Senior Sustainability Consultant specializing in GHG Protocol, this analysis quantifies the Greenhouse Gas (GHG) emissions associated with the product\'s lifecycle from material acquisition to end-of-life, adhering to the GHG Protocol\'s Corporate Standard and Scope 3 Standard, including the 2026 LSR update. The total PCF for one functional unit of dejotfsdsj has been calculated, identifying key emission hotspots across material sourcing, production, transportation, use, and end-of-life phases. This report aims to provide actionable insights for emission reduction strategies and enhanced sustainability performance.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scoping phase establishes the foundational parameters for the PCF analysis, ensuring a consistent and comparable assessment of environmental impacts.</w:t>
      </w:r>
    </w:p>
    <w:p>
      <w:pPr>
        <w:numPr>
          <w:ilvl w:val="0"/>
          <w:numId w:val="1001"/>
        </w:numPr>
        <w:pStyle w:val="Compact"/>
      </w:pPr>
      <w:r>
        <w:rPr>
          <w:bCs/>
          <w:b/>
        </w:rPr>
        <w:t xml:space="preserve">Functional Unit:</w:t>
      </w:r>
      <w:r>
        <w:t xml:space="preserve"> </w:t>
      </w:r>
      <w:r>
        <w:t xml:space="preserve">1.0 unit of dejotfsdsj. This represents the declared unit for which the environmental impacts are calculated.</w:t>
      </w:r>
    </w:p>
    <w:p>
      <w:pPr>
        <w:numPr>
          <w:ilvl w:val="0"/>
          <w:numId w:val="1001"/>
        </w:numPr>
        <w:pStyle w:val="Compact"/>
      </w:pPr>
      <w:r>
        <w:rPr>
          <w:bCs/>
          <w:b/>
        </w:rPr>
        <w:t xml:space="preserve">System Boundary:</w:t>
      </w:r>
      <w:r>
        <w:t xml:space="preserve"> </w:t>
      </w:r>
      <w:r>
        <w:t xml:space="preserve">While the primary operational boundary for</w:t>
      </w:r>
      <w:r>
        <w:t xml:space="preserve"> </w:t>
      </w:r>
      <w:r>
        <w:rPr>
          <w:bCs/>
          <w:b/>
        </w:rPr>
        <w:t xml:space="preserve">wtnoqmusjw</w:t>
      </w:r>
      <w:r>
        <w:t xml:space="preserve"> </w:t>
      </w:r>
      <w:r>
        <w:t xml:space="preserve">is</w:t>
      </w:r>
      <w:r>
        <w:t xml:space="preserve"> </w:t>
      </w:r>
      <w:r>
        <w:rPr>
          <w:iCs/>
          <w:i/>
        </w:rPr>
        <w:t xml:space="preserve">factory_gate</w:t>
      </w:r>
      <w:r>
        <w:t xml:space="preserve">, this comprehensive PCF analysis extends beyond to include downstream lifecycle stages (transport, use, and end-of-life) as per the detailed parameters provided. This approach allows for a more holistic understanding of the product\'s environmental impact, moving towards a "Cradle-to-Customer" or full "Cradle-to-Grave" perspective where relevant data allows.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(for downstream distribution and use phase assumptions)</w:t>
      </w:r>
    </w:p>
    <w:p>
      <w:pPr>
        <w:numPr>
          <w:ilvl w:val="0"/>
          <w:numId w:val="1001"/>
        </w:numPr>
        <w:pStyle w:val="Compact"/>
      </w:pPr>
      <w:r>
        <w:rPr>
          <w:bCs/>
          <w:b/>
        </w:rPr>
        <w:t xml:space="preserve">Accounting Standard:</w:t>
      </w:r>
      <w:r>
        <w:t xml:space="preserve"> </w:t>
      </w:r>
      <w:r>
        <w:t xml:space="preserve">GHG Protocol (Corporate Standard and Scope 3 Standard). This framework guides the categorization of emissions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each lifecycle stage. For shared processes (e.g., transport vehicles carrying multiple products), emissions are allocated proportionally by mass-distance (tonne-kilometer).</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mapping identifies all relevant stages of the product\'s life, from raw material extraction to end-of-life. Data collection gathers specific information for each stage, utilizing primary data where available (e.g., Detailed Bill of Materials, energy usage) and industry-standard secondary data for emission factors.</w:t>
      </w:r>
    </w:p>
    <w:bookmarkStart w:id="23" w:name="detailed-bill-of-materials-bom-ozugftzl"/>
    <w:p>
      <w:pPr>
        <w:pStyle w:val="Heading3"/>
      </w:pPr>
      <w:r>
        <w:t xml:space="preserve">Detailed Bill of Materials (BOM): ozugftzl</w:t>
      </w:r>
    </w:p>
    <w:p>
      <w:pPr>
        <w:pStyle w:val="FirstParagraph"/>
      </w:pPr>
      <w:r>
        <w:t xml:space="preserve">The following detailed Bill of Materials (BOM) for</w:t>
      </w:r>
      <w:r>
        <w:t xml:space="preserve"> </w:t>
      </w:r>
      <w:r>
        <w:rPr>
          <w:bCs/>
          <w:b/>
        </w:rPr>
        <w:t xml:space="preserve">dejotfsdsj</w:t>
      </w:r>
      <w:r>
        <w:t xml:space="preserve"> </w:t>
      </w:r>
      <w:r>
        <w:t xml:space="preserve">has been used for high-accuracy material impact calculation. The \'Emission Factor\' represents the cradle-to-gate emissions for the raw material or component production. \'Total Carbon\' is calculated as Quantity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4.50</w:t>
            </w:r>
          </w:p>
        </w:tc>
        <w:tc>
          <w:tcPr/>
          <w:p>
            <w:pPr>
              <w:pStyle w:val="Compact"/>
              <w:jc w:val="left"/>
            </w:pPr>
            <w:r>
              <w:t xml:space="preserve">0.45</w:t>
            </w:r>
          </w:p>
        </w:tc>
      </w:tr>
      <w:tr>
        <w:tc>
          <w:tcPr/>
          <w:p>
            <w:pPr>
              <w:pStyle w:val="Compact"/>
              <w:jc w:val="left"/>
            </w:pPr>
            <w:r>
              <w:t xml:space="preserve">M004</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4"/>
          </w:tcPr>
          <w:p>
            <w:pPr>
              <w:pStyle w:val="Compact"/>
              <w:jc w:val="left"/>
            </w:pPr>
            <w:r>
              <w:rPr>
                <w:bCs/>
                <w:b/>
              </w:rPr>
              <w:t xml:space="preserve">Total Material Weight</w:t>
            </w:r>
          </w:p>
        </w:tc>
        <w:tc>
          <w:tcPr/>
          <w:p>
            <w:pPr>
              <w:pStyle w:val="Compact"/>
              <w:jc w:val="left"/>
            </w:pPr>
            <w:r>
              <w:rPr>
                <w:bCs/>
                <w:b/>
              </w:rPr>
              <w:t xml:space="preserve">1.15</w:t>
            </w:r>
          </w:p>
        </w:tc>
        <w:tc>
          <w:tcPr/>
          <w:p>
            <w:pPr>
              <w:pStyle w:val="Compact"/>
              <w:jc w:val="left"/>
            </w:pPr>
            <w:r>
              <w:rPr>
                <w:bCs/>
                <w:b/>
              </w:rPr>
              <w:t xml:space="preserve">kg</w:t>
            </w:r>
          </w:p>
        </w:tc>
        <w:tc>
          <w:tcPr/>
          <w:p>
            <w:pPr>
              <w:pStyle w:val="Compact"/>
            </w:pPr>
          </w:p>
        </w:tc>
        <w:tc>
          <w:tcPr/>
          <w:p>
            <w:pPr>
              <w:pStyle w:val="Compact"/>
              <w:jc w:val="left"/>
            </w:pPr>
            <w:r>
              <w:rPr>
                <w:bCs/>
                <w:b/>
              </w:rPr>
              <w:t xml:space="preserve">3.20</w:t>
            </w:r>
          </w:p>
        </w:tc>
      </w:tr>
    </w:tbl>
    <w:p>
      <w:pPr>
        <w:pStyle w:val="BodyText"/>
      </w:pPr>
      <w:r>
        <w:rPr>
          <w:iCs/>
          <w:i/>
        </w:rPr>
        <w:t xml:space="preserve">The total weight of one functional unit of dejotfsdsj is 1.15 kg.</w:t>
      </w:r>
    </w:p>
    <w:bookmarkEnd w:id="23"/>
    <w:bookmarkStart w:id="24" w:name="production-phase-data"/>
    <w:p>
      <w:pPr>
        <w:pStyle w:val="Heading3"/>
      </w:pPr>
      <w:r>
        <w:t xml:space="preserve">Production Phase Data</w:t>
      </w:r>
    </w:p>
    <w:p>
      <w:pPr>
        <w:numPr>
          <w:ilvl w:val="0"/>
          <w:numId w:val="1003"/>
        </w:numPr>
        <w:pStyle w:val="Compact"/>
      </w:pPr>
      <w:r>
        <w:rPr>
          <w:bCs/>
          <w:b/>
        </w:rPr>
        <w:t xml:space="preserve">Energy Intensity (kWh/unit):</w:t>
      </w:r>
      <w:r>
        <w:t xml:space="preserve"> </w:t>
      </w:r>
      <w:r>
        <w:t xml:space="preserve">rufonrfmkh (10 kWh/unit)</w:t>
      </w:r>
    </w:p>
    <w:p>
      <w:pPr>
        <w:numPr>
          <w:ilvl w:val="0"/>
          <w:numId w:val="1003"/>
        </w:numPr>
        <w:pStyle w:val="Compact"/>
      </w:pPr>
      <w:r>
        <w:rPr>
          <w:bCs/>
          <w:b/>
        </w:rPr>
        <w:t xml:space="preserve">Renewable Energy Usage:</w:t>
      </w:r>
      <w:r>
        <w:t xml:space="preserve"> </w:t>
      </w:r>
      <w:r>
        <w:t xml:space="preserve">hyrkkeqzwg (40%) - Applied to the facility\'s purchased electricity.</w:t>
      </w:r>
    </w:p>
    <w:p>
      <w:pPr>
        <w:numPr>
          <w:ilvl w:val="0"/>
          <w:numId w:val="1003"/>
        </w:numPr>
        <w:pStyle w:val="Compact"/>
      </w:pPr>
      <w:r>
        <w:rPr>
          <w:bCs/>
          <w:b/>
        </w:rPr>
        <w:t xml:space="preserve">Assumed China Grid Emission Factor (2026):</w:t>
      </w:r>
      <w:r>
        <w:t xml:space="preserve"> </w:t>
      </w:r>
      <w:r>
        <w:t xml:space="preserve">0.50 kg CO2e/kWh (based on 2025 data and projected decline for China).</w:t>
      </w:r>
    </w:p>
    <w:bookmarkEnd w:id="24"/>
    <w:bookmarkStart w:id="25" w:name="transport-logistics-data"/>
    <w:p>
      <w:pPr>
        <w:pStyle w:val="Heading3"/>
      </w:pPr>
      <w:r>
        <w:t xml:space="preserve">Transport Logistics Data</w:t>
      </w:r>
    </w:p>
    <w:p>
      <w:pPr>
        <w:numPr>
          <w:ilvl w:val="0"/>
          <w:numId w:val="1004"/>
        </w:numPr>
        <w:pStyle w:val="Compact"/>
      </w:pPr>
      <w:r>
        <w:rPr>
          <w:bCs/>
          <w:b/>
        </w:rPr>
        <w:t xml:space="preserve">Product Weight for Transport:</w:t>
      </w:r>
      <w:r>
        <w:t xml:space="preserve"> </w:t>
      </w:r>
      <w:r>
        <w:t xml:space="preserve">1.15 kg per unit</w:t>
      </w:r>
    </w:p>
    <w:p>
      <w:pPr>
        <w:numPr>
          <w:ilvl w:val="0"/>
          <w:numId w:val="1004"/>
        </w:numPr>
        <w:pStyle w:val="Compact"/>
      </w:pPr>
      <w:r>
        <w:rPr>
          <w:bCs/>
          <w:b/>
        </w:rPr>
        <w:t xml:space="preserve">Transport Mode:</w:t>
      </w:r>
    </w:p>
    <w:p>
      <w:pPr>
        <w:numPr>
          <w:ilvl w:val="1"/>
          <w:numId w:val="1005"/>
        </w:numPr>
        <w:pStyle w:val="Compact"/>
      </w:pPr>
      <w:r>
        <w:t xml:space="preserve">Long-haul: Ocean freight (container ship)</w:t>
      </w:r>
    </w:p>
    <w:p>
      <w:pPr>
        <w:numPr>
          <w:ilvl w:val="1"/>
          <w:numId w:val="1005"/>
        </w:numPr>
        <w:pStyle w:val="Compact"/>
      </w:pPr>
      <w:r>
        <w:t xml:space="preserve">Regional: Road freight (HGV &gt;20t)</w:t>
      </w:r>
    </w:p>
    <w:p>
      <w:pPr>
        <w:numPr>
          <w:ilvl w:val="1"/>
          <w:numId w:val="1005"/>
        </w:numPr>
        <w:pStyle w:val="Compact"/>
      </w:pPr>
      <w:r>
        <w:t xml:space="preserve">Last-mile: Light Commercial Vehicle (diesel)</w:t>
      </w:r>
    </w:p>
    <w:p>
      <w:pPr>
        <w:numPr>
          <w:ilvl w:val="0"/>
          <w:numId w:val="1004"/>
        </w:numPr>
        <w:pStyle w:val="Compact"/>
      </w:pPr>
      <w:r>
        <w:rPr>
          <w:bCs/>
          <w:b/>
        </w:rPr>
        <w:t xml:space="preserve">Transport Distance (hwevplqnso):</w:t>
      </w:r>
    </w:p>
    <w:p>
      <w:pPr>
        <w:numPr>
          <w:ilvl w:val="1"/>
          <w:numId w:val="1006"/>
        </w:numPr>
        <w:pStyle w:val="Compact"/>
      </w:pPr>
      <w:r>
        <w:t xml:space="preserve">Ocean Freight (China to Europe distribution hub): 15,000 km</w:t>
      </w:r>
    </w:p>
    <w:p>
      <w:pPr>
        <w:numPr>
          <w:ilvl w:val="1"/>
          <w:numId w:val="1006"/>
        </w:numPr>
        <w:pStyle w:val="Compact"/>
      </w:pPr>
      <w:r>
        <w:t xml:space="preserve">Road Freight (Europe hub to regional distribution center): 500 km</w:t>
      </w:r>
    </w:p>
    <w:p>
      <w:pPr>
        <w:numPr>
          <w:ilvl w:val="0"/>
          <w:numId w:val="1004"/>
        </w:numPr>
        <w:pStyle w:val="Compact"/>
      </w:pPr>
      <w:r>
        <w:rPr>
          <w:bCs/>
          <w:b/>
        </w:rPr>
        <w:t xml:space="preserve">Last-Mile Delivery Channel (Delivery Type):</w:t>
      </w:r>
      <w:r>
        <w:t xml:space="preserve"> </w:t>
      </w:r>
      <w:r>
        <w:t xml:space="preserve">Light Commercial Vehicle (diesel), average distance 50 km per unit.</w:t>
      </w:r>
    </w:p>
    <w:p>
      <w:pPr>
        <w:numPr>
          <w:ilvl w:val="0"/>
          <w:numId w:val="1004"/>
        </w:numPr>
        <w:pStyle w:val="Compact"/>
      </w:pPr>
      <w:r>
        <w:rPr>
          <w:bCs/>
          <w:b/>
        </w:rPr>
        <w:t xml:space="preserve">Assumed Emission Factors:</w:t>
      </w:r>
    </w:p>
    <w:p>
      <w:pPr>
        <w:numPr>
          <w:ilvl w:val="1"/>
          <w:numId w:val="1007"/>
        </w:numPr>
        <w:pStyle w:val="Compact"/>
      </w:pPr>
      <w:r>
        <w:t xml:space="preserve">Ocean Freight: 0.016 kgCO2e/tonne-km</w:t>
      </w:r>
    </w:p>
    <w:p>
      <w:pPr>
        <w:numPr>
          <w:ilvl w:val="1"/>
          <w:numId w:val="1007"/>
        </w:numPr>
        <w:pStyle w:val="Compact"/>
      </w:pPr>
      <w:r>
        <w:t xml:space="preserve">Road Freight (HGV &gt;20t): 0.161 kgCO2e/tonne-km</w:t>
      </w:r>
    </w:p>
    <w:p>
      <w:pPr>
        <w:numPr>
          <w:ilvl w:val="1"/>
          <w:numId w:val="1007"/>
        </w:numPr>
        <w:pStyle w:val="Compact"/>
      </w:pPr>
      <w:r>
        <w:t xml:space="preserve">Light Commercial Vehicle (diesel): For last-mile, an estimated average of 0.1 kgCO2e per unit for a 50 km trip (assuming shared vehicle capacity).</w:t>
      </w:r>
    </w:p>
    <w:bookmarkEnd w:id="25"/>
    <w:bookmarkStart w:id="26" w:name="use-phase-data"/>
    <w:p>
      <w:pPr>
        <w:pStyle w:val="Heading3"/>
      </w:pPr>
      <w:r>
        <w:t xml:space="preserve">Use Phase Data</w:t>
      </w:r>
    </w:p>
    <w:p>
      <w:pPr>
        <w:numPr>
          <w:ilvl w:val="0"/>
          <w:numId w:val="1008"/>
        </w:numPr>
        <w:pStyle w:val="Compact"/>
      </w:pPr>
      <w:r>
        <w:rPr>
          <w:bCs/>
          <w:b/>
        </w:rPr>
        <w:t xml:space="preserve">Product Lifespan (whrusudoeo):</w:t>
      </w:r>
      <w:r>
        <w:t xml:space="preserve"> </w:t>
      </w:r>
      <w:r>
        <w:t xml:space="preserve">3 years</w:t>
      </w:r>
    </w:p>
    <w:p>
      <w:pPr>
        <w:numPr>
          <w:ilvl w:val="0"/>
          <w:numId w:val="1008"/>
        </w:numPr>
        <w:pStyle w:val="Compact"/>
      </w:pPr>
      <w:r>
        <w:rPr>
          <w:bCs/>
          <w:b/>
        </w:rPr>
        <w:t xml:space="preserve">Energy Consumption in Use (fgmosfdmnf):</w:t>
      </w:r>
      <w:r>
        <w:t xml:space="preserve"> </w:t>
      </w:r>
      <w:r>
        <w:t xml:space="preserve">5 kWh/year</w:t>
      </w:r>
    </w:p>
    <w:p>
      <w:pPr>
        <w:numPr>
          <w:ilvl w:val="0"/>
          <w:numId w:val="1008"/>
        </w:numPr>
        <w:pStyle w:val="Compact"/>
      </w:pPr>
      <w:r>
        <w:rPr>
          <w:bCs/>
          <w:b/>
        </w:rPr>
        <w:t xml:space="preserve">Assumed European Average Grid Emission Factor (2026):</w:t>
      </w:r>
      <w:r>
        <w:t xml:space="preserve"> </w:t>
      </w:r>
      <w:r>
        <w:t xml:space="preserve">0.25 kg CO2e/kWh (conservative average based on decreasing European carbon factors and residual mix data).</w:t>
      </w:r>
    </w:p>
    <w:bookmarkEnd w:id="26"/>
    <w:bookmarkStart w:id="27" w:name="end-of-life-eol-scenarios"/>
    <w:p>
      <w:pPr>
        <w:pStyle w:val="Heading3"/>
      </w:pPr>
      <w:r>
        <w:t xml:space="preserve">End-of-Life (EoL) Scenarios</w:t>
      </w:r>
    </w:p>
    <w:p>
      <w:pPr>
        <w:numPr>
          <w:ilvl w:val="0"/>
          <w:numId w:val="1009"/>
        </w:numPr>
        <w:pStyle w:val="Compact"/>
      </w:pPr>
      <w:r>
        <w:rPr>
          <w:bCs/>
          <w:b/>
        </w:rPr>
        <w:t xml:space="preserve">Recyclability Percentage (zsohgulypy):</w:t>
      </w:r>
      <w:r>
        <w:t xml:space="preserve"> </w:t>
      </w:r>
      <w:r>
        <w:t xml:space="preserve">60% (of total product weight)</w:t>
      </w:r>
    </w:p>
    <w:p>
      <w:pPr>
        <w:numPr>
          <w:ilvl w:val="0"/>
          <w:numId w:val="1009"/>
        </w:numPr>
        <w:pStyle w:val="Compact"/>
      </w:pPr>
      <w:r>
        <w:rPr>
          <w:bCs/>
          <w:b/>
        </w:rPr>
        <w:t xml:space="preserve">Circular/Take-back Programs (kmfxndwzsn):</w:t>
      </w:r>
      <w:r>
        <w:t xml:space="preserve"> </w:t>
      </w:r>
      <w:r>
        <w:t xml:space="preserve">A formal take-back and refurbishment program exists for key components, aiming to recover 30% of key materials for reuse. This represents an additional benefit beyond standard recycling.</w:t>
      </w:r>
    </w:p>
    <w:p>
      <w:pPr>
        <w:numPr>
          <w:ilvl w:val="0"/>
          <w:numId w:val="1009"/>
        </w:numPr>
        <w:pStyle w:val="Compact"/>
      </w:pPr>
      <w:r>
        <w:rPr>
          <w:bCs/>
          <w:b/>
        </w:rPr>
        <w:t xml:space="preserve">Assumed Emission Factors for EoL:</w:t>
      </w:r>
    </w:p>
    <w:p>
      <w:pPr>
        <w:numPr>
          <w:ilvl w:val="1"/>
          <w:numId w:val="1010"/>
        </w:numPr>
        <w:pStyle w:val="Compact"/>
      </w:pPr>
      <w:r>
        <w:t xml:space="preserve">Landfill: 0.1 kgCO2e/kg (for non-recycled portion)</w:t>
      </w:r>
    </w:p>
    <w:p>
      <w:pPr>
        <w:numPr>
          <w:ilvl w:val="1"/>
          <w:numId w:val="1010"/>
        </w:numPr>
        <w:pStyle w:val="Compact"/>
      </w:pPr>
      <w:r>
        <w:t xml:space="preserve">Avoided emissions from recycling: -1.5 kgCO2e/kg (average for mixed recyclables, representing avoided virgin material production)</w:t>
      </w:r>
    </w:p>
    <w:p>
      <w:r>
        <w:pict>
          <v:rect style="width:0;height:1.5pt" o:hralign="center" o:hrstd="t" o:hr="t"/>
        </w:pict>
      </w:r>
    </w:p>
    <w:bookmarkEnd w:id="27"/>
    <w:bookmarkEnd w:id="28"/>
    <w:bookmarkStart w:id="39" w:name="calculate-emissions"/>
    <w:p>
      <w:pPr>
        <w:pStyle w:val="Heading2"/>
      </w:pPr>
      <w:r>
        <w:t xml:space="preserve">4. Calculate Emissions</w:t>
      </w:r>
    </w:p>
    <w:p>
      <w:pPr>
        <w:pStyle w:val="FirstParagraph"/>
      </w:pPr>
      <w:r>
        <w:t xml:space="preserve">Emissions are calculated for each lifecycle stage and categorized according to the GHG Protocol. All calculations are for a single functional unit of</w:t>
      </w:r>
      <w:r>
        <w:t xml:space="preserve"> </w:t>
      </w:r>
      <w:r>
        <w:rPr>
          <w:bCs/>
          <w:b/>
        </w:rPr>
        <w:t xml:space="preserve">dejotfsdsj</w:t>
      </w:r>
      <w:r>
        <w:t xml:space="preserve">.</w:t>
      </w:r>
    </w:p>
    <w:bookmarkStart w:id="31" w:name="scope-3-upstream-emissions"/>
    <w:p>
      <w:pPr>
        <w:pStyle w:val="Heading3"/>
      </w:pPr>
      <w:r>
        <w:t xml:space="preserve">4.1. Scope 3: Upstream Emissions</w:t>
      </w:r>
    </w:p>
    <w:bookmarkStart w:id="29" w:name="X56f81b443ebd89f3dffcc02b9be361636e6d140"/>
    <w:p>
      <w:pPr>
        <w:pStyle w:val="Heading4"/>
      </w:pPr>
      <w:r>
        <w:t xml:space="preserve">4.1.1. Material Acquisition &amp; Pre-processing (Category 1: Purchased Goods and Services)</w:t>
      </w:r>
    </w:p>
    <w:p>
      <w:pPr>
        <w:pStyle w:val="FirstParagraph"/>
      </w:pPr>
      <w:r>
        <w:t xml:space="preserve">Based on the Detailed Bill of Materials (BOM) provided, the total emissions from the acquisition and pre-processing of raw materials are:</w:t>
      </w:r>
    </w:p>
    <w:p>
      <w:pPr>
        <w:numPr>
          <w:ilvl w:val="0"/>
          <w:numId w:val="1011"/>
        </w:numPr>
        <w:pStyle w:val="Compact"/>
      </w:pPr>
      <w:r>
        <w:t xml:space="preserve">Steel Casing: 0.50 kg * 2.00 kgCO2e/kg = 1.00 kgCO2e</w:t>
      </w:r>
    </w:p>
    <w:p>
      <w:pPr>
        <w:numPr>
          <w:ilvl w:val="0"/>
          <w:numId w:val="1011"/>
        </w:numPr>
        <w:pStyle w:val="Compact"/>
      </w:pPr>
      <w:r>
        <w:t xml:space="preserve">ABS Plastic Housing: 0.30 kg * 3.50 kgCO2e/kg = 1.05 kgCO2e</w:t>
      </w:r>
    </w:p>
    <w:p>
      <w:pPr>
        <w:numPr>
          <w:ilvl w:val="0"/>
          <w:numId w:val="1011"/>
        </w:numPr>
        <w:pStyle w:val="Compact"/>
      </w:pPr>
      <w:r>
        <w:t xml:space="preserve">Copper Wiring: 0.10 kg * 4.50 kgCO2e/kg = 0.45 kgCO2e</w:t>
      </w:r>
    </w:p>
    <w:p>
      <w:pPr>
        <w:numPr>
          <w:ilvl w:val="0"/>
          <w:numId w:val="1011"/>
        </w:numPr>
        <w:pStyle w:val="Compact"/>
      </w:pPr>
      <w:r>
        <w:t xml:space="preserve">Electronic Circuit Board: 0.05 kg * 10.00 kgCO2e/kg = 0.50 kgCO2e</w:t>
      </w:r>
    </w:p>
    <w:p>
      <w:pPr>
        <w:numPr>
          <w:ilvl w:val="0"/>
          <w:numId w:val="1011"/>
        </w:numPr>
        <w:pStyle w:val="Compact"/>
      </w:pPr>
      <w:r>
        <w:t xml:space="preserve">Cardboard Packaging: 0.20 kg * 1.00 kgCO2e/kg = 0.20 kgCO2e</w:t>
      </w:r>
    </w:p>
    <w:p>
      <w:pPr>
        <w:pStyle w:val="FirstParagraph"/>
      </w:pPr>
      <w:r>
        <w:rPr>
          <w:bCs/>
          <w:b/>
        </w:rPr>
        <w:t xml:space="preserve">Total Material Emissions: 3.20 kgCO2e</w:t>
      </w:r>
    </w:p>
    <w:bookmarkEnd w:id="29"/>
    <w:bookmarkStart w:id="30" w:name="X1ba14597aa58affb2f1bc7a69940c64f4addd9d"/>
    <w:p>
      <w:pPr>
        <w:pStyle w:val="Heading4"/>
      </w:pPr>
      <w:r>
        <w:t xml:space="preserve">4.1.2. Upstream Transportation and Distribution (Category 4)</w:t>
      </w:r>
    </w:p>
    <w:p>
      <w:pPr>
        <w:pStyle w:val="FirstParagraph"/>
      </w:pPr>
      <w:r>
        <w:t xml:space="preserve">Emissions from transporting the finished product from the factory in China to the European distribution hub:</w:t>
      </w:r>
    </w:p>
    <w:p>
      <w:pPr>
        <w:numPr>
          <w:ilvl w:val="0"/>
          <w:numId w:val="1012"/>
        </w:numPr>
        <w:pStyle w:val="Compact"/>
      </w:pPr>
      <w:r>
        <w:rPr>
          <w:bCs/>
          <w:b/>
        </w:rPr>
        <w:t xml:space="preserve">Ocean Freight (China to Europe):</w:t>
      </w:r>
    </w:p>
    <w:p>
      <w:pPr>
        <w:numPr>
          <w:ilvl w:val="1"/>
          <w:numId w:val="1013"/>
        </w:numPr>
        <w:pStyle w:val="Compact"/>
      </w:pPr>
      <w:r>
        <w:t xml:space="preserve">Distance: 15,000 km</w:t>
      </w:r>
    </w:p>
    <w:p>
      <w:pPr>
        <w:numPr>
          <w:ilvl w:val="1"/>
          <w:numId w:val="1013"/>
        </w:numPr>
        <w:pStyle w:val="Compact"/>
      </w:pPr>
      <w:r>
        <w:t xml:space="preserve">Product weight: 1.15 kg = 0.00115 tonnes</w:t>
      </w:r>
    </w:p>
    <w:p>
      <w:pPr>
        <w:numPr>
          <w:ilvl w:val="1"/>
          <w:numId w:val="1013"/>
        </w:numPr>
        <w:pStyle w:val="Compact"/>
      </w:pPr>
      <w:r>
        <w:t xml:space="preserve">Emissions: 15,000 km * 0.00115 tonnes * 0.016 kgCO2e/tonne-km = 0.276 kgCO2e</w:t>
      </w:r>
    </w:p>
    <w:p>
      <w:pPr>
        <w:numPr>
          <w:ilvl w:val="0"/>
          <w:numId w:val="1012"/>
        </w:numPr>
        <w:pStyle w:val="Compact"/>
      </w:pPr>
      <w:r>
        <w:rPr>
          <w:bCs/>
          <w:b/>
        </w:rPr>
        <w:t xml:space="preserve">Road Freight (Europe hub to regional distribution center):</w:t>
      </w:r>
    </w:p>
    <w:p>
      <w:pPr>
        <w:numPr>
          <w:ilvl w:val="1"/>
          <w:numId w:val="1014"/>
        </w:numPr>
        <w:pStyle w:val="Compact"/>
      </w:pPr>
      <w:r>
        <w:t xml:space="preserve">Distance: 500 km</w:t>
      </w:r>
    </w:p>
    <w:p>
      <w:pPr>
        <w:numPr>
          <w:ilvl w:val="1"/>
          <w:numId w:val="1014"/>
        </w:numPr>
        <w:pStyle w:val="Compact"/>
      </w:pPr>
      <w:r>
        <w:t xml:space="preserve">Product weight: 1.15 kg = 0.00115 tonnes</w:t>
      </w:r>
    </w:p>
    <w:p>
      <w:pPr>
        <w:numPr>
          <w:ilvl w:val="1"/>
          <w:numId w:val="1014"/>
        </w:numPr>
        <w:pStyle w:val="Compact"/>
      </w:pPr>
      <w:r>
        <w:t xml:space="preserve">Emissions: 500 km * 0.00115 tonnes * 0.161 kgCO2e/tonne-km = 0.0926 kgCO2e</w:t>
      </w:r>
    </w:p>
    <w:p>
      <w:pPr>
        <w:pStyle w:val="FirstParagraph"/>
      </w:pPr>
      <w:r>
        <w:rPr>
          <w:bCs/>
          <w:b/>
        </w:rPr>
        <w:t xml:space="preserve">Total Upstream Transportation Emissions: 0.3686 kgCO2e</w:t>
      </w:r>
    </w:p>
    <w:bookmarkEnd w:id="30"/>
    <w:bookmarkEnd w:id="31"/>
    <w:bookmarkStart w:id="32" w:name="production-emissions-scope-1-scope-2"/>
    <w:p>
      <w:pPr>
        <w:pStyle w:val="Heading3"/>
      </w:pPr>
      <w:r>
        <w:t xml:space="preserve">4.2. Production Emissions (Scope 1 &amp; Scope 2)</w:t>
      </w:r>
    </w:p>
    <w:p>
      <w:pPr>
        <w:pStyle w:val="FirstParagraph"/>
      </w:pPr>
      <w:r>
        <w:t xml:space="preserve">Emissions generated during the manufacturing process at the factory gate.</w:t>
      </w:r>
    </w:p>
    <w:p>
      <w:pPr>
        <w:numPr>
          <w:ilvl w:val="0"/>
          <w:numId w:val="1015"/>
        </w:numPr>
        <w:pStyle w:val="Compact"/>
      </w:pPr>
      <w:r>
        <w:rPr>
          <w:bCs/>
          <w:b/>
        </w:rPr>
        <w:t xml:space="preserve">Scope 2: Purchased Electricity</w:t>
      </w:r>
    </w:p>
    <w:p>
      <w:pPr>
        <w:numPr>
          <w:ilvl w:val="1"/>
          <w:numId w:val="1016"/>
        </w:numPr>
        <w:pStyle w:val="Compact"/>
      </w:pPr>
      <w:r>
        <w:t xml:space="preserve">Total Energy Intensity: 10 kWh/unit</w:t>
      </w:r>
    </w:p>
    <w:p>
      <w:pPr>
        <w:numPr>
          <w:ilvl w:val="1"/>
          <w:numId w:val="1016"/>
        </w:numPr>
        <w:pStyle w:val="Compact"/>
      </w:pPr>
      <w:r>
        <w:t xml:space="preserve">Renewable Energy Usage: 40% (4 kWh) - Assumed 0 kgCO2e due to certified renewable energy procurement.</w:t>
      </w:r>
    </w:p>
    <w:p>
      <w:pPr>
        <w:numPr>
          <w:ilvl w:val="1"/>
          <w:numId w:val="1016"/>
        </w:numPr>
        <w:pStyle w:val="Compact"/>
      </w:pPr>
      <w:r>
        <w:t xml:space="preserve">Grid Electricity Usage: 60% (6 kWh)</w:t>
      </w:r>
    </w:p>
    <w:p>
      <w:pPr>
        <w:numPr>
          <w:ilvl w:val="1"/>
          <w:numId w:val="1016"/>
        </w:numPr>
        <w:pStyle w:val="Compact"/>
      </w:pPr>
      <w:r>
        <w:t xml:space="preserve">Emissions from Grid Electricity: 6 kWh * 0.50 kgCO2e/kWh (China EF) = 3.00 kgCO2e</w:t>
      </w:r>
    </w:p>
    <w:p>
      <w:pPr>
        <w:numPr>
          <w:ilvl w:val="0"/>
          <w:numId w:val="1015"/>
        </w:numPr>
        <w:pStyle w:val="Compact"/>
      </w:pPr>
      <w:r>
        <w:rPr>
          <w:bCs/>
          <w:b/>
        </w:rPr>
        <w:t xml:space="preserve">Scope 1: Direct Emissions (e.g., on-site fuel combustion, process emissions)</w:t>
      </w:r>
    </w:p>
    <w:p>
      <w:pPr>
        <w:numPr>
          <w:ilvl w:val="1"/>
          <w:numId w:val="1017"/>
        </w:numPr>
        <w:pStyle w:val="Compact"/>
      </w:pPr>
      <w:r>
        <w:t xml:space="preserve">Assumed Direct Process Emissions: 0.10 kgCO2e/unit (placeholder for minor direct manufacturing emissions)</w:t>
      </w:r>
    </w:p>
    <w:p>
      <w:pPr>
        <w:pStyle w:val="FirstParagraph"/>
      </w:pPr>
      <w:r>
        <w:rPr>
          <w:bCs/>
          <w:b/>
        </w:rPr>
        <w:t xml:space="preserve">Total Production Emissions: 3.00 kgCO2e (Scope 2) + 0.10 kgCO2e (Scope 1) = 3.10 kgCO2e</w:t>
      </w:r>
    </w:p>
    <w:bookmarkEnd w:id="32"/>
    <w:bookmarkStart w:id="36" w:name="scope-3-downstream-emissions"/>
    <w:p>
      <w:pPr>
        <w:pStyle w:val="Heading3"/>
      </w:pPr>
      <w:r>
        <w:t xml:space="preserve">4.3. Scope 3: Downstream Emissions</w:t>
      </w:r>
    </w:p>
    <w:bookmarkStart w:id="33" w:name="X4a4e8e3b229fc696037344f6caf20042bf5cbd8"/>
    <w:p>
      <w:pPr>
        <w:pStyle w:val="Heading4"/>
      </w:pPr>
      <w:r>
        <w:t xml:space="preserve">4.3.1. Downstream Transportation and Distribution (Category 9)</w:t>
      </w:r>
    </w:p>
    <w:p>
      <w:pPr>
        <w:pStyle w:val="FirstParagraph"/>
      </w:pPr>
      <w:r>
        <w:t xml:space="preserve">Emissions from last-mile delivery to the end customer.</w:t>
      </w:r>
    </w:p>
    <w:p>
      <w:pPr>
        <w:numPr>
          <w:ilvl w:val="0"/>
          <w:numId w:val="1018"/>
        </w:numPr>
        <w:pStyle w:val="Compact"/>
      </w:pPr>
      <w:r>
        <w:rPr>
          <w:bCs/>
          <w:b/>
        </w:rPr>
        <w:t xml:space="preserve">Last-Mile Delivery (Light Commercial Vehicle, diesel):</w:t>
      </w:r>
    </w:p>
    <w:p>
      <w:pPr>
        <w:numPr>
          <w:ilvl w:val="1"/>
          <w:numId w:val="1019"/>
        </w:numPr>
        <w:pStyle w:val="Compact"/>
      </w:pPr>
      <w:r>
        <w:t xml:space="preserve">Average distance: 50 km per unit</w:t>
      </w:r>
    </w:p>
    <w:p>
      <w:pPr>
        <w:numPr>
          <w:ilvl w:val="1"/>
          <w:numId w:val="1019"/>
        </w:numPr>
        <w:pStyle w:val="Compact"/>
      </w:pPr>
      <w:r>
        <w:t xml:space="preserve">Emissions: 0.10 kgCO2e/unit (estimated average for a single unit\'s share of LCV emissions over 50 km)</w:t>
      </w:r>
    </w:p>
    <w:p>
      <w:pPr>
        <w:pStyle w:val="FirstParagraph"/>
      </w:pPr>
      <w:r>
        <w:rPr>
          <w:bCs/>
          <w:b/>
        </w:rPr>
        <w:t xml:space="preserve">Total Downstream Transportation Emissions: 0.10 kgCO2e</w:t>
      </w:r>
    </w:p>
    <w:bookmarkEnd w:id="33"/>
    <w:bookmarkStart w:id="34" w:name="use-of-sold-products-category-11"/>
    <w:p>
      <w:pPr>
        <w:pStyle w:val="Heading4"/>
      </w:pPr>
      <w:r>
        <w:t xml:space="preserve">4.3.2. Use of Sold Products (Category 11)</w:t>
      </w:r>
    </w:p>
    <w:p>
      <w:pPr>
        <w:pStyle w:val="FirstParagraph"/>
      </w:pPr>
      <w:r>
        <w:t xml:space="preserve">Emissions generated during the product\'s lifespan by the end-user.</w:t>
      </w:r>
    </w:p>
    <w:p>
      <w:pPr>
        <w:numPr>
          <w:ilvl w:val="0"/>
          <w:numId w:val="1020"/>
        </w:numPr>
        <w:pStyle w:val="Compact"/>
      </w:pPr>
      <w:r>
        <w:t xml:space="preserve">Product Lifespan: 3 years</w:t>
      </w:r>
    </w:p>
    <w:p>
      <w:pPr>
        <w:numPr>
          <w:ilvl w:val="0"/>
          <w:numId w:val="1020"/>
        </w:numPr>
        <w:pStyle w:val="Compact"/>
      </w:pPr>
      <w:r>
        <w:t xml:space="preserve">Energy Consumption in Use: 5 kWh/year</w:t>
      </w:r>
    </w:p>
    <w:p>
      <w:pPr>
        <w:numPr>
          <w:ilvl w:val="0"/>
          <w:numId w:val="1020"/>
        </w:numPr>
        <w:pStyle w:val="Compact"/>
      </w:pPr>
      <w:r>
        <w:t xml:space="preserve">Total Energy Consumption: 5 kWh/year * 3 years = 15 kWh</w:t>
      </w:r>
    </w:p>
    <w:p>
      <w:pPr>
        <w:numPr>
          <w:ilvl w:val="0"/>
          <w:numId w:val="1020"/>
        </w:numPr>
        <w:pStyle w:val="Compact"/>
      </w:pPr>
      <w:r>
        <w:t xml:space="preserve">Emissions from Use Phase: 15 kWh * 0.25 kgCO2e/kWh (European EF) = 3.75 kgCO2e</w:t>
      </w:r>
    </w:p>
    <w:p>
      <w:pPr>
        <w:pStyle w:val="FirstParagraph"/>
      </w:pPr>
      <w:r>
        <w:rPr>
          <w:bCs/>
          <w:b/>
        </w:rPr>
        <w:t xml:space="preserve">Total Use Phase Emissions: 3.75 kgCO2e</w:t>
      </w:r>
    </w:p>
    <w:bookmarkEnd w:id="34"/>
    <w:bookmarkStart w:id="35" w:name="X7eecd0528a4129578e12f0f82acdf78ed4201e7"/>
    <w:p>
      <w:pPr>
        <w:pStyle w:val="Heading4"/>
      </w:pPr>
      <w:r>
        <w:t xml:space="preserve">4.3.3. End-of-Life Treatment of Sold Products (Category 12)</w:t>
      </w:r>
    </w:p>
    <w:p>
      <w:pPr>
        <w:pStyle w:val="FirstParagraph"/>
      </w:pPr>
      <w:r>
        <w:t xml:space="preserve">Emissions and avoided emissions related to the disposal and recycling of the product.</w:t>
      </w:r>
    </w:p>
    <w:p>
      <w:pPr>
        <w:numPr>
          <w:ilvl w:val="0"/>
          <w:numId w:val="1021"/>
        </w:numPr>
        <w:pStyle w:val="Compact"/>
      </w:pPr>
      <w:r>
        <w:t xml:space="preserve">Total Product Weight: 1.15 kg</w:t>
      </w:r>
    </w:p>
    <w:p>
      <w:pPr>
        <w:numPr>
          <w:ilvl w:val="0"/>
          <w:numId w:val="1021"/>
        </w:numPr>
        <w:pStyle w:val="Compact"/>
      </w:pPr>
      <w:r>
        <w:t xml:space="preserve">Recyclability Percentage: 60%</w:t>
      </w:r>
    </w:p>
    <w:p>
      <w:pPr>
        <w:numPr>
          <w:ilvl w:val="0"/>
          <w:numId w:val="1021"/>
        </w:numPr>
        <w:pStyle w:val="Compact"/>
      </w:pPr>
      <w:r>
        <w:t xml:space="preserve">Weight Recycled: 1.15 kg * 0.60 = 0.69 kg</w:t>
      </w:r>
    </w:p>
    <w:p>
      <w:pPr>
        <w:numPr>
          <w:ilvl w:val="0"/>
          <w:numId w:val="1021"/>
        </w:numPr>
        <w:pStyle w:val="Compact"/>
      </w:pPr>
      <w:r>
        <w:t xml:space="preserve">Weight Disposed (Landfill): 1.15 kg * 0.40 = 0.46 kg</w:t>
      </w:r>
    </w:p>
    <w:p>
      <w:pPr>
        <w:numPr>
          <w:ilvl w:val="0"/>
          <w:numId w:val="1021"/>
        </w:numPr>
        <w:pStyle w:val="Compact"/>
      </w:pPr>
      <w:r>
        <w:t xml:space="preserve">Emissions from Landfill: 0.46 kg * 0.1 kgCO2e/kg = 0.046 kgCO2e</w:t>
      </w:r>
    </w:p>
    <w:p>
      <w:pPr>
        <w:numPr>
          <w:ilvl w:val="0"/>
          <w:numId w:val="1021"/>
        </w:numPr>
        <w:pStyle w:val="Compact"/>
      </w:pPr>
      <w:r>
        <w:t xml:space="preserve">Avoided Emissions from Recycling: 0.69 kg * (-1.5 kgCO2e/kg) = -1.035 kgCO2e</w:t>
      </w:r>
    </w:p>
    <w:p>
      <w:pPr>
        <w:pStyle w:val="FirstParagraph"/>
      </w:pPr>
      <w:r>
        <w:rPr>
          <w:bCs/>
          <w:b/>
        </w:rPr>
        <w:t xml:space="preserve">Net End-of-Life Emissions: 0.046 kgCO2e - 1.035 kgCO2e = -0.989 kgCO2e</w:t>
      </w:r>
      <w:r>
        <w:t xml:space="preserve"> </w:t>
      </w:r>
      <w:r>
        <w:t xml:space="preserve">(a net carbon saving)</w:t>
      </w:r>
    </w:p>
    <w:p>
      <w:pPr>
        <w:pStyle w:val="BodyText"/>
      </w:pPr>
      <w:r>
        <w:t xml:space="preserve">The formal take-back and refurbishment program (kmfxndwzsn) further enhances circularity by aiming to recover 30% of key materials for reuse. This reuse typically results in significantly higher avoided emissions compared to recycling, as it bypasses the energy and material inputs for primary processing associated with recycling. While not quantitatively factored into the net EoL emissions above for direct comparison with recyclability, its qualitative impact is substantial in reducing overall value chain emissions.</w:t>
      </w:r>
    </w:p>
    <w:bookmarkEnd w:id="35"/>
    <w:bookmarkEnd w:id="36"/>
    <w:bookmarkStart w:id="37" w:name="Xd0f7e1d05ed9e615781699c23ee11c1efcf0cc2"/>
    <w:p>
      <w:pPr>
        <w:pStyle w:val="Heading3"/>
      </w:pPr>
      <w:r>
        <w:t xml:space="preserve">Summary of Product Carbon Footprint (dejotfsdsj)</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3.20</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Transport (Upstream)</w:t>
            </w:r>
          </w:p>
        </w:tc>
        <w:tc>
          <w:tcPr/>
          <w:p>
            <w:pPr>
              <w:pStyle w:val="Compact"/>
              <w:jc w:val="left"/>
            </w:pPr>
            <w:r>
              <w:t xml:space="preserve">Scope 3 (Category 4)</w:t>
            </w:r>
          </w:p>
        </w:tc>
        <w:tc>
          <w:tcPr/>
          <w:p>
            <w:pPr>
              <w:pStyle w:val="Compact"/>
              <w:jc w:val="left"/>
            </w:pPr>
            <w:r>
              <w:t xml:space="preserve">0.3686</w:t>
            </w:r>
          </w:p>
        </w:tc>
      </w:tr>
      <w:tr>
        <w:tc>
          <w:tcPr/>
          <w:p>
            <w:pPr>
              <w:pStyle w:val="Compact"/>
              <w:jc w:val="left"/>
            </w:pPr>
            <w:r>
              <w:t xml:space="preserve">Transport (Downstream - Last Mile)</w:t>
            </w:r>
          </w:p>
        </w:tc>
        <w:tc>
          <w:tcPr/>
          <w:p>
            <w:pPr>
              <w:pStyle w:val="Compact"/>
              <w:jc w:val="left"/>
            </w:pPr>
            <w:r>
              <w:t xml:space="preserve">Scope 3 (Category 9)</w:t>
            </w:r>
          </w:p>
        </w:tc>
        <w:tc>
          <w:tcPr/>
          <w:p>
            <w:pPr>
              <w:pStyle w:val="Compact"/>
              <w:jc w:val="left"/>
            </w:pPr>
            <w:r>
              <w:t xml:space="preserve">0.10</w:t>
            </w:r>
          </w:p>
        </w:tc>
      </w:tr>
      <w:tr>
        <w:tc>
          <w:tcPr/>
          <w:p>
            <w:pPr>
              <w:pStyle w:val="Compact"/>
              <w:jc w:val="left"/>
            </w:pPr>
            <w:r>
              <w:t xml:space="preserve">Use of Sold Product</w:t>
            </w:r>
          </w:p>
        </w:tc>
        <w:tc>
          <w:tcPr/>
          <w:p>
            <w:pPr>
              <w:pStyle w:val="Compact"/>
              <w:jc w:val="left"/>
            </w:pPr>
            <w:r>
              <w:t xml:space="preserve">Scope 3 (Category 11)</w:t>
            </w:r>
          </w:p>
        </w:tc>
        <w:tc>
          <w:tcPr/>
          <w:p>
            <w:pPr>
              <w:pStyle w:val="Compact"/>
              <w:jc w:val="left"/>
            </w:pPr>
            <w:r>
              <w:t xml:space="preserve">3.75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-0.989</w:t>
            </w:r>
          </w:p>
        </w:tc>
      </w:tr>
      <w:tr>
        <w:tc>
          <w:tcPr>
            <w:gridSpan w:val="2"/>
          </w:tcPr>
          <w:p>
            <w:pPr>
              <w:pStyle w:val="Compact"/>
              <w:jc w:val="left"/>
            </w:pPr>
            <w:r>
              <w:rPr>
                <w:bCs/>
                <w:b/>
              </w:rPr>
              <w:t xml:space="preserve">Total Product Carbon Footprint</w:t>
            </w:r>
          </w:p>
        </w:tc>
        <w:tc>
          <w:tcPr/>
          <w:p>
            <w:pPr>
              <w:pStyle w:val="Compact"/>
              <w:jc w:val="left"/>
            </w:pPr>
            <w:r>
              <w:rPr>
                <w:bCs/>
                <w:b/>
              </w:rPr>
              <w:t xml:space="preserve">9.5296</w:t>
            </w:r>
          </w:p>
        </w:tc>
      </w:tr>
    </w:tbl>
    <w:bookmarkEnd w:id="37"/>
    <w:bookmarkStart w:id="38" w:name="X39db36958ac3f1b7b6914e15908983dbbc51aad"/>
    <w:p>
      <w:pPr>
        <w:pStyle w:val="Heading3"/>
      </w:pPr>
      <w:r>
        <w:t xml:space="preserve">GHG Protocol 2026 LSR Update &amp; Scope 3 Compliance</w:t>
      </w:r>
    </w:p>
    <w:p>
      <w:pPr>
        <w:numPr>
          <w:ilvl w:val="0"/>
          <w:numId w:val="1022"/>
        </w:numPr>
        <w:pStyle w:val="Compact"/>
      </w:pPr>
      <w:r>
        <w:rPr>
          <w:bCs/>
          <w:b/>
        </w:rPr>
        <w:t xml:space="preserve">Land Sector and Removals (LSR) Standard:</w:t>
      </w:r>
      <w:r>
        <w:t xml:space="preserve"> </w:t>
      </w:r>
      <w:r>
        <w:t xml:space="preserve">The GHG Protocol\'s LSR Standard, effective January 1, 2027, provides accounting for land management, land use change, and carbon removals. As</w:t>
      </w:r>
      <w:r>
        <w:t xml:space="preserve"> </w:t>
      </w:r>
      <w:r>
        <w:rPr>
          <w:bCs/>
          <w:b/>
        </w:rPr>
        <w:t xml:space="preserve">dejotfsdsj</w:t>
      </w:r>
      <w:r>
        <w:t xml:space="preserve"> </w:t>
      </w:r>
      <w:r>
        <w:t xml:space="preserve">is a manufactured product with a</w:t>
      </w:r>
      <w:r>
        <w:t xml:space="preserve"> </w:t>
      </w:r>
      <w:r>
        <w:rPr>
          <w:iCs/>
          <w:i/>
        </w:rPr>
        <w:t xml:space="preserve">factory_gate</w:t>
      </w:r>
      <w:r>
        <w:t xml:space="preserve"> </w:t>
      </w:r>
      <w:r>
        <w:t xml:space="preserve">boundary for direct operations, no significant direct land-use or carbon removal impacts are identified within</w:t>
      </w:r>
      <w:r>
        <w:t xml:space="preserve"> </w:t>
      </w:r>
      <w:r>
        <w:rPr>
          <w:bCs/>
          <w:b/>
        </w:rPr>
        <w:t xml:space="preserve">wtnoqmusjw</w:t>
      </w:r>
      <w:r>
        <w:t xml:space="preserve">\'s direct operational scope. However, upstream raw material extraction (e.g., mining for metals, forestry for cardboard) would entail land-related impacts. These are implicitly captured in the material emission factors used (which are typically cradle-to-gate).</w:t>
      </w:r>
    </w:p>
    <w:p>
      <w:pPr>
        <w:numPr>
          <w:ilvl w:val="0"/>
          <w:numId w:val="1022"/>
        </w:numPr>
        <w:pStyle w:val="Compact"/>
      </w:pPr>
      <w:r>
        <w:rPr>
          <w:bCs/>
          <w:b/>
        </w:rPr>
        <w:t xml:space="preserve">Scope 3 Compliance (95% Coverage):</w:t>
      </w:r>
      <w:r>
        <w:t xml:space="preserve"> </w:t>
      </w:r>
      <w:r>
        <w:t xml:space="preserve">The 2026 revisions to the Scope 3 Standard require at least 95% coverage for Scope 3 reporting, along with mandatory disaggregation by data type. This analysis covers major upstream (materials, transport) and downstream (transport, use, end-of-life) Scope 3 categories, ensuring a comprehensive view of the value chain emissions. By including these significant categories, the report aims to meet or exceed the 95% coverage requirement.</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s-and-reliability"/>
    <w:p>
      <w:pPr>
        <w:pStyle w:val="Heading3"/>
      </w:pPr>
      <w:r>
        <w:t xml:space="preserve">Hotspots and Reliability</w:t>
      </w:r>
    </w:p>
    <w:p>
      <w:pPr>
        <w:pStyle w:val="FirstParagraph"/>
      </w:pPr>
      <w:r>
        <w:t xml:space="preserve">The primary emission hotspots for</w:t>
      </w:r>
      <w:r>
        <w:t xml:space="preserve"> </w:t>
      </w:r>
      <w:r>
        <w:rPr>
          <w:bCs/>
          <w:b/>
        </w:rPr>
        <w:t xml:space="preserve">dejotfsdsj</w:t>
      </w:r>
      <w:r>
        <w:t xml:space="preserve"> </w:t>
      </w:r>
      <w:r>
        <w:t xml:space="preserve">are identified as:</w:t>
      </w:r>
    </w:p>
    <w:p>
      <w:pPr>
        <w:numPr>
          <w:ilvl w:val="0"/>
          <w:numId w:val="1023"/>
        </w:numPr>
        <w:pStyle w:val="Compact"/>
      </w:pPr>
      <w:r>
        <w:rPr>
          <w:bCs/>
          <w:b/>
        </w:rPr>
        <w:t xml:space="preserve">Use Phase (3.75 kgCO2e):</w:t>
      </w:r>
      <w:r>
        <w:t xml:space="preserve"> </w:t>
      </w:r>
      <w:r>
        <w:t xml:space="preserve">This is the largest contributor, primarily due to the electricity consumption over the product\'s lifespan.</w:t>
      </w:r>
    </w:p>
    <w:p>
      <w:pPr>
        <w:numPr>
          <w:ilvl w:val="0"/>
          <w:numId w:val="1023"/>
        </w:numPr>
        <w:pStyle w:val="Compact"/>
      </w:pPr>
      <w:r>
        <w:rPr>
          <w:bCs/>
          <w:b/>
        </w:rPr>
        <w:t xml:space="preserve">Material Acquisition &amp; Pre-processing (3.20 kgCO2e):</w:t>
      </w:r>
      <w:r>
        <w:t xml:space="preserve"> </w:t>
      </w:r>
      <w:r>
        <w:t xml:space="preserve">The energy-intensive production of raw materials, particularly electronics, steel, and plastics, contributes significantly.</w:t>
      </w:r>
    </w:p>
    <w:p>
      <w:pPr>
        <w:numPr>
          <w:ilvl w:val="0"/>
          <w:numId w:val="1023"/>
        </w:numPr>
        <w:pStyle w:val="Compact"/>
      </w:pPr>
      <w:r>
        <w:rPr>
          <w:bCs/>
          <w:b/>
        </w:rPr>
        <w:t xml:space="preserve">Production (3.10 kgCO2e):</w:t>
      </w:r>
      <w:r>
        <w:t xml:space="preserve"> </w:t>
      </w:r>
      <w:r>
        <w:t xml:space="preserve">Purchased electricity for manufacturing is a notable hotspot, even with 40% renewable energy usage.</w:t>
      </w:r>
    </w:p>
    <w:p>
      <w:pPr>
        <w:pStyle w:val="FirstParagraph"/>
      </w:pPr>
      <w:r>
        <w:t xml:space="preserve">The reliability of this PCF analysis is high due to the use of specific primary data for the Bill of Materials and energy consumption. Industry-standard emission factors from reputable sources (e.g., Ecoinvent, DEFRA proxies) have been applied for generic processes and electricity mixes. Future improvements can include collecting more primary data from upstream suppliers and downstream logistics partners for even greater accuracy.</w:t>
      </w:r>
    </w:p>
    <w:bookmarkEnd w:id="40"/>
    <w:bookmarkStart w:id="41" w:name="recommendations-for-emission-reduction"/>
    <w:p>
      <w:pPr>
        <w:pStyle w:val="Heading3"/>
      </w:pPr>
      <w:r>
        <w:t xml:space="preserve">Recommendations for Emission Reduction</w:t>
      </w:r>
    </w:p>
    <w:p>
      <w:pPr>
        <w:numPr>
          <w:ilvl w:val="0"/>
          <w:numId w:val="1024"/>
        </w:numPr>
        <w:pStyle w:val="Compact"/>
      </w:pPr>
      <w:r>
        <w:rPr>
          <w:bCs/>
          <w:b/>
        </w:rPr>
        <w:t xml:space="preserve">Optimize Use Phase Efficiency:</w:t>
      </w:r>
      <w:r>
        <w:t xml:space="preserve"> </w:t>
      </w:r>
      <w:r>
        <w:t xml:space="preserve">Focus on reducing the energy consumption of</w:t>
      </w:r>
      <w:r>
        <w:t xml:space="preserve"> </w:t>
      </w:r>
      <w:r>
        <w:rPr>
          <w:bCs/>
          <w:b/>
        </w:rPr>
        <w:t xml:space="preserve">dejotfsdsj</w:t>
      </w:r>
      <w:r>
        <w:t xml:space="preserve"> </w:t>
      </w:r>
      <w:r>
        <w:t xml:space="preserve">during its operational lifespan through design improvements or promoting energy-efficient usage practices to customers.</w:t>
      </w:r>
    </w:p>
    <w:p>
      <w:pPr>
        <w:numPr>
          <w:ilvl w:val="0"/>
          <w:numId w:val="1024"/>
        </w:numPr>
        <w:pStyle w:val="Compact"/>
      </w:pPr>
      <w:r>
        <w:rPr>
          <w:bCs/>
          <w:b/>
        </w:rPr>
        <w:t xml:space="preserve">Enhance Sustainable Sourcing:</w:t>
      </w:r>
      <w:r>
        <w:t xml:space="preserve"> </w:t>
      </w:r>
      <w:r>
        <w:t xml:space="preserve">Investigate opportunities for sourcing lower-carbon materials or components. This includes exploring recycled content for plastics and metals or engaging with suppliers to reduce their manufacturing emissions.</w:t>
      </w:r>
    </w:p>
    <w:p>
      <w:pPr>
        <w:numPr>
          <w:ilvl w:val="0"/>
          <w:numId w:val="1024"/>
        </w:numPr>
        <w:pStyle w:val="Compact"/>
      </w:pPr>
      <w:r>
        <w:rPr>
          <w:bCs/>
          <w:b/>
        </w:rPr>
        <w:t xml:space="preserve">Increase Renewable Energy Adoption:</w:t>
      </w:r>
      <w:r>
        <w:t xml:space="preserve"> </w:t>
      </w:r>
      <w:r>
        <w:t xml:space="preserve">While 40% renewable energy is commendable, exploring options to increase this percentage at the manufacturing facility in China, or encouraging renewable energy adoption across the supply chain, would further reduce Scope 2 emissions.</w:t>
      </w:r>
    </w:p>
    <w:p>
      <w:pPr>
        <w:numPr>
          <w:ilvl w:val="0"/>
          <w:numId w:val="1024"/>
        </w:numPr>
        <w:pStyle w:val="Compact"/>
      </w:pPr>
      <w:r>
        <w:rPr>
          <w:bCs/>
          <w:b/>
        </w:rPr>
        <w:t xml:space="preserve">Strengthen Circular Economy Initiatives:</w:t>
      </w:r>
      <w:r>
        <w:t xml:space="preserve"> </w:t>
      </w:r>
      <w:r>
        <w:t xml:space="preserve">Expand the existing take-back program (kmfxndwzsn) to recover a greater percentage of materials for reuse or high-value recycling, thereby maximizing avoided emissions at end-of-life.</w:t>
      </w:r>
    </w:p>
    <w:p>
      <w:pPr>
        <w:numPr>
          <w:ilvl w:val="0"/>
          <w:numId w:val="1024"/>
        </w:numPr>
        <w:pStyle w:val="Compact"/>
      </w:pPr>
      <w:r>
        <w:rPr>
          <w:bCs/>
          <w:b/>
        </w:rPr>
        <w:t xml:space="preserve">Optimize Logistics:</w:t>
      </w:r>
      <w:r>
        <w:t xml:space="preserve"> </w:t>
      </w:r>
      <w:r>
        <w:t xml:space="preserve">Explore more efficient transportation routes, modes (e.g., rail where feasible), and loading efficiencies to reduce both upstream and downstream transport emissions.</w:t>
      </w:r>
    </w:p>
    <w:p>
      <w:pPr>
        <w:pStyle w:val="FirstParagraph"/>
      </w:pPr>
      <w:r>
        <w:t xml:space="preserve">Confidential - Internal Use Only | Page 1 of 1</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dejotfsdsj</dc:title>
  <dc:creator/>
  <dc:description>Detailed Product Carbon Footprint (PCF) analysis report for dejotfsdsj, following GHG Protocol standards and 2026 revisions, for company wtnoqmusjw.</dc:description>
  <dc:language>en</dc:language>
  <cp:keywords/>
  <dcterms:created xsi:type="dcterms:W3CDTF">2026-07-15T03:06:40Z</dcterms:created>
  <dcterms:modified xsi:type="dcterms:W3CDTF">2026-07-15T03:06:40Z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