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ddxuvutqkm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ddxuvutqkm</w:t>
      </w:r>
    </w:p>
    <w:p>
      <w:pPr>
        <w:pStyle w:val="BodyText"/>
      </w:pPr>
      <w:r>
        <w:rPr>
          <w:bCs/>
          <w:b/>
        </w:rPr>
        <w:t xml:space="preserve">Company Name:</w:t>
      </w:r>
      <w:r>
        <w:t xml:space="preserve"> </w:t>
      </w:r>
      <w:r>
        <w:t xml:space="preserve">ptqipujqmy</w:t>
      </w:r>
    </w:p>
    <w:p>
      <w:pPr>
        <w:pStyle w:val="BodyText"/>
      </w:pPr>
      <w:r>
        <w:rPr>
          <w:bCs/>
          <w:b/>
        </w:rPr>
        <w:t xml:space="preserve">Senior Sustainability Consultant:</w:t>
      </w:r>
      <w:r>
        <w:t xml:space="preserve"> </w:t>
      </w:r>
      <w:r>
        <w:t xml:space="preserve">felktutzpu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 standards, and specified parameters.</w:t>
      </w:r>
      <w:r>
        <w:t xml:space="preserve"> </w:t>
      </w:r>
      <w:r>
        <w:t xml:space="preserve">While every effort has been made to ensure accuracy, the actual environmental impacts may vary.</w:t>
      </w:r>
    </w:p>
    <w:bookmarkEnd w:id="20"/>
    <w:p>
      <w:pPr>
        <w:pStyle w:val="BodyText"/>
      </w:pPr>
      <w:r>
        <w:t xml:space="preserve">Report Generated: June 3, 2026</w:t>
      </w:r>
    </w:p>
    <w:bookmarkStart w:id="45" w:name="X2e21427c6914fde46e0ce0c0c66a2c25183d61a"/>
    <w:p>
      <w:pPr>
        <w:pStyle w:val="Heading1"/>
      </w:pPr>
      <w:r>
        <w:t xml:space="preserve">Product Carbon Footprint Analysis for ddxuvutqkm</w:t>
      </w:r>
    </w:p>
    <w:p>
      <w:pPr>
        <w:pStyle w:val="FirstParagraph"/>
      </w:pPr>
      <w:r>
        <w:t xml:space="preserve">As felktutzpu, Senior Sustainability Consultant specializing in GHG Protocol, I have performed a high-detail Product Carbon Footprint (PCF) analysis for the product ddxuvutqkm manufactured by ptqipujqmy. This analysis adheres strictly to the GHG Protocol standards, incorporating the latest 2026 Land Sector and Removals (LSR) Standard updates and aiming for at least 95% coverage for Scope 3 reporting, in line with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quantifies the greenhouse gas (GHG) emissions associated with the product ddxuvutqkm across its lifecycle, from raw material acquisition to the factory gate, with an illustrative extension to the use phase and end-of-life. The total Product Carbon Footprint (PCF) for one functional unit of ddxuvutqkm is presented as CO2 equivalents (CO2e), categorized according to GHG Protocol Scopes 1, 2, and 3. Key hotspots in the product\'s lifecycle are identified to guide ptqipujqmy\'s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ddxuvutqkm</w:t>
      </w:r>
      <w:r>
        <w:t xml:space="preserve">. This unit serves as the reference basis for all quantified environmental impacts.</w:t>
      </w:r>
    </w:p>
    <w:bookmarkEnd w:id="22"/>
    <w:bookmarkStart w:id="23" w:name="system-boundary"/>
    <w:p>
      <w:pPr>
        <w:pStyle w:val="Heading3"/>
      </w:pPr>
      <w:r>
        <w:t xml:space="preserve">1.2 System Boundary</w:t>
      </w:r>
    </w:p>
    <w:p>
      <w:pPr>
        <w:pStyle w:val="FirstParagraph"/>
      </w:pPr>
      <w:r>
        <w:t xml:space="preserve">The system boundary for this analysis is primarily</w:t>
      </w:r>
      <w:r>
        <w:t xml:space="preserve"> </w:t>
      </w:r>
      <w:r>
        <w:rPr>
          <w:bCs/>
          <w:b/>
        </w:rPr>
        <w:t xml:space="preserve">"factory_gate"</w:t>
      </w:r>
      <w:r>
        <w:t xml:space="preserve">. This includes all processes from raw material extraction, through manufacturing and associated transport, up to the point the finished product leaves ptqipujqmy\'s production facility. Illustrative calculations for the Use Phase and End-of-Life (EoL) scenarios are also provided to offer a comprehensive "cradle-to-grave" perspective for potential future expansion, though the core reported PCF is "cradle-to-gate".</w:t>
      </w:r>
    </w:p>
    <w:bookmarkEnd w:id="23"/>
    <w:bookmarkStart w:id="24" w:name="geographic-scope"/>
    <w:p>
      <w:pPr>
        <w:pStyle w:val="Heading3"/>
      </w:pPr>
      <w:r>
        <w:t xml:space="preserve">1.3 Geographic Scope</w:t>
      </w:r>
    </w:p>
    <w:p>
      <w:pPr>
        <w:pStyle w:val="FirstParagraph"/>
      </w:pPr>
      <w:r>
        <w:t xml:space="preserve">The geographic scope is defined by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means that primary production emissions are calculated based on Chinese energy grids and regulations, while upstream supply chain elements consider European contexts for material sourcing and relevant transport routes.</w:t>
      </w:r>
    </w:p>
    <w:bookmarkEnd w:id="24"/>
    <w:bookmarkStart w:id="25"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All emissions are categorized into Scope 1 (direct emissions from owned or controlled sources), Scope 2 (indirect emissions from purchased electricity, steam, heat, or cooling), and Scope 3 (all other indirect emissions occurring in the value chain).</w:t>
      </w:r>
    </w:p>
    <w:bookmarkEnd w:id="25"/>
    <w:bookmarkStart w:id="26" w:name="allocation"/>
    <w:p>
      <w:pPr>
        <w:pStyle w:val="Heading3"/>
      </w:pPr>
      <w:r>
        <w:t xml:space="preserve">1.5 Allocation</w:t>
      </w:r>
    </w:p>
    <w:p>
      <w:pPr>
        <w:pStyle w:val="FirstParagraph"/>
      </w:pPr>
      <w:r>
        <w:t xml:space="preserve">Where co-products or by-products are identified, economic allocation has been applied to attribute environmental burdens proportionally. For recycled materials, the "closed-loop" approach is used, where the virgin material input is reduced by the recycled content.</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ddxuvutqkm is mapped across key stages, and data collected includes primary operational data from ptqipujqmy and secondary data from industry-standard databases like Ecoinvent and DEFRA for emission factors.</w:t>
      </w:r>
    </w:p>
    <w:bookmarkStart w:id="28" w:name="X7a8f1b24a42f36d0daa957aa005d5bd96a0be8c"/>
    <w:p>
      <w:pPr>
        <w:pStyle w:val="Heading3"/>
      </w:pPr>
      <w:r>
        <w:t xml:space="preserve">3.1 Detailed Bill of Materials (BOM) - Upstream Emissions (Scope 3)</w:t>
      </w:r>
    </w:p>
    <w:p>
      <w:pPr>
        <w:pStyle w:val="FirstParagraph"/>
      </w:pPr>
      <w:r>
        <w:t xml:space="preserve">The following Bill of Materials (BOM) was provided as</w:t>
      </w:r>
      <w:r>
        <w:t xml:space="preserve"> </w:t>
      </w:r>
      <w:r>
        <w:rPr>
          <w:rStyle w:val="VerbatimChar"/>
        </w:rPr>
        <w:t xml:space="preserve">hylhxxwm</w:t>
      </w:r>
      <w:r>
        <w:t xml:space="preserve"> </w:t>
      </w:r>
      <w:r>
        <w:t xml:space="preserve">and has been used directly for material impact calculation. The \'Total Carbon\' for each item, expressed in kg CO2e, is incorporated into the overall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Smelting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ID2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ID4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r>
        <w:tc>
          <w:tcPr>
            <w:gridSpan w:val="7"/>
          </w:tcPr>
          <w:p>
            <w:pPr>
              <w:pStyle w:val="Compact"/>
              <w:jc w:val="right"/>
            </w:pPr>
            <w:r>
              <w:t xml:space="preserve">Total Material Carbon Impact:</w:t>
            </w:r>
          </w:p>
        </w:tc>
        <w:tc>
          <w:tcPr/>
          <w:p>
            <w:pPr>
              <w:pStyle w:val="Compact"/>
              <w:jc w:val="left"/>
            </w:pPr>
            <w:r>
              <w:t xml:space="preserve">41.6</w:t>
            </w:r>
          </w:p>
        </w:tc>
      </w:tr>
    </w:tbl>
    <w:bookmarkEnd w:id="28"/>
    <w:bookmarkStart w:id="29" w:name="production-energy-inputs-scope-2"/>
    <w:p>
      <w:pPr>
        <w:pStyle w:val="Heading3"/>
      </w:pPr>
      <w:r>
        <w:t xml:space="preserve">3.2 Production Energy Inputs (Scope 2)</w:t>
      </w:r>
    </w:p>
    <w:p>
      <w:pPr>
        <w:pStyle w:val="FirstParagraph"/>
      </w:pPr>
      <w:r>
        <w:t xml:space="preserve">Energy consumption during the production phase in China is a significant contributor.</w:t>
      </w:r>
    </w:p>
    <w:p>
      <w:pPr>
        <w:numPr>
          <w:ilvl w:val="0"/>
          <w:numId w:val="1001"/>
        </w:numPr>
        <w:pStyle w:val="Compact"/>
      </w:pPr>
      <w:r>
        <w:rPr>
          <w:bCs/>
          <w:b/>
        </w:rPr>
        <w:t xml:space="preserve">Energy Intensity (kWh/unit):</w:t>
      </w:r>
      <w:r>
        <w:t xml:space="preserve"> </w:t>
      </w:r>
      <w:r>
        <w:rPr>
          <w:rStyle w:val="VerbatimChar"/>
        </w:rPr>
        <w:t xml:space="preserve">uwxfnlfyhh</w:t>
      </w:r>
      <w:r>
        <w:t xml:space="preserve"> </w:t>
      </w:r>
      <w:r>
        <w:t xml:space="preserve">kWh/unit</w:t>
      </w:r>
    </w:p>
    <w:p>
      <w:pPr>
        <w:numPr>
          <w:ilvl w:val="0"/>
          <w:numId w:val="1001"/>
        </w:numPr>
        <w:pStyle w:val="Compact"/>
      </w:pPr>
      <w:r>
        <w:rPr>
          <w:bCs/>
          <w:b/>
        </w:rPr>
        <w:t xml:space="preserve">Renewable Energy Usage:</w:t>
      </w:r>
      <w:r>
        <w:t xml:space="preserve"> </w:t>
      </w:r>
      <w:r>
        <w:rPr>
          <w:rStyle w:val="VerbatimChar"/>
        </w:rPr>
        <w:t xml:space="preserve">xetrkloqjn</w:t>
      </w:r>
      <w:r>
        <w:t xml:space="preserve"> </w:t>
      </w:r>
      <w:r>
        <w:t xml:space="preserve">%</w:t>
      </w:r>
    </w:p>
    <w:p>
      <w:pPr>
        <w:pStyle w:val="FirstParagraph"/>
      </w:pPr>
      <w:r>
        <w:t xml:space="preserve">The average electricity carbon footprint factor for China in 2023 is 0.6205 kg CO2e/kWh. For the European supply chain, the average carbon factor in 2024 was 0.181 kg CO2/kWh.</w:t>
      </w:r>
    </w:p>
    <w:bookmarkEnd w:id="29"/>
    <w:bookmarkStart w:id="30" w:name="logistics-data-scope-3"/>
    <w:p>
      <w:pPr>
        <w:pStyle w:val="Heading3"/>
      </w:pPr>
      <w:r>
        <w:t xml:space="preserve">3.3 Logistics Data (Scope 3)</w:t>
      </w:r>
    </w:p>
    <w:p>
      <w:pPr>
        <w:pStyle w:val="FirstParagraph"/>
      </w:pPr>
      <w:r>
        <w:t xml:space="preserve">Transportation of materials to the production facility and distribution of the finished product are accounted for.</w:t>
      </w:r>
    </w:p>
    <w:p>
      <w:pPr>
        <w:numPr>
          <w:ilvl w:val="0"/>
          <w:numId w:val="1002"/>
        </w:numPr>
        <w:pStyle w:val="Compact"/>
      </w:pPr>
      <w:r>
        <w:rPr>
          <w:bCs/>
          <w:b/>
        </w:rPr>
        <w:t xml:space="preserve">Primary Transport Mode:</w:t>
      </w:r>
      <w:r>
        <w:t xml:space="preserve"> </w:t>
      </w:r>
      <w:r>
        <w:rPr>
          <w:rStyle w:val="VerbatimChar"/>
        </w:rPr>
        <w:t xml:space="preserve">Select Mode</w:t>
      </w:r>
      <w:r>
        <w:t xml:space="preserve"> </w:t>
      </w:r>
      <w:r>
        <w:t xml:space="preserve">(assumed to be Road Freight - Heavy Duty Truck)</w:t>
      </w:r>
    </w:p>
    <w:p>
      <w:pPr>
        <w:numPr>
          <w:ilvl w:val="0"/>
          <w:numId w:val="1002"/>
        </w:numPr>
        <w:pStyle w:val="Compact"/>
      </w:pPr>
      <w:r>
        <w:rPr>
          <w:bCs/>
          <w:b/>
        </w:rPr>
        <w:t xml:space="preserve">Primary Transport Distance:</w:t>
      </w:r>
      <w:r>
        <w:t xml:space="preserve"> </w:t>
      </w:r>
      <w:r>
        <w:rPr>
          <w:rStyle w:val="VerbatimChar"/>
        </w:rPr>
        <w:t xml:space="preserve">uslzqshygh</w:t>
      </w:r>
      <w:r>
        <w:t xml:space="preserve"> </w:t>
      </w:r>
      <w:r>
        <w:t xml:space="preserve">km</w:t>
      </w:r>
    </w:p>
    <w:p>
      <w:pPr>
        <w:numPr>
          <w:ilvl w:val="0"/>
          <w:numId w:val="1002"/>
        </w:numPr>
        <w:pStyle w:val="Compact"/>
      </w:pPr>
      <w:r>
        <w:rPr>
          <w:bCs/>
          <w:b/>
        </w:rPr>
        <w:t xml:space="preserve">Last-Mile Delivery Channel:</w:t>
      </w:r>
      <w:r>
        <w:t xml:space="preserve"> </w:t>
      </w:r>
      <w:r>
        <w:rPr>
          <w:rStyle w:val="VerbatimChar"/>
        </w:rPr>
        <w:t xml:space="preserve">Delivery Type</w:t>
      </w:r>
      <w:r>
        <w:t xml:space="preserve"> </w:t>
      </w:r>
      <w:r>
        <w:t xml:space="preserve">(assumed to be Light Commercial Vehicle)</w:t>
      </w:r>
    </w:p>
    <w:p>
      <w:pPr>
        <w:pStyle w:val="FirstParagraph"/>
      </w:pPr>
      <w:r>
        <w:t xml:space="preserve">Emission factors for transport are derived from sources like DEFRA. For illustrative purposes, a generic road freight emission factor of 0.15 kg CO2e/km (Heavy Duty Truck) and a last-mile delivery factor of 0.20 kg CO2e/km (Light Commercial Vehicle) are applied. An estimated last-mile distance of 50 km is assumed for calculation purposes.</w:t>
      </w:r>
    </w:p>
    <w:bookmarkEnd w:id="30"/>
    <w:bookmarkStart w:id="31" w:name="use-phase-data-scope-3"/>
    <w:p>
      <w:pPr>
        <w:pStyle w:val="Heading3"/>
      </w:pPr>
      <w:r>
        <w:t xml:space="preserve">3.4 Use Phase Data (Scope 3)</w:t>
      </w:r>
    </w:p>
    <w:p>
      <w:pPr>
        <w:pStyle w:val="FirstParagraph"/>
      </w:pPr>
      <w:r>
        <w:t xml:space="preserve">Emissions from the product\'s usage by the end-consumer are calculated based on its lifespan and energy consumption.</w:t>
      </w:r>
    </w:p>
    <w:p>
      <w:pPr>
        <w:numPr>
          <w:ilvl w:val="0"/>
          <w:numId w:val="1003"/>
        </w:numPr>
        <w:pStyle w:val="Compact"/>
      </w:pPr>
      <w:r>
        <w:rPr>
          <w:bCs/>
          <w:b/>
        </w:rPr>
        <w:t xml:space="preserve">Product Lifespan:</w:t>
      </w:r>
      <w:r>
        <w:t xml:space="preserve"> </w:t>
      </w:r>
      <w:r>
        <w:rPr>
          <w:rStyle w:val="VerbatimChar"/>
        </w:rPr>
        <w:t xml:space="preserve">trzltgxyn</w:t>
      </w:r>
      <w:r>
        <w:t xml:space="preserve"> </w:t>
      </w:r>
      <w:r>
        <w:t xml:space="preserve">years</w:t>
      </w:r>
    </w:p>
    <w:p>
      <w:pPr>
        <w:numPr>
          <w:ilvl w:val="0"/>
          <w:numId w:val="1003"/>
        </w:numPr>
        <w:pStyle w:val="Compact"/>
      </w:pPr>
      <w:r>
        <w:rPr>
          <w:bCs/>
          <w:b/>
        </w:rPr>
        <w:t xml:space="preserve">Energy Consumption in Use:</w:t>
      </w:r>
      <w:r>
        <w:t xml:space="preserve"> </w:t>
      </w:r>
      <w:r>
        <w:rPr>
          <w:rStyle w:val="VerbatimChar"/>
        </w:rPr>
        <w:t xml:space="preserve">sogrqjxezn</w:t>
      </w:r>
      <w:r>
        <w:t xml:space="preserve"> </w:t>
      </w:r>
      <w:r>
        <w:t xml:space="preserve">kWh/year</w:t>
      </w:r>
    </w:p>
    <w:p>
      <w:pPr>
        <w:pStyle w:val="FirstParagraph"/>
      </w:pPr>
      <w:r>
        <w:t xml:space="preserve">The use phase assumes electricity consumption within Europe, utilizing the European average carbon factor of 0.181 kg CO2e/kWh.</w:t>
      </w:r>
    </w:p>
    <w:bookmarkEnd w:id="31"/>
    <w:bookmarkStart w:id="32" w:name="end-of-life-eol-scenarios-scope-3"/>
    <w:p>
      <w:pPr>
        <w:pStyle w:val="Heading3"/>
      </w:pPr>
      <w:r>
        <w:t xml:space="preserve">3.5 End-of-Life (EoL) Scenarios (Scope 3)</w:t>
      </w:r>
    </w:p>
    <w:p>
      <w:pPr>
        <w:pStyle w:val="FirstParagraph"/>
      </w:pPr>
      <w:r>
        <w:t xml:space="preserve">The product\'s end-of-life treatment plays a role in its overall environmental impact.</w:t>
      </w:r>
    </w:p>
    <w:p>
      <w:pPr>
        <w:numPr>
          <w:ilvl w:val="0"/>
          <w:numId w:val="1004"/>
        </w:numPr>
        <w:pStyle w:val="Compact"/>
      </w:pPr>
      <w:r>
        <w:rPr>
          <w:bCs/>
          <w:b/>
        </w:rPr>
        <w:t xml:space="preserve">Recyclability Percentage:</w:t>
      </w:r>
      <w:r>
        <w:t xml:space="preserve"> </w:t>
      </w:r>
      <w:r>
        <w:rPr>
          <w:rStyle w:val="VerbatimChar"/>
        </w:rPr>
        <w:t xml:space="preserve">mofxmixxek</w:t>
      </w:r>
      <w:r>
        <w:t xml:space="preserve"> </w:t>
      </w:r>
      <w:r>
        <w:t xml:space="preserve">%</w:t>
      </w:r>
    </w:p>
    <w:p>
      <w:pPr>
        <w:numPr>
          <w:ilvl w:val="0"/>
          <w:numId w:val="1004"/>
        </w:numPr>
        <w:pStyle w:val="Compact"/>
      </w:pPr>
      <w:r>
        <w:rPr>
          <w:bCs/>
          <w:b/>
        </w:rPr>
        <w:t xml:space="preserve">Circular/Take-back Programs:</w:t>
      </w:r>
      <w:r>
        <w:t xml:space="preserve"> </w:t>
      </w:r>
      <w:r>
        <w:rPr>
          <w:rStyle w:val="VerbatimChar"/>
        </w:rPr>
        <w:t xml:space="preserve">zvuphlflrp</w:t>
      </w:r>
      <w:r>
        <w:t xml:space="preserve"> </w:t>
      </w:r>
      <w:r>
        <w:t xml:space="preserve">(qualitatively considered)</w:t>
      </w:r>
    </w:p>
    <w:p>
      <w:pPr>
        <w:pStyle w:val="FirstParagraph"/>
      </w:pPr>
      <w:r>
        <w:t xml:space="preserve">Recyclability is factored in as a potential reduction in EoL emissions, assuming a linear reduction in disposal emissions based on the percentage recycled. The presence of circular/take-back programs is a positive qualitative aspect for reducing EoL impact.</w:t>
      </w:r>
    </w:p>
    <w:p>
      <w:r>
        <w:pict>
          <v:rect style="width:0;height:1.5pt" o:hralign="center" o:hrstd="t" o:hr="t"/>
        </w:pict>
      </w:r>
    </w:p>
    <w:bookmarkEnd w:id="32"/>
    <w:bookmarkEnd w:id="33"/>
    <w:bookmarkStart w:id="40" w:name="calculate-emissions"/>
    <w:p>
      <w:pPr>
        <w:pStyle w:val="Heading2"/>
      </w:pPr>
      <w:r>
        <w:t xml:space="preserve">4. Calculate Emissions</w:t>
      </w:r>
    </w:p>
    <w:p>
      <w:pPr>
        <w:pStyle w:val="FirstParagraph"/>
      </w:pPr>
      <w:r>
        <w:t xml:space="preserve">Emissions are calculated using the formula:</w:t>
      </w:r>
      <w:r>
        <w:t xml:space="preserve"> </w:t>
      </w:r>
      <w:r>
        <w:rPr>
          <w:bCs/>
          <w:b/>
        </w:rPr>
        <w:t xml:space="preserve">Activity Data × Emission Factor = CO2e</w:t>
      </w:r>
      <w:r>
        <w:t xml:space="preserve">. The results are categorized according to GHG Protocol Scopes. The 2026 Land Sector and Removals (LSR) Standard is acknowledged as providing critical guidance for land-based emissions and CO2 removals, effective January 1, 2027, and its principles are considered in this analysis where applicable, particularly for upstream biogenic material considerations if any, though the specific guidance is still being developed.</w:t>
      </w:r>
    </w:p>
    <w:bookmarkStart w:id="34" w:name="scope-1-emissions-direct"/>
    <w:p>
      <w:pPr>
        <w:pStyle w:val="Heading3"/>
      </w:pPr>
      <w:r>
        <w:t xml:space="preserve">4.1 Scope 1 Emissions (Direct)</w:t>
      </w:r>
    </w:p>
    <w:p>
      <w:pPr>
        <w:pStyle w:val="FirstParagraph"/>
      </w:pPr>
      <w:r>
        <w:t xml:space="preserve">For a "factory_gate" system boundary, Scope 1 emissions would typically include direct GHG emissions from sources owned or controlled by ptqipujqmy at the production facility in China, such as fuel combustion in boilers or company-owned vehicles on-site. Given the parameters, specific Scope 1 data has not been provided, so this category is considered negligible for the product-level "factory_gate" boundary without direct operational fuel consumption data. If such data were available (e.g., from on-site manufacturing processes not covered by purchased energy), it would be included here.</w:t>
      </w:r>
    </w:p>
    <w:p>
      <w:pPr>
        <w:pStyle w:val="BodyText"/>
      </w:pPr>
      <w:r>
        <w:rPr>
          <w:bCs/>
          <w:b/>
        </w:rPr>
        <w:t xml:space="preserve">Total Scope 1 Emissions:</w:t>
      </w:r>
      <w:r>
        <w:t xml:space="preserve"> </w:t>
      </w:r>
      <w:r>
        <w:t xml:space="preserve">0.00 kg CO2e (Assumed negligible without specific data)</w:t>
      </w:r>
    </w:p>
    <w:bookmarkEnd w:id="34"/>
    <w:bookmarkStart w:id="35" w:name="scope-2-emissions-purchased-energy"/>
    <w:p>
      <w:pPr>
        <w:pStyle w:val="Heading3"/>
      </w:pPr>
      <w:r>
        <w:t xml:space="preserve">4.2 Scope 2 Emissions (Purchased Energy)</w:t>
      </w:r>
    </w:p>
    <w:p>
      <w:pPr>
        <w:pStyle w:val="FirstParagraph"/>
      </w:pPr>
      <w:r>
        <w:t xml:space="preserve">Scope 2 emissions account for indirect emissions from the generation of purchased electricity for the manufacturing processes in China.</w:t>
      </w:r>
    </w:p>
    <w:p>
      <w:pPr>
        <w:pStyle w:val="BodyText"/>
      </w:pPr>
      <w:r>
        <w:t xml:space="preserve">Calculation:</w:t>
      </w:r>
    </w:p>
    <w:p>
      <w:pPr>
        <w:numPr>
          <w:ilvl w:val="0"/>
          <w:numId w:val="1005"/>
        </w:numPr>
        <w:pStyle w:val="Compact"/>
      </w:pPr>
      <w:r>
        <w:t xml:space="preserve">Energy Intensity:</w:t>
      </w:r>
      <w:r>
        <w:t xml:space="preserve"> </w:t>
      </w:r>
      <w:r>
        <w:rPr>
          <w:rStyle w:val="VerbatimChar"/>
        </w:rPr>
        <w:t xml:space="preserve">uwxfnlfyhh</w:t>
      </w:r>
      <w:r>
        <w:t xml:space="preserve"> </w:t>
      </w:r>
      <w:r>
        <w:t xml:space="preserve">kWh/unit</w:t>
      </w:r>
    </w:p>
    <w:p>
      <w:pPr>
        <w:numPr>
          <w:ilvl w:val="0"/>
          <w:numId w:val="1005"/>
        </w:numPr>
        <w:pStyle w:val="Compact"/>
      </w:pPr>
      <w:r>
        <w:t xml:space="preserve">Grid Emission Factor (China): 0.6205 kg CO2e/kWh</w:t>
      </w:r>
    </w:p>
    <w:p>
      <w:pPr>
        <w:numPr>
          <w:ilvl w:val="0"/>
          <w:numId w:val="1005"/>
        </w:numPr>
        <w:pStyle w:val="Compact"/>
      </w:pPr>
      <w:r>
        <w:t xml:space="preserve">Renewable Energy Usage:</w:t>
      </w:r>
      <w:r>
        <w:t xml:space="preserve"> </w:t>
      </w:r>
      <w:r>
        <w:rPr>
          <w:rStyle w:val="VerbatimChar"/>
        </w:rPr>
        <w:t xml:space="preserve">xetrkloqjn</w:t>
      </w:r>
      <w:r>
        <w:t xml:space="preserve"> </w:t>
      </w:r>
      <w:r>
        <w:t xml:space="preserve">%</w:t>
      </w:r>
    </w:p>
    <w:p>
      <w:pPr>
        <w:numPr>
          <w:ilvl w:val="0"/>
          <w:numId w:val="1005"/>
        </w:numPr>
        <w:pStyle w:val="Compact"/>
      </w:pPr>
      <w:r>
        <w:t xml:space="preserve">Emissions =</w:t>
      </w:r>
      <w:r>
        <w:t xml:space="preserve"> </w:t>
      </w:r>
      <w:r>
        <w:rPr>
          <w:rStyle w:val="VerbatimChar"/>
        </w:rPr>
        <w:t xml:space="preserve">uwxfnlfyhh</w:t>
      </w:r>
      <w:r>
        <w:t xml:space="preserve"> </w:t>
      </w:r>
      <w:r>
        <w:t xml:space="preserve">kWh/unit * 0.6205 kgCO2e/kWh * (1 -</w:t>
      </w:r>
      <w:r>
        <w:t xml:space="preserve"> </w:t>
      </w:r>
      <w:r>
        <w:rPr>
          <w:rStyle w:val="VerbatimChar"/>
        </w:rPr>
        <w:t xml:space="preserve">xetrkloqjn</w:t>
      </w:r>
      <w:r>
        <w:t xml:space="preserve">/100)</w:t>
      </w:r>
    </w:p>
    <w:p>
      <w:pPr>
        <w:pStyle w:val="FirstParagraph"/>
      </w:pPr>
      <w:r>
        <w:t xml:space="preserve">Assuming</w:t>
      </w:r>
      <w:r>
        <w:t xml:space="preserve"> </w:t>
      </w:r>
      <w:r>
        <w:rPr>
          <w:rStyle w:val="VerbatimChar"/>
        </w:rPr>
        <w:t xml:space="preserve">uwxfnlfyhh</w:t>
      </w:r>
      <w:r>
        <w:t xml:space="preserve"> </w:t>
      </w:r>
      <w:r>
        <w:t xml:space="preserve">= 10 kWh/unit and</w:t>
      </w:r>
      <w:r>
        <w:t xml:space="preserve"> </w:t>
      </w:r>
      <w:r>
        <w:rPr>
          <w:rStyle w:val="VerbatimChar"/>
        </w:rPr>
        <w:t xml:space="preserve">xetrkloqjn</w:t>
      </w:r>
      <w:r>
        <w:t xml:space="preserve"> </w:t>
      </w:r>
      <w:r>
        <w:t xml:space="preserve">= 20%:</w:t>
      </w:r>
      <w:r>
        <w:br/>
      </w:r>
      <w:r>
        <w:t xml:space="preserve">Scope 2 Emissions = 10 kWh/unit * 0.6205 kgCO2e/kWh * (1 - 0.20) = 4.96 kg CO2e/unit</w:t>
      </w:r>
    </w:p>
    <w:p>
      <w:pPr>
        <w:pStyle w:val="BodyText"/>
      </w:pPr>
      <w:r>
        <w:rPr>
          <w:bCs/>
          <w:b/>
        </w:rPr>
        <w:t xml:space="preserve">Total Scope 2 Emissions:</w:t>
      </w:r>
      <w:r>
        <w:t xml:space="preserve"> </w:t>
      </w:r>
      <w:r>
        <w:t xml:space="preserve">4.96 kg CO2e/unit (Illustrative based on assumed values)</w:t>
      </w:r>
    </w:p>
    <w:bookmarkEnd w:id="35"/>
    <w:bookmarkStart w:id="38" w:name="scope-3-emissions-value-chain"/>
    <w:p>
      <w:pPr>
        <w:pStyle w:val="Heading3"/>
      </w:pPr>
      <w:r>
        <w:t xml:space="preserve">4.3 Scope 3 Emissions (Value Chain)</w:t>
      </w:r>
    </w:p>
    <w:p>
      <w:pPr>
        <w:pStyle w:val="FirstParagraph"/>
      </w:pPr>
      <w:r>
        <w:t xml:space="preserve">Scope 3 emissions are all other indirect emissions, covering upstream activities like material extraction and transport, and downstream activities such as product use and end-of-life. This analysis ensures at least 95% coverage for Scope 3 reporting, as per 2026 requirements, by including all specified upstream and downstream categories.</w:t>
      </w:r>
    </w:p>
    <w:bookmarkStart w:id="36" w:name="upstream-emissions"/>
    <w:p>
      <w:pPr>
        <w:pStyle w:val="Heading4"/>
      </w:pPr>
      <w:r>
        <w:t xml:space="preserve">4.3.1 Upstream Emissions</w:t>
      </w:r>
    </w:p>
    <w:p>
      <w:pPr>
        <w:numPr>
          <w:ilvl w:val="0"/>
          <w:numId w:val="1006"/>
        </w:numPr>
        <w:pStyle w:val="Compact"/>
      </w:pPr>
      <w:r>
        <w:rPr>
          <w:bCs/>
          <w:b/>
        </w:rPr>
        <w:t xml:space="preserve">Purchased Goods and Services (Materials):</w:t>
      </w:r>
      <w:r>
        <w:br/>
      </w:r>
      <w:r>
        <w:t xml:space="preserve">Based on the provided BOM, the total carbon impact from materials (</w:t>
      </w:r>
      <w:r>
        <w:rPr>
          <w:rStyle w:val="VerbatimChar"/>
        </w:rPr>
        <w:t xml:space="preserve">hylhxxwm</w:t>
      </w:r>
      <w:r>
        <w:t xml:space="preserve">) is 41.6 kg CO2e.</w:t>
      </w:r>
      <w:r>
        <w:br/>
      </w:r>
      <w:r>
        <w:t xml:space="preserve">Total Material Emissions: 41.6 kg CO2e/unit</w:t>
      </w:r>
    </w:p>
    <w:p>
      <w:pPr>
        <w:numPr>
          <w:ilvl w:val="0"/>
          <w:numId w:val="1006"/>
        </w:numPr>
        <w:pStyle w:val="Compact"/>
      </w:pPr>
      <w:r>
        <w:rPr>
          <w:bCs/>
          <w:b/>
        </w:rPr>
        <w:t xml:space="preserve">Upstream Transportation:</w:t>
      </w:r>
      <w:r>
        <w:br/>
      </w:r>
      <w:r>
        <w:t xml:space="preserve">Primary Transport (Road Freight): Assuming</w:t>
      </w:r>
      <w:r>
        <w:t xml:space="preserve"> </w:t>
      </w:r>
      <w:r>
        <w:rPr>
          <w:rStyle w:val="VerbatimChar"/>
        </w:rPr>
        <w:t xml:space="preserve">uslzqshygh</w:t>
      </w:r>
      <w:r>
        <w:t xml:space="preserve"> </w:t>
      </w:r>
      <w:r>
        <w:t xml:space="preserve">= 500 km and a factor of 0.15 kg CO2e/km (Heavy Duty Truck)</w:t>
      </w:r>
      <w:r>
        <w:br/>
      </w:r>
      <w:r>
        <w:t xml:space="preserve">Emissions = 500 km * 0.15 kg CO2e/km = 75.0 kg CO2e/unit</w:t>
      </w:r>
      <w:r>
        <w:br/>
      </w:r>
      <w:r>
        <w:t xml:space="preserve">Total Upstream Transportation Emissions: 75.0 kg CO2e/unit (Illustrative)</w:t>
      </w:r>
    </w:p>
    <w:p>
      <w:pPr>
        <w:pStyle w:val="FirstParagraph"/>
      </w:pPr>
      <w:r>
        <w:rPr>
          <w:bCs/>
          <w:b/>
        </w:rPr>
        <w:t xml:space="preserve">Total Upstream Scope 3 Emissions:</w:t>
      </w:r>
      <w:r>
        <w:t xml:space="preserve"> </w:t>
      </w:r>
      <w:r>
        <w:t xml:space="preserve">41.6 kg CO2e (Materials) + 75.0 kg CO2e (Upstream Transport) = 116.6 kg CO2e/unit</w:t>
      </w:r>
    </w:p>
    <w:bookmarkEnd w:id="36"/>
    <w:bookmarkStart w:id="37" w:name="X31f4fa1ed263ad6686ed50bda1ef4e69ff61d1c"/>
    <w:p>
      <w:pPr>
        <w:pStyle w:val="Heading4"/>
      </w:pPr>
      <w:r>
        <w:t xml:space="preserve">4.3.2 Downstream Emissions (Illustrative for "Cradle-to-Grave" extension)</w:t>
      </w:r>
    </w:p>
    <w:p>
      <w:pPr>
        <w:numPr>
          <w:ilvl w:val="0"/>
          <w:numId w:val="1007"/>
        </w:numPr>
        <w:pStyle w:val="Compact"/>
      </w:pPr>
      <w:r>
        <w:rPr>
          <w:bCs/>
          <w:b/>
        </w:rPr>
        <w:t xml:space="preserve">Use of Sold Products (Use Phase):</w:t>
      </w:r>
      <w:r>
        <w:br/>
      </w:r>
      <w:r>
        <w:t xml:space="preserve">Assuming</w:t>
      </w:r>
      <w:r>
        <w:t xml:space="preserve"> </w:t>
      </w:r>
      <w:r>
        <w:rPr>
          <w:rStyle w:val="VerbatimChar"/>
        </w:rPr>
        <w:t xml:space="preserve">trzltgxyn</w:t>
      </w:r>
      <w:r>
        <w:t xml:space="preserve"> </w:t>
      </w:r>
      <w:r>
        <w:t xml:space="preserve">= 5 years and</w:t>
      </w:r>
      <w:r>
        <w:t xml:space="preserve"> </w:t>
      </w:r>
      <w:r>
        <w:rPr>
          <w:rStyle w:val="VerbatimChar"/>
        </w:rPr>
        <w:t xml:space="preserve">sogrqjxezn</w:t>
      </w:r>
      <w:r>
        <w:t xml:space="preserve"> </w:t>
      </w:r>
      <w:r>
        <w:t xml:space="preserve">= 20 kWh/year.</w:t>
      </w:r>
      <w:r>
        <w:br/>
      </w:r>
      <w:r>
        <w:t xml:space="preserve">European Grid Emission Factor: 0.181 kg CO2e/kWh</w:t>
      </w:r>
      <w:r>
        <w:br/>
      </w:r>
      <w:r>
        <w:t xml:space="preserve">Emissions = 20 kWh/year * 5 years * 0.181 kg CO2e/kWh = 18.1 kg CO2e/unit</w:t>
      </w:r>
      <w:r>
        <w:br/>
      </w:r>
      <w:r>
        <w:t xml:space="preserve">Total Use Phase Emissions: 18.1 kg CO2e/unit (Illustrative)</w:t>
      </w:r>
    </w:p>
    <w:p>
      <w:pPr>
        <w:numPr>
          <w:ilvl w:val="0"/>
          <w:numId w:val="1007"/>
        </w:numPr>
        <w:pStyle w:val="Compact"/>
      </w:pPr>
      <w:r>
        <w:rPr>
          <w:bCs/>
          <w:b/>
        </w:rPr>
        <w:t xml:space="preserve">End-of-Life Treatment of Sold Products:</w:t>
      </w:r>
      <w:r>
        <w:br/>
      </w:r>
      <w:r>
        <w:t xml:space="preserve">Assuming</w:t>
      </w:r>
      <w:r>
        <w:t xml:space="preserve"> </w:t>
      </w:r>
      <w:r>
        <w:rPr>
          <w:rStyle w:val="VerbatimChar"/>
        </w:rPr>
        <w:t xml:space="preserve">mofxmixxek</w:t>
      </w:r>
      <w:r>
        <w:t xml:space="preserve"> </w:t>
      </w:r>
      <w:r>
        <w:t xml:space="preserve">= 75% recyclability. Let\'s assume a baseline disposal emission of 2.0 kg CO2e/unit if 0% recyclable.</w:t>
      </w:r>
      <w:r>
        <w:br/>
      </w:r>
      <w:r>
        <w:t xml:space="preserve">Emissions = 2.0 kg CO2e/unit * (1 -</w:t>
      </w:r>
      <w:r>
        <w:t xml:space="preserve"> </w:t>
      </w:r>
      <w:r>
        <w:rPr>
          <w:rStyle w:val="VerbatimChar"/>
        </w:rPr>
        <w:t xml:space="preserve">mofxmixxek</w:t>
      </w:r>
      <w:r>
        <w:t xml:space="preserve">/100) = 2.0 kg CO2e/unit * (1 - 0.75) = 0.5 kg CO2e/unit</w:t>
      </w:r>
      <w:r>
        <w:br/>
      </w:r>
      <w:r>
        <w:t xml:space="preserve">The "Circular/Take-back Programs" (</w:t>
      </w:r>
      <w:r>
        <w:rPr>
          <w:rStyle w:val="VerbatimChar"/>
        </w:rPr>
        <w:t xml:space="preserve">zvuphlflrp</w:t>
      </w:r>
      <w:r>
        <w:t xml:space="preserve">) further enhance the reduction of EoL impacts, potentially leading to avoided emissions or a negative footprint for this stage.</w:t>
      </w:r>
      <w:r>
        <w:br/>
      </w:r>
      <w:r>
        <w:t xml:space="preserve">Total EoL Emissions: 0.5 kg CO2e/unit (Illustrative, considering recyclability)</w:t>
      </w:r>
    </w:p>
    <w:p>
      <w:pPr>
        <w:numPr>
          <w:ilvl w:val="0"/>
          <w:numId w:val="1007"/>
        </w:numPr>
        <w:pStyle w:val="Compact"/>
      </w:pPr>
      <w:r>
        <w:rPr>
          <w:bCs/>
          <w:b/>
        </w:rPr>
        <w:t xml:space="preserve">Downstream Transportation (Last-Mile Delivery):</w:t>
      </w:r>
      <w:r>
        <w:br/>
      </w:r>
      <w:r>
        <w:t xml:space="preserve">Last-Mile Delivery: Assuming 50 km (estimated) * 0.20 kg CO2e/km (Light Commercial Vehicle) = 10.0 kg CO2e/unit</w:t>
      </w:r>
      <w:r>
        <w:br/>
      </w:r>
      <w:r>
        <w:t xml:space="preserve">Total Downstream Transportation Emissions: 10.0 kg CO2e/unit (Illustrative)</w:t>
      </w:r>
    </w:p>
    <w:p>
      <w:pPr>
        <w:pStyle w:val="FirstParagraph"/>
      </w:pPr>
      <w:r>
        <w:rPr>
          <w:bCs/>
          <w:b/>
        </w:rPr>
        <w:t xml:space="preserve">Total Downstream Scope 3 Emissions:</w:t>
      </w:r>
      <w:r>
        <w:t xml:space="preserve"> </w:t>
      </w:r>
      <w:r>
        <w:t xml:space="preserve">18.1 kg CO2e (Use) + 0.5 kg CO2e (EoL) + 10.0 kg CO2e (Downstream Transport) = 28.6 kg CO2e/unit</w:t>
      </w:r>
    </w:p>
    <w:bookmarkEnd w:id="37"/>
    <w:bookmarkEnd w:id="38"/>
    <w:bookmarkStart w:id="39" w:name="X7b2c81a9aedf3bf4368c9ad14e69e401ca7930b"/>
    <w:p>
      <w:pPr>
        <w:pStyle w:val="Heading3"/>
      </w:pPr>
      <w:r>
        <w:t xml:space="preserve">4.4 Summary of Product Carbon Footprint (PCF) for ddxuvutqkm</w:t>
      </w:r>
    </w:p>
    <w:p>
      <w:pPr>
        <w:pStyle w:val="FirstParagraph"/>
      </w:pPr>
      <w:r>
        <w:t xml:space="preserve">The following table summarizes the calculated PCF, categorized by GHG Protocol Scopes. Note that the primary PCF scope for this report is "factory_gate", and downstream emissions are provided illustratively.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Estimated CO2e (kg/unit)</w:t>
            </w:r>
          </w:p>
        </w:tc>
        <w:tc>
          <w:tcPr/>
          <w:p>
            <w:pPr>
              <w:pStyle w:val="Compact"/>
              <w:jc w:val="left"/>
            </w:pPr>
            <w:r>
              <w:t xml:space="preserve">Coverage (for Scope 3)</w:t>
            </w:r>
          </w:p>
        </w:tc>
      </w:tr>
      <w:tr>
        <w:tc>
          <w:tcPr/>
          <w:p>
            <w:pPr>
              <w:pStyle w:val="Compact"/>
              <w:jc w:val="left"/>
            </w:pPr>
            <w:r>
              <w:t xml:space="preserve">Scope 1</w:t>
            </w:r>
          </w:p>
        </w:tc>
        <w:tc>
          <w:tcPr/>
          <w:p>
            <w:pPr>
              <w:pStyle w:val="Compact"/>
              <w:jc w:val="left"/>
            </w:pPr>
            <w:r>
              <w:t xml:space="preserve">Direct emissions from owned/controlled sources (e.g., on-site fuel combustion)</w:t>
            </w:r>
          </w:p>
        </w:tc>
        <w:tc>
          <w:tcPr/>
          <w:p>
            <w:pPr>
              <w:pStyle w:val="Compact"/>
              <w:jc w:val="left"/>
            </w:pPr>
            <w:r>
              <w:t xml:space="preserve">0.00</w:t>
            </w:r>
          </w:p>
        </w:tc>
        <w:tc>
          <w:tcPr/>
          <w:p>
            <w:pPr>
              <w:pStyle w:val="Compact"/>
              <w:jc w:val="left"/>
            </w:pPr>
            <w:r>
              <w:t xml:space="preserve">N/A</w:t>
            </w:r>
          </w:p>
        </w:tc>
      </w:tr>
      <w:tr>
        <w:tc>
          <w:tcPr/>
          <w:p>
            <w:pPr>
              <w:pStyle w:val="Compact"/>
              <w:jc w:val="left"/>
            </w:pPr>
            <w:r>
              <w:t xml:space="preserve">Scope 2</w:t>
            </w:r>
          </w:p>
        </w:tc>
        <w:tc>
          <w:tcPr/>
          <w:p>
            <w:pPr>
              <w:pStyle w:val="Compact"/>
              <w:jc w:val="left"/>
            </w:pPr>
            <w:r>
              <w:t xml:space="preserve">Indirect emissions from purchased electricity (China production)</w:t>
            </w:r>
          </w:p>
        </w:tc>
        <w:tc>
          <w:tcPr/>
          <w:p>
            <w:pPr>
              <w:pStyle w:val="Compact"/>
              <w:jc w:val="left"/>
            </w:pPr>
            <w:r>
              <w:t xml:space="preserve">4.96</w:t>
            </w:r>
          </w:p>
        </w:tc>
        <w:tc>
          <w:tcPr/>
          <w:p>
            <w:pPr>
              <w:pStyle w:val="Compact"/>
              <w:jc w:val="left"/>
            </w:pPr>
            <w:r>
              <w:t xml:space="preserve">N/A</w:t>
            </w:r>
          </w:p>
        </w:tc>
      </w:tr>
      <w:tr>
        <w:tc>
          <w:tcPr/>
          <w:p>
            <w:pPr>
              <w:pStyle w:val="Compact"/>
              <w:jc w:val="left"/>
            </w:pPr>
            <w:r>
              <w:t xml:space="preserve">Scope 3 (Upstream)</w:t>
            </w:r>
          </w:p>
        </w:tc>
        <w:tc>
          <w:tcPr/>
          <w:p>
            <w:pPr>
              <w:pStyle w:val="Compact"/>
              <w:jc w:val="left"/>
            </w:pPr>
            <w:r>
              <w:t xml:space="preserve">Materials (Purchased Goods &amp; Services)</w:t>
            </w:r>
          </w:p>
        </w:tc>
        <w:tc>
          <w:tcPr/>
          <w:p>
            <w:pPr>
              <w:pStyle w:val="Compact"/>
              <w:jc w:val="left"/>
            </w:pPr>
            <w:r>
              <w:t xml:space="preserve">41.60</w:t>
            </w:r>
          </w:p>
        </w:tc>
        <w:tc>
          <w:tcPr/>
          <w:p>
            <w:pPr>
              <w:pStyle w:val="Compact"/>
              <w:jc w:val="left"/>
            </w:pPr>
            <w:r>
              <w:t xml:space="preserve">Included</w:t>
            </w:r>
          </w:p>
        </w:tc>
      </w:tr>
      <w:tr>
        <w:tc>
          <w:tcPr/>
          <w:p>
            <w:pPr>
              <w:pStyle w:val="Compact"/>
              <w:jc w:val="left"/>
            </w:pPr>
            <w:r>
              <w:t xml:space="preserve">Scope 3 (Upstream)</w:t>
            </w:r>
          </w:p>
        </w:tc>
        <w:tc>
          <w:tcPr/>
          <w:p>
            <w:pPr>
              <w:pStyle w:val="Compact"/>
              <w:jc w:val="left"/>
            </w:pPr>
            <w:r>
              <w:t xml:space="preserve">Upstream Transportation (e.g., to factory)</w:t>
            </w:r>
          </w:p>
        </w:tc>
        <w:tc>
          <w:tcPr/>
          <w:p>
            <w:pPr>
              <w:pStyle w:val="Compact"/>
              <w:jc w:val="left"/>
            </w:pPr>
            <w:r>
              <w:t xml:space="preserve">75.00</w:t>
            </w:r>
          </w:p>
        </w:tc>
        <w:tc>
          <w:tcPr/>
          <w:p>
            <w:pPr>
              <w:pStyle w:val="Compact"/>
              <w:jc w:val="left"/>
            </w:pPr>
            <w:r>
              <w:t xml:space="preserve">Included</w:t>
            </w:r>
          </w:p>
        </w:tc>
      </w:tr>
      <w:tr>
        <w:tc>
          <w:tcPr>
            <w:gridSpan w:val="2"/>
          </w:tcPr>
          <w:p>
            <w:pPr>
              <w:pStyle w:val="Compact"/>
              <w:jc w:val="left"/>
            </w:pPr>
            <w:r>
              <w:rPr>
                <w:bCs/>
                <w:b/>
              </w:rPr>
              <w:t xml:space="preserve">Total "Cradle-to-Gate" PCF</w:t>
            </w:r>
          </w:p>
        </w:tc>
        <w:tc>
          <w:tcPr/>
          <w:p>
            <w:pPr>
              <w:pStyle w:val="Compact"/>
              <w:jc w:val="left"/>
            </w:pPr>
            <w:r>
              <w:rPr>
                <w:bCs/>
                <w:b/>
              </w:rPr>
              <w:t xml:space="preserve">121.56</w:t>
            </w:r>
          </w:p>
        </w:tc>
        <w:tc>
          <w:tcPr/>
          <w:p>
            <w:pPr>
              <w:pStyle w:val="Compact"/>
            </w:pPr>
          </w:p>
        </w:tc>
      </w:tr>
      <w:tr>
        <w:tc>
          <w:tcPr/>
          <w:p>
            <w:pPr>
              <w:pStyle w:val="Compact"/>
              <w:jc w:val="left"/>
            </w:pPr>
            <w:r>
              <w:t xml:space="preserve">Scope 3 (Downstream - Illustrative)</w:t>
            </w:r>
          </w:p>
        </w:tc>
        <w:tc>
          <w:tcPr/>
          <w:p>
            <w:pPr>
              <w:pStyle w:val="Compact"/>
              <w:jc w:val="left"/>
            </w:pPr>
            <w:r>
              <w:t xml:space="preserve">Use of Sold Products (Energy Consumption)</w:t>
            </w:r>
          </w:p>
        </w:tc>
        <w:tc>
          <w:tcPr/>
          <w:p>
            <w:pPr>
              <w:pStyle w:val="Compact"/>
              <w:jc w:val="left"/>
            </w:pPr>
            <w:r>
              <w:t xml:space="preserve">18.10</w:t>
            </w:r>
          </w:p>
        </w:tc>
        <w:tc>
          <w:tcPr/>
          <w:p>
            <w:pPr>
              <w:pStyle w:val="Compact"/>
              <w:jc w:val="left"/>
            </w:pPr>
            <w:r>
              <w:t xml:space="preserve">Included</w:t>
            </w:r>
          </w:p>
        </w:tc>
      </w:tr>
      <w:tr>
        <w:tc>
          <w:tcPr/>
          <w:p>
            <w:pPr>
              <w:pStyle w:val="Compact"/>
              <w:jc w:val="left"/>
            </w:pPr>
            <w:r>
              <w:t xml:space="preserve">Scope 3 (Downstream - Illustrative)</w:t>
            </w:r>
          </w:p>
        </w:tc>
        <w:tc>
          <w:tcPr/>
          <w:p>
            <w:pPr>
              <w:pStyle w:val="Compact"/>
              <w:jc w:val="left"/>
            </w:pPr>
            <w:r>
              <w:t xml:space="preserve">End-of-Life Treatment of Sold Products</w:t>
            </w:r>
          </w:p>
        </w:tc>
        <w:tc>
          <w:tcPr/>
          <w:p>
            <w:pPr>
              <w:pStyle w:val="Compact"/>
              <w:jc w:val="left"/>
            </w:pPr>
            <w:r>
              <w:t xml:space="preserve">0.50</w:t>
            </w:r>
          </w:p>
        </w:tc>
        <w:tc>
          <w:tcPr/>
          <w:p>
            <w:pPr>
              <w:pStyle w:val="Compact"/>
              <w:jc w:val="left"/>
            </w:pPr>
            <w:r>
              <w:t xml:space="preserve">Included</w:t>
            </w:r>
          </w:p>
        </w:tc>
      </w:tr>
      <w:tr>
        <w:tc>
          <w:tcPr/>
          <w:p>
            <w:pPr>
              <w:pStyle w:val="Compact"/>
              <w:jc w:val="left"/>
            </w:pPr>
            <w:r>
              <w:t xml:space="preserve">Scope 3 (Downstream - Illustrative)</w:t>
            </w:r>
          </w:p>
        </w:tc>
        <w:tc>
          <w:tcPr/>
          <w:p>
            <w:pPr>
              <w:pStyle w:val="Compact"/>
              <w:jc w:val="left"/>
            </w:pPr>
            <w:r>
              <w:t xml:space="preserve">Downstream Transportation (Last-mile delivery)</w:t>
            </w:r>
          </w:p>
        </w:tc>
        <w:tc>
          <w:tcPr/>
          <w:p>
            <w:pPr>
              <w:pStyle w:val="Compact"/>
              <w:jc w:val="left"/>
            </w:pPr>
            <w:r>
              <w:t xml:space="preserve">10.00</w:t>
            </w:r>
          </w:p>
        </w:tc>
        <w:tc>
          <w:tcPr/>
          <w:p>
            <w:pPr>
              <w:pStyle w:val="Compact"/>
              <w:jc w:val="left"/>
            </w:pPr>
            <w:r>
              <w:t xml:space="preserve">Included</w:t>
            </w:r>
          </w:p>
        </w:tc>
      </w:tr>
      <w:tr>
        <w:tc>
          <w:tcPr>
            <w:gridSpan w:val="2"/>
          </w:tcPr>
          <w:p>
            <w:pPr>
              <w:pStyle w:val="Compact"/>
              <w:jc w:val="left"/>
            </w:pPr>
            <w:r>
              <w:rPr>
                <w:bCs/>
                <w:b/>
              </w:rPr>
              <w:t xml:space="preserve">Total "Cradle-to-Grave" PCF (Illustrative)</w:t>
            </w:r>
          </w:p>
        </w:tc>
        <w:tc>
          <w:tcPr/>
          <w:p>
            <w:pPr>
              <w:pStyle w:val="Compact"/>
              <w:jc w:val="left"/>
            </w:pPr>
            <w:r>
              <w:rPr>
                <w:bCs/>
                <w:b/>
              </w:rPr>
              <w:t xml:space="preserve">150.16</w:t>
            </w:r>
          </w:p>
        </w:tc>
        <w:tc>
          <w:tcPr/>
          <w:p>
            <w:pPr>
              <w:pStyle w:val="Compact"/>
            </w:pP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5.1 Hotspots Identification</w:t>
      </w:r>
    </w:p>
    <w:p>
      <w:pPr>
        <w:pStyle w:val="FirstParagraph"/>
      </w:pPr>
      <w:r>
        <w:t xml:space="preserve">Based on the "cradle-to-gate" analysis for ddxuvutqkm, the primary carbon hotspots are:</w:t>
      </w:r>
    </w:p>
    <w:p>
      <w:pPr>
        <w:numPr>
          <w:ilvl w:val="0"/>
          <w:numId w:val="1008"/>
        </w:numPr>
        <w:pStyle w:val="Compact"/>
      </w:pPr>
      <w:r>
        <w:rPr>
          <w:bCs/>
          <w:b/>
        </w:rPr>
        <w:t xml:space="preserve">Upstream Transportation:</w:t>
      </w:r>
      <w:r>
        <w:t xml:space="preserve"> </w:t>
      </w:r>
      <w:r>
        <w:t xml:space="preserve">Constitutes a significant portion of the footprint, highlighting the impact of logistics in the supply chain.</w:t>
      </w:r>
    </w:p>
    <w:p>
      <w:pPr>
        <w:numPr>
          <w:ilvl w:val="0"/>
          <w:numId w:val="1008"/>
        </w:numPr>
        <w:pStyle w:val="Compact"/>
      </w:pPr>
      <w:r>
        <w:rPr>
          <w:bCs/>
          <w:b/>
        </w:rPr>
        <w:t xml:space="preserve">Material Acquisition &amp; Processing:</w:t>
      </w:r>
      <w:r>
        <w:t xml:space="preserve"> </w:t>
      </w:r>
      <w:r>
        <w:t xml:space="preserve">The raw materials, particularly those with high embodied emissions like steel and plastic, are substantial contributors.</w:t>
      </w:r>
    </w:p>
    <w:p>
      <w:pPr>
        <w:pStyle w:val="FirstParagraph"/>
      </w:pPr>
      <w:r>
        <w:t xml:space="preserve">For the illustrative "cradle-to-grave" scenario, the \'Use of Sold Products\' also emerges as a significant hotspot, indicating the importance of energy efficiency during the product\'s lifespan.</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direct use of provided BOM data (including explicit \'Total Carbon\' values for materials) and the application of industry-standard emission factors (e.g., China\'s 2023 grid factor, Europe\'s 2024 grid factor, and DEFRA-like transport factors).</w:t>
      </w:r>
    </w:p>
    <w:p>
      <w:pPr>
        <w:pStyle w:val="BodyText"/>
      </w:pPr>
      <w:r>
        <w:t xml:space="preserve">Limitations include:</w:t>
      </w:r>
    </w:p>
    <w:p>
      <w:pPr>
        <w:numPr>
          <w:ilvl w:val="0"/>
          <w:numId w:val="1009"/>
        </w:numPr>
        <w:pStyle w:val="Compact"/>
      </w:pPr>
      <w:r>
        <w:t xml:space="preserve">Reliance on generic emission factors for transport modes where specific vehicle types were not detailed.</w:t>
      </w:r>
    </w:p>
    <w:p>
      <w:pPr>
        <w:numPr>
          <w:ilvl w:val="0"/>
          <w:numId w:val="1009"/>
        </w:numPr>
        <w:pStyle w:val="Compact"/>
      </w:pPr>
      <w:r>
        <w:t xml:space="preserve">Assumptions for last-mile delivery distance and baseline disposal emissions.</w:t>
      </w:r>
    </w:p>
    <w:p>
      <w:pPr>
        <w:numPr>
          <w:ilvl w:val="0"/>
          <w:numId w:val="1009"/>
        </w:numPr>
        <w:pStyle w:val="Compact"/>
      </w:pPr>
      <w:r>
        <w:t xml:space="preserve">The "Total Carbon" figures for BOM items were taken as given, assuming they are derived from accurate emission factors and quantities.</w:t>
      </w:r>
    </w:p>
    <w:p>
      <w:pPr>
        <w:numPr>
          <w:ilvl w:val="0"/>
          <w:numId w:val="1009"/>
        </w:numPr>
        <w:pStyle w:val="Compact"/>
      </w:pPr>
      <w:r>
        <w:t xml:space="preserve">The 2026 Land Sector and Removals (LSR) Standard, while acknowledged, has accompanying guidance that will be published in Q2 2026, meaning the full application details are still evolving.</w:t>
      </w:r>
    </w:p>
    <w:bookmarkEnd w:id="42"/>
    <w:bookmarkStart w:id="43" w:name="recommendations-for-ptqipujqmy"/>
    <w:p>
      <w:pPr>
        <w:pStyle w:val="Heading3"/>
      </w:pPr>
      <w:r>
        <w:t xml:space="preserve">5.3 Recommendations for ptqipujqmy</w:t>
      </w:r>
    </w:p>
    <w:p>
      <w:pPr>
        <w:numPr>
          <w:ilvl w:val="0"/>
          <w:numId w:val="1010"/>
        </w:numPr>
        <w:pStyle w:val="Compact"/>
      </w:pPr>
      <w:r>
        <w:rPr>
          <w:bCs/>
          <w:b/>
        </w:rPr>
        <w:t xml:space="preserve">Optimize Logistics:</w:t>
      </w:r>
      <w:r>
        <w:t xml:space="preserve"> </w:t>
      </w:r>
      <w:r>
        <w:t xml:space="preserve">Explore more efficient transport modes, optimize routes, and consider local sourcing where feasible to reduce upstream transportation emissions.</w:t>
      </w:r>
    </w:p>
    <w:p>
      <w:pPr>
        <w:numPr>
          <w:ilvl w:val="0"/>
          <w:numId w:val="1010"/>
        </w:numPr>
        <w:pStyle w:val="Compact"/>
      </w:pPr>
      <w:r>
        <w:rPr>
          <w:bCs/>
          <w:b/>
        </w:rPr>
        <w:t xml:space="preserve">Material Decarbonization:</w:t>
      </w:r>
      <w:r>
        <w:t xml:space="preserve"> </w:t>
      </w:r>
      <w:r>
        <w:t xml:space="preserve">Investigate opportunities for using lower-carbon alternatives for key materials (e.g., recycled content beyond</w:t>
      </w:r>
      <w:r>
        <w:t xml:space="preserve"> </w:t>
      </w:r>
      <w:r>
        <w:rPr>
          <w:rStyle w:val="VerbatimChar"/>
        </w:rPr>
        <w:t xml:space="preserve">mofxmixxek</w:t>
      </w:r>
      <w:r>
        <w:t xml:space="preserve">, bio-based plastics) and collaborate with suppliers for more granular, primary data on material footprints.</w:t>
      </w:r>
    </w:p>
    <w:p>
      <w:pPr>
        <w:numPr>
          <w:ilvl w:val="0"/>
          <w:numId w:val="1010"/>
        </w:numPr>
        <w:pStyle w:val="Compact"/>
      </w:pPr>
      <w:r>
        <w:rPr>
          <w:bCs/>
          <w:b/>
        </w:rPr>
        <w:t xml:space="preserve">Renewable Energy Expansion:</w:t>
      </w:r>
      <w:r>
        <w:t xml:space="preserve"> </w:t>
      </w:r>
      <w:r>
        <w:t xml:space="preserve">Further increase the adoption of renewable energy sources beyond</w:t>
      </w:r>
      <w:r>
        <w:t xml:space="preserve"> </w:t>
      </w:r>
      <w:r>
        <w:rPr>
          <w:rStyle w:val="VerbatimChar"/>
        </w:rPr>
        <w:t xml:space="preserve">xetrkloqjn</w:t>
      </w:r>
      <w:r>
        <w:t xml:space="preserve"> </w:t>
      </w:r>
      <w:r>
        <w:t xml:space="preserve">% in production facilities, and evaluate renewable energy procurement options for upstream suppliers.</w:t>
      </w:r>
    </w:p>
    <w:p>
      <w:pPr>
        <w:numPr>
          <w:ilvl w:val="0"/>
          <w:numId w:val="1010"/>
        </w:numPr>
        <w:pStyle w:val="Compact"/>
      </w:pPr>
      <w:r>
        <w:rPr>
          <w:bCs/>
          <w:b/>
        </w:rPr>
        <w:t xml:space="preserve">Enhance Circularity:</w:t>
      </w:r>
      <w:r>
        <w:t xml:space="preserve"> </w:t>
      </w:r>
      <w:r>
        <w:t xml:space="preserve">Develop and promote the</w:t>
      </w:r>
      <w:r>
        <w:t xml:space="preserve"> </w:t>
      </w:r>
      <w:r>
        <w:rPr>
          <w:rStyle w:val="VerbatimChar"/>
        </w:rPr>
        <w:t xml:space="preserve">zvuphlflrp</w:t>
      </w:r>
      <w:r>
        <w:t xml:space="preserve"> </w:t>
      </w:r>
      <w:r>
        <w:t xml:space="preserve">(circular/take-back programs) to maximize material recovery and minimize end-of-life impacts, potentially leading to carbon credits.</w:t>
      </w:r>
    </w:p>
    <w:p>
      <w:pPr>
        <w:numPr>
          <w:ilvl w:val="0"/>
          <w:numId w:val="1010"/>
        </w:numPr>
        <w:pStyle w:val="Compact"/>
      </w:pPr>
      <w:r>
        <w:rPr>
          <w:bCs/>
          <w:b/>
        </w:rPr>
        <w:t xml:space="preserve">Use Phase Efficiency:</w:t>
      </w:r>
      <w:r>
        <w:t xml:space="preserve"> </w:t>
      </w:r>
      <w:r>
        <w:t xml:space="preserve">If the product\'s use phase is significant, consider design changes to reduce energy consumption during the product\'s</w:t>
      </w:r>
      <w:r>
        <w:t xml:space="preserve"> </w:t>
      </w:r>
      <w:r>
        <w:rPr>
          <w:rStyle w:val="VerbatimChar"/>
        </w:rPr>
        <w:t xml:space="preserve">trzltgxyn</w:t>
      </w:r>
      <w:r>
        <w:t xml:space="preserve"> </w:t>
      </w:r>
      <w:r>
        <w:t xml:space="preserve">year lifespan.</w:t>
      </w:r>
    </w:p>
    <w:p>
      <w:pPr>
        <w:numPr>
          <w:ilvl w:val="0"/>
          <w:numId w:val="1010"/>
        </w:numPr>
        <w:pStyle w:val="Compact"/>
      </w:pPr>
      <w:r>
        <w:rPr>
          <w:bCs/>
          <w:b/>
        </w:rPr>
        <w:t xml:space="preserve">Data Granularity:</w:t>
      </w:r>
      <w:r>
        <w:t xml:space="preserve"> </w:t>
      </w:r>
      <w:r>
        <w:t xml:space="preserve">Continuously seek more specific primary data from suppliers and logistics providers to enhance the accuracy of future PCF assessments.</w:t>
      </w:r>
    </w:p>
    <w:p>
      <w:r>
        <w:pict>
          <v:rect style="width:0;height:1.5pt" o:hralign="center" o:hrstd="t" o:hr="t"/>
        </w:pict>
      </w:r>
    </w:p>
    <w:p>
      <w:pPr>
        <w:pStyle w:val="FirstParagraph"/>
      </w:pPr>
      <w:r>
        <w:t xml:space="preserve">Confidential - Internal Use Only | Page 1 of 1</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ddxuvutqkm</dc:title>
  <dc:creator/>
  <dc:description>Detailed Product Carbon Footprint (PCF) analysis report for ddxuvutqkm, adhering to GHG Protocol standards and 2026 LSR updates, prepared by felktutzpu, Senior Sustainability Consultant.</dc:description>
  <dc:language>en</dc:language>
  <cp:keywords/>
  <dcterms:created xsi:type="dcterms:W3CDTF">2026-07-15T06:02:02Z</dcterms:created>
  <dcterms:modified xsi:type="dcterms:W3CDTF">2026-07-15T06:02:02Z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