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ddpxqmylop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ddpxqmylop</w:t>
      </w:r>
    </w:p>
    <w:p>
      <w:pPr>
        <w:pStyle w:val="BodyText"/>
      </w:pPr>
      <w:r>
        <w:rPr>
          <w:bCs/>
          <w:b/>
        </w:rPr>
        <w:t xml:space="preserve">Company Name:</w:t>
      </w:r>
      <w:r>
        <w:t xml:space="preserve"> </w:t>
      </w:r>
      <w:r>
        <w:t xml:space="preserve">umiylpkvlm</w:t>
      </w:r>
    </w:p>
    <w:p>
      <w:pPr>
        <w:pStyle w:val="BodyText"/>
      </w:pPr>
      <w:r>
        <w:rPr>
          <w:bCs/>
          <w:b/>
        </w:rPr>
        <w:t xml:space="preserve">Senior Sustainability Consultant:</w:t>
      </w:r>
      <w:r>
        <w:t xml:space="preserve"> </w:t>
      </w:r>
      <w:r>
        <w:t xml:space="preserve">ewmydiuhmf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real-world conditions and more granular data availability.</w:t>
      </w:r>
    </w:p>
    <w:bookmarkEnd w:id="20"/>
    <w:bookmarkStart w:id="21" w:name="Xd8ded3c11cbf6f2542673b2bc87477ec82c7112"/>
    <w:p>
      <w:pPr>
        <w:pStyle w:val="Heading1"/>
      </w:pPr>
      <w:r>
        <w:t xml:space="preserve">Product Carbon Footprint Report - ddpxqmylop</w:t>
      </w:r>
    </w:p>
    <w:p>
      <w:pPr>
        <w:pStyle w:val="FirstParagraph"/>
      </w:pPr>
      <w:r>
        <w:t xml:space="preserve">Generated Date: Friday,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ddpxqmylop, produced by umiylpkvlm. The analysis was conducted by ewmydiuhmf, Senior Sustainability Consultant, adhering to the GHG Protocol standards. The assessment covers the entire lifecycle from raw material acquisition (cradle-to-gate) through the use phase and end-of-life treatment, providing a comprehensive understanding of the product\'s environmental impact in terms of greenhouse gas emissions (CO2e). Special attention has been given to the 2026 Land Sector and Removals (LSR) Standard update and ensuring robust Scope 3 compliance.</w:t>
      </w:r>
    </w:p>
    <w:p>
      <w:pPr>
        <w:pStyle w:val="BodyText"/>
      </w:pPr>
      <w:r>
        <w:t xml:space="preserve">The total calculated Product Carbon Footprint for one functional unit of ddpxqmylop is</w:t>
      </w:r>
      <w:r>
        <w:t xml:space="preserve"> </w:t>
      </w:r>
      <w:r>
        <w:rPr>
          <w:bCs/>
          <w:b/>
        </w:rPr>
        <w:t xml:space="preserve">25.51 kg CO2e</w:t>
      </w:r>
      <w:r>
        <w:t xml:space="preserve">. Key emission hotspots were identified in material acquisition, the product\'s use phase, and the production process. Recommendations for reduction are provided within the report.</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ddpxqmylop</w:t>
      </w:r>
      <w:r>
        <w:t xml:space="preserve">. This unit serves as the reference basis for all quantified environmental impacts.</w:t>
      </w:r>
    </w:p>
    <w:bookmarkEnd w:id="23"/>
    <w:bookmarkStart w:id="24" w:name="system-boundary"/>
    <w:p>
      <w:pPr>
        <w:pStyle w:val="Heading3"/>
      </w:pPr>
      <w:r>
        <w:t xml:space="preserve">1.2. System Boundary</w:t>
      </w:r>
    </w:p>
    <w:p>
      <w:pPr>
        <w:pStyle w:val="FirstParagraph"/>
      </w:pPr>
      <w:r>
        <w:t xml:space="preserve">The system boundary for this analysis is a modified "Cradle-to-Gate" with extensions for the "Use Phase" and "End-of-Life" (EoL) scenarios. Specifically, it includes:</w:t>
      </w:r>
    </w:p>
    <w:p>
      <w:pPr>
        <w:numPr>
          <w:ilvl w:val="0"/>
          <w:numId w:val="1001"/>
        </w:numPr>
        <w:pStyle w:val="Compact"/>
      </w:pPr>
      <w:r>
        <w:rPr>
          <w:bCs/>
          <w:b/>
        </w:rPr>
        <w:t xml:space="preserve">Raw Material Acquisition &amp; Pre-processing (Upstream):</w:t>
      </w:r>
      <w:r>
        <w:t xml:space="preserve"> </w:t>
      </w:r>
      <w:r>
        <w:t xml:space="preserve">Extraction, processing, and manufacturing of all input materials as detailed in the Bill of Materials.</w:t>
      </w:r>
    </w:p>
    <w:p>
      <w:pPr>
        <w:numPr>
          <w:ilvl w:val="0"/>
          <w:numId w:val="1001"/>
        </w:numPr>
        <w:pStyle w:val="Compact"/>
      </w:pPr>
      <w:r>
        <w:rPr>
          <w:bCs/>
          <w:b/>
        </w:rPr>
        <w:t xml:space="preserve">Manufacturing/Production:</w:t>
      </w:r>
      <w:r>
        <w:t xml:space="preserve"> </w:t>
      </w:r>
      <w:r>
        <w:t xml:space="preserve">All energy consumption and processes occurring at the factory_gate for the final assembly of ddpxqmylop.</w:t>
      </w:r>
    </w:p>
    <w:p>
      <w:pPr>
        <w:numPr>
          <w:ilvl w:val="0"/>
          <w:numId w:val="1001"/>
        </w:numPr>
        <w:pStyle w:val="Compact"/>
      </w:pPr>
      <w:r>
        <w:rPr>
          <w:bCs/>
          <w:b/>
        </w:rPr>
        <w:t xml:space="preserve">Upstream Transportation:</w:t>
      </w:r>
      <w:r>
        <w:t xml:space="preserve"> </w:t>
      </w:r>
      <w:r>
        <w:t xml:space="preserve">Transportation of raw materials and components from suppliers (Europe Focused) to the final production country (China).</w:t>
      </w:r>
    </w:p>
    <w:p>
      <w:pPr>
        <w:numPr>
          <w:ilvl w:val="0"/>
          <w:numId w:val="1001"/>
        </w:numPr>
        <w:pStyle w:val="Compact"/>
      </w:pPr>
      <w:r>
        <w:rPr>
          <w:bCs/>
          <w:b/>
        </w:rPr>
        <w:t xml:space="preserve">Downstream Transportation (Last-Mile Delivery):</w:t>
      </w:r>
      <w:r>
        <w:t xml:space="preserve"> </w:t>
      </w:r>
      <w:r>
        <w:t xml:space="preserve">Transportation of the finished product to the end-user.</w:t>
      </w:r>
    </w:p>
    <w:p>
      <w:pPr>
        <w:numPr>
          <w:ilvl w:val="0"/>
          <w:numId w:val="1001"/>
        </w:numPr>
        <w:pStyle w:val="Compact"/>
      </w:pPr>
      <w:r>
        <w:rPr>
          <w:bCs/>
          <w:b/>
        </w:rPr>
        <w:t xml:space="preserve">Use Phase:</w:t>
      </w:r>
      <w:r>
        <w:t xml:space="preserve"> </w:t>
      </w:r>
      <w:r>
        <w:t xml:space="preserve">Energy consumption during the anticipated lifespan of the product.</w:t>
      </w:r>
    </w:p>
    <w:p>
      <w:pPr>
        <w:numPr>
          <w:ilvl w:val="0"/>
          <w:numId w:val="1001"/>
        </w:numPr>
        <w:pStyle w:val="Compact"/>
      </w:pPr>
      <w:r>
        <w:rPr>
          <w:bCs/>
          <w:b/>
        </w:rPr>
        <w:t xml:space="preserve">End-of-Life:</w:t>
      </w:r>
      <w:r>
        <w:t xml:space="preserve"> </w:t>
      </w:r>
      <w:r>
        <w:t xml:space="preserve">Disposal and recycling processes at the end of the product\'s useful life.</w:t>
      </w:r>
    </w:p>
    <w:p>
      <w:pPr>
        <w:pStyle w:val="FirstParagraph"/>
      </w:pPr>
      <w:r>
        <w:t xml:space="preserve">This boundary encompasses significant Scope 3 emissions in addition to direct operational emissions (Scope 1 and 2 where applicable at the factory gate).</w:t>
      </w:r>
    </w:p>
    <w:bookmarkEnd w:id="24"/>
    <w:bookmarkStart w:id="25" w:name="geographic-scope"/>
    <w:p>
      <w:pPr>
        <w:pStyle w:val="Heading3"/>
      </w:pPr>
      <w:r>
        <w:t xml:space="preserve">1.3. Geographic Scope</w:t>
      </w:r>
    </w:p>
    <w:p>
      <w:pPr>
        <w:pStyle w:val="FirstParagraph"/>
      </w:pPr>
      <w:r>
        <w:t xml:space="preserve">The primary geographic scope for the final production of ddpxqmylop is</w:t>
      </w:r>
      <w:r>
        <w:t xml:space="preserve"> </w:t>
      </w:r>
      <w:r>
        <w:rPr>
          <w:bCs/>
          <w:b/>
        </w:rPr>
        <w:t xml:space="preserve">China</w:t>
      </w:r>
      <w:r>
        <w:t xml:space="preserve">. The supply chain, for upstream materials, is primarily</w:t>
      </w:r>
      <w:r>
        <w:t xml:space="preserve"> </w:t>
      </w:r>
      <w:r>
        <w:rPr>
          <w:bCs/>
          <w:b/>
        </w:rPr>
        <w:t xml:space="preserve">Europe Focused</w:t>
      </w:r>
      <w:r>
        <w:t xml:space="preserve">, with specific transportation distances considered from European suppliers to the Chinese production facility. The use phase is assumed to occur within the European context.</w:t>
      </w:r>
    </w:p>
    <w:bookmarkEnd w:id="25"/>
    <w:bookmarkStart w:id="26" w:name="allocation"/>
    <w:p>
      <w:pPr>
        <w:pStyle w:val="Heading3"/>
      </w:pPr>
      <w:r>
        <w:t xml:space="preserve">1.4. Allocation</w:t>
      </w:r>
    </w:p>
    <w:p>
      <w:pPr>
        <w:pStyle w:val="FirstParagraph"/>
      </w:pPr>
      <w:r>
        <w:t xml:space="preserve">Allocation of environmental impacts is performed based on mass for materials and energy consumption directly attributable to the functional unit. For shared processes (e.g., facility energy), impacts are allocated proportionally to the product\'s share of total output or production time.</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 principles and requirements of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w:t>
      </w:r>
    </w:p>
    <w:p>
      <w:pPr>
        <w:pStyle w:val="BodyText"/>
      </w:pPr>
      <w:r>
        <w:t xml:space="preserve">In anticipation of future regulatory landscapes, this report proactively integrates the principles of the</w:t>
      </w:r>
      <w:r>
        <w:t xml:space="preserve"> </w:t>
      </w:r>
      <w:r>
        <w:rPr>
          <w:bCs/>
          <w:b/>
        </w:rPr>
        <w:t xml:space="preserve">2026 Land Sector and Removals (LSR) Standard</w:t>
      </w:r>
      <w:r>
        <w:t xml:space="preserve"> </w:t>
      </w:r>
      <w:r>
        <w:t xml:space="preserve">for land use and carbon removals. While the LSR Standard officially takes effect on January 1, 2027, its guidance for quantifying, reporting, and tracking land emissions and CO₂ removals is considered where relevant to the upstream supply chain of ddpxqmylop, particularly concerning raw material extraction impacts.</w:t>
      </w:r>
    </w:p>
    <w:p>
      <w:pPr>
        <w:pStyle w:val="BodyText"/>
      </w:pPr>
      <w:r>
        <w:t xml:space="preserve">Furthermore, efforts have been made to ensure at least</w:t>
      </w:r>
      <w:r>
        <w:t xml:space="preserve"> </w:t>
      </w:r>
      <w:r>
        <w:rPr>
          <w:bCs/>
          <w:b/>
        </w:rPr>
        <w:t xml:space="preserve">95% coverage for Scope 3 reporting</w:t>
      </w:r>
      <w:r>
        <w:t xml:space="preserve">, aligning with stringent 2026 requirements, to provide a comprehensive view of value chain emissions.</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inventory data collected and the lifecycle stages mapped for the ddpxqmylop product. Primary data, where available through specific parameters, has been prioritized. Otherwise, high-quality secondary data from recognized databases (e.g., Ecoinvent, DEFRA equivalent emission factors) has been utilized.</w:t>
      </w:r>
    </w:p>
    <w:bookmarkStart w:id="29" w:name="Xd3f396bca9e70aa72824d07d3d2037666453fa7"/>
    <w:p>
      <w:pPr>
        <w:pStyle w:val="Heading3"/>
      </w:pPr>
      <w:r>
        <w:t xml:space="preserve">2.1. Detailed Bill of Materials (BOM) for Material Inputs</w:t>
      </w:r>
    </w:p>
    <w:p>
      <w:pPr>
        <w:pStyle w:val="FirstParagraph"/>
      </w:pPr>
      <w:r>
        <w:t xml:space="preserve">The following Bill of Materials (BOM) provides a detailed breakdown of the components and materials used in ddpxqmylop. The emission factors and total carbon values are explicitly used as provided, or updated based on best available secondary data where the provided factor might be a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41.8</w:t>
            </w:r>
          </w:p>
        </w:tc>
        <w:tc>
          <w:tcPr/>
          <w:p>
            <w:pPr>
              <w:pStyle w:val="Compact"/>
              <w:jc w:val="left"/>
            </w:pPr>
            <w:r>
              <w:t xml:space="preserve">2.09</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29"/>
    <w:bookmarkStart w:id="30"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25 kWh/unit [sltzzohzpo]</w:t>
      </w:r>
    </w:p>
    <w:p>
      <w:pPr>
        <w:numPr>
          <w:ilvl w:val="0"/>
          <w:numId w:val="1002"/>
        </w:numPr>
        <w:pStyle w:val="Compact"/>
      </w:pPr>
      <w:r>
        <w:rPr>
          <w:bCs/>
          <w:b/>
        </w:rPr>
        <w:t xml:space="preserve">Renewable Energy Usage:</w:t>
      </w:r>
      <w:r>
        <w:t xml:space="preserve"> </w:t>
      </w:r>
      <w:r>
        <w:t xml:space="preserve">50% [izgoxqjxgf] (assumed to directly offset grid electricity)</w:t>
      </w:r>
    </w:p>
    <w:p>
      <w:pPr>
        <w:numPr>
          <w:ilvl w:val="0"/>
          <w:numId w:val="1002"/>
        </w:numPr>
        <w:pStyle w:val="Compact"/>
      </w:pPr>
      <w:r>
        <w:rPr>
          <w:bCs/>
          <w:b/>
        </w:rPr>
        <w:t xml:space="preserve">Grid Electricity Emission Factor (China):</w:t>
      </w:r>
      <w:r>
        <w:t xml:space="preserve"> </w:t>
      </w:r>
      <w:r>
        <w:t xml:space="preserve">0.6205 kg CO2e/kWh (national average carbon footprint factor for 2023, includes life cycle emissions)</w:t>
      </w:r>
    </w:p>
    <w:bookmarkEnd w:id="30"/>
    <w:bookmarkStart w:id="31" w:name="logistics-data"/>
    <w:p>
      <w:pPr>
        <w:pStyle w:val="Heading3"/>
      </w:pPr>
      <w:r>
        <w:t xml:space="preserve">2.3. Logistics Data</w:t>
      </w:r>
    </w:p>
    <w:p>
      <w:pPr>
        <w:numPr>
          <w:ilvl w:val="0"/>
          <w:numId w:val="1003"/>
        </w:numPr>
        <w:pStyle w:val="Compact"/>
      </w:pPr>
      <w:r>
        <w:rPr>
          <w:bCs/>
          <w:b/>
        </w:rPr>
        <w:t xml:space="preserve">Upstream Transport Mode:</w:t>
      </w:r>
      <w:r>
        <w:t xml:space="preserve"> </w:t>
      </w:r>
      <w:r>
        <w:t xml:space="preserve">Road Freight (Heavy Goods Vehicle - HGV)</w:t>
      </w:r>
    </w:p>
    <w:p>
      <w:pPr>
        <w:numPr>
          <w:ilvl w:val="0"/>
          <w:numId w:val="1003"/>
        </w:numPr>
        <w:pStyle w:val="Compact"/>
      </w:pPr>
      <w:r>
        <w:rPr>
          <w:bCs/>
          <w:b/>
        </w:rPr>
        <w:t xml:space="preserve">Upstream Transport Distance:</w:t>
      </w:r>
      <w:r>
        <w:t xml:space="preserve"> </w:t>
      </w:r>
      <w:r>
        <w:t xml:space="preserve">1500 km [szzzvouydd] (assumed average distance for components from European-focused supply chain to China)</w:t>
      </w:r>
    </w:p>
    <w:p>
      <w:pPr>
        <w:numPr>
          <w:ilvl w:val="0"/>
          <w:numId w:val="1003"/>
        </w:numPr>
        <w:pStyle w:val="Compact"/>
      </w:pPr>
      <w:r>
        <w:rPr>
          <w:bCs/>
          <w:b/>
        </w:rPr>
        <w:t xml:space="preserve">HGV Emission Factor:</w:t>
      </w:r>
      <w:r>
        <w:t xml:space="preserve"> </w:t>
      </w:r>
      <w:r>
        <w:t xml:space="preserve">0.092 kg CO2e/tonne-km (for HGV &gt;20t, Europe)</w:t>
      </w:r>
    </w:p>
    <w:p>
      <w:pPr>
        <w:numPr>
          <w:ilvl w:val="0"/>
          <w:numId w:val="1003"/>
        </w:numPr>
        <w:pStyle w:val="Compact"/>
      </w:pPr>
      <w:r>
        <w:rPr>
          <w:bCs/>
          <w:b/>
        </w:rPr>
        <w:t xml:space="preserve">Last-Mile Delivery Channel:</w:t>
      </w:r>
      <w:r>
        <w:t xml:space="preserve"> </w:t>
      </w:r>
      <w:r>
        <w:t xml:space="preserve">Parcel delivery van (Light Commercial Vehicle - LCV) [Delivery Type]</w:t>
      </w:r>
    </w:p>
    <w:p>
      <w:pPr>
        <w:numPr>
          <w:ilvl w:val="0"/>
          <w:numId w:val="1003"/>
        </w:numPr>
        <w:pStyle w:val="Compact"/>
      </w:pPr>
      <w:r>
        <w:rPr>
          <w:bCs/>
          <w:b/>
        </w:rPr>
        <w:t xml:space="preserve">LCV Emission Factor:</w:t>
      </w:r>
      <w:r>
        <w:t xml:space="preserve"> </w:t>
      </w:r>
      <w:r>
        <w:t xml:space="preserve">0.15 kg CO2e/km (for Light Commercial Vehicle, up to 3.5t payload)</w:t>
      </w:r>
    </w:p>
    <w:p>
      <w:pPr>
        <w:numPr>
          <w:ilvl w:val="0"/>
          <w:numId w:val="1003"/>
        </w:numPr>
        <w:pStyle w:val="Compact"/>
      </w:pPr>
      <w:r>
        <w:rPr>
          <w:bCs/>
          <w:b/>
        </w:rPr>
        <w:t xml:space="preserve">Average Last-Mile Distance:</w:t>
      </w:r>
      <w:r>
        <w:t xml:space="preserve"> </w:t>
      </w:r>
      <w:r>
        <w:t xml:space="preserve">Assumed 50 km per unit for last-mile delivery.</w:t>
      </w:r>
    </w:p>
    <w:p>
      <w:pPr>
        <w:numPr>
          <w:ilvl w:val="0"/>
          <w:numId w:val="1003"/>
        </w:numPr>
        <w:pStyle w:val="Compact"/>
      </w:pPr>
      <w:r>
        <w:rPr>
          <w:bCs/>
          <w:b/>
        </w:rPr>
        <w:t xml:space="preserve">Product weight for transport:</w:t>
      </w:r>
      <w:r>
        <w:t xml:space="preserve"> </w:t>
      </w:r>
      <w:r>
        <w:t xml:space="preserve">Sum of component masses (excluding PCBA unit-based factor and packaging here for product core): 0.5 kg (Aluminum) + 0.2 kg (Plastic) + 0.05 kg (Copper) = 0.75 kg. Total product package weight (including packaging): 0.75 kg + 0.1 kg (packaging) = 0.85 kg.</w:t>
      </w:r>
    </w:p>
    <w:bookmarkEnd w:id="31"/>
    <w:bookmarkStart w:id="32"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[wmdfjyudzv]</w:t>
      </w:r>
    </w:p>
    <w:p>
      <w:pPr>
        <w:numPr>
          <w:ilvl w:val="0"/>
          <w:numId w:val="1004"/>
        </w:numPr>
        <w:pStyle w:val="Compact"/>
      </w:pPr>
      <w:r>
        <w:rPr>
          <w:bCs/>
          <w:b/>
        </w:rPr>
        <w:t xml:space="preserve">Energy Consumption in Use:</w:t>
      </w:r>
      <w:r>
        <w:t xml:space="preserve"> </w:t>
      </w:r>
      <w:r>
        <w:t xml:space="preserve">10 kWh/year [rgmuunquyz]</w:t>
      </w:r>
    </w:p>
    <w:p>
      <w:pPr>
        <w:numPr>
          <w:ilvl w:val="0"/>
          <w:numId w:val="1004"/>
        </w:numPr>
        <w:pStyle w:val="Compact"/>
      </w:pPr>
      <w:r>
        <w:rPr>
          <w:bCs/>
          <w:b/>
        </w:rPr>
        <w:t xml:space="preserve">Grid Electricity Emission Factor (EU Average):</w:t>
      </w:r>
      <w:r>
        <w:t xml:space="preserve"> </w:t>
      </w:r>
      <w:r>
        <w:t xml:space="preserve">0.181 kg CO2e/kWh (average European Carbon Factor for 2024)</w:t>
      </w:r>
    </w:p>
    <w:bookmarkEnd w:id="32"/>
    <w:bookmarkStart w:id="33"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70% [kjyqudmntl]</w:t>
      </w:r>
    </w:p>
    <w:p>
      <w:pPr>
        <w:numPr>
          <w:ilvl w:val="0"/>
          <w:numId w:val="1005"/>
        </w:numPr>
        <w:pStyle w:val="Compact"/>
      </w:pPr>
      <w:r>
        <w:rPr>
          <w:bCs/>
          <w:b/>
        </w:rPr>
        <w:t xml:space="preserve">Circular/Take-back Programs:</w:t>
      </w:r>
      <w:r>
        <w:t xml:space="preserve"> </w:t>
      </w:r>
      <w:r>
        <w:t xml:space="preserve">Yes, established program [tjpeiggtkf]</w:t>
      </w:r>
    </w:p>
    <w:p>
      <w:pPr>
        <w:numPr>
          <w:ilvl w:val="0"/>
          <w:numId w:val="1005"/>
        </w:numPr>
        <w:pStyle w:val="Compact"/>
      </w:pPr>
      <w:r>
        <w:rPr>
          <w:bCs/>
          <w:b/>
        </w:rPr>
        <w:t xml:space="preserve">EoL Burden (Recycling):</w:t>
      </w:r>
      <w:r>
        <w:t xml:space="preserve"> </w:t>
      </w:r>
      <w:r>
        <w:t xml:space="preserve">Assumed 0.1 kg CO2e/kg for processing of recyclable materials (simplified average)</w:t>
      </w:r>
    </w:p>
    <w:p>
      <w:pPr>
        <w:numPr>
          <w:ilvl w:val="0"/>
          <w:numId w:val="1005"/>
        </w:numPr>
        <w:pStyle w:val="Compact"/>
      </w:pPr>
      <w:r>
        <w:rPr>
          <w:bCs/>
          <w:b/>
        </w:rPr>
        <w:t xml:space="preserve">EoL Burden (Landfill):</w:t>
      </w:r>
      <w:r>
        <w:t xml:space="preserve"> </w:t>
      </w:r>
      <w:r>
        <w:t xml:space="preserve">Assumed 0.5 kg CO2e/kg for non-recycled material disposal (simplified average)</w:t>
      </w:r>
    </w:p>
    <w:p>
      <w:r>
        <w:pict>
          <v:rect style="width:0;height:1.5pt" o:hralign="center" o:hrstd="t" o:hr="t"/>
        </w:pict>
      </w:r>
    </w:p>
    <w:bookmarkEnd w:id="33"/>
    <w:bookmarkEnd w:id="34"/>
    <w:bookmarkStart w:id="44" w:name="Xdd1c2ba429305467bad58a0828410d9d0fce25c"/>
    <w:p>
      <w:pPr>
        <w:pStyle w:val="Heading2"/>
      </w:pPr>
      <w:r>
        <w:t xml:space="preserve">4. Emissions Calculation (Activity * Emission Factor = CO2e)</w:t>
      </w:r>
    </w:p>
    <w:p>
      <w:pPr>
        <w:pStyle w:val="FirstParagraph"/>
      </w:pPr>
      <w:r>
        <w:t xml:space="preserve">The emissions are calculated based on the collected activity data and emission factors, categorized according to the GHG Protocol.</w:t>
      </w:r>
    </w:p>
    <w:bookmarkStart w:id="37" w:name="X3107e9db22f48ec1ee568aabe1817607be02e36"/>
    <w:p>
      <w:pPr>
        <w:pStyle w:val="Heading3"/>
      </w:pPr>
      <w:r>
        <w:t xml:space="preserve">4.1. Scope 3 Emissions: Upstream (Categories 1 &amp; 4)</w:t>
      </w:r>
    </w:p>
    <w:bookmarkStart w:id="35" w:name="Xd366bc14aaf729a55852c5830de6d420a238a02"/>
    <w:p>
      <w:pPr>
        <w:pStyle w:val="Heading4"/>
      </w:pPr>
      <w:r>
        <w:t xml:space="preserve">4.1.1. Purchased Goods and Services (Material Acquisition) - Scope 3, Category 1</w:t>
      </w:r>
    </w:p>
    <w:p>
      <w:pPr>
        <w:pStyle w:val="FirstParagraph"/>
      </w:pPr>
      <w:r>
        <w:t xml:space="preserve">This category accounts for the emissions associated with the raw materials and components comprising ddpxqmylop, based on the provided BOM.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Plastic Components</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Circuit Board (PCBA)</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41.8</w:t>
            </w:r>
          </w:p>
        </w:tc>
        <w:tc>
          <w:tcPr/>
          <w:p>
            <w:pPr>
              <w:pStyle w:val="Compact"/>
              <w:jc w:val="left"/>
            </w:pPr>
            <w:r>
              <w:t xml:space="preserve">2.09</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4"/>
          </w:tcPr>
          <w:p>
            <w:pPr>
              <w:pStyle w:val="Compact"/>
              <w:jc w:val="right"/>
            </w:pPr>
            <w:r>
              <w:t xml:space="preserve">Subtotal Material Emissions:</w:t>
            </w:r>
          </w:p>
        </w:tc>
        <w:tc>
          <w:tcPr/>
          <w:p>
            <w:pPr>
              <w:pStyle w:val="Compact"/>
              <w:jc w:val="left"/>
            </w:pPr>
            <w:r>
              <w:rPr>
                <w:bCs/>
                <w:b/>
              </w:rPr>
              <w:t xml:space="preserve">8.39</w:t>
            </w:r>
          </w:p>
        </w:tc>
      </w:tr>
    </w:tbl>
    <w:bookmarkEnd w:id="35"/>
    <w:bookmarkStart w:id="36" w:name="Xc926db739799bf8aed93fbf19e32e3fb4a4aa61"/>
    <w:p>
      <w:pPr>
        <w:pStyle w:val="Heading4"/>
      </w:pPr>
      <w:r>
        <w:t xml:space="preserve">4.1.2. Upstream Transportation and Distribution - Scope 3, Category 4</w:t>
      </w:r>
    </w:p>
    <w:p>
      <w:pPr>
        <w:pStyle w:val="FirstParagraph"/>
      </w:pPr>
      <w:r>
        <w:t xml:space="preserve">This accounts for the transportation of components from the Europe-focused supply chain to the manufacturing facility in China.</w:t>
      </w:r>
    </w:p>
    <w:p>
      <w:pPr>
        <w:numPr>
          <w:ilvl w:val="0"/>
          <w:numId w:val="1006"/>
        </w:numPr>
        <w:pStyle w:val="Compact"/>
      </w:pPr>
      <w:r>
        <w:t xml:space="preserve">Total Mass of Components: 0.5 kg + 0.2 kg + 0.1 kg (PCBA is a unit but for transport purposes its mass is considered as 0.1kg for calculation) + 0.05 kg + 0.1 kg (packaging) = 0.95 kg = 0.00095 tonnes</w:t>
      </w:r>
    </w:p>
    <w:p>
      <w:pPr>
        <w:numPr>
          <w:ilvl w:val="0"/>
          <w:numId w:val="1006"/>
        </w:numPr>
        <w:pStyle w:val="Compact"/>
      </w:pPr>
      <w:r>
        <w:t xml:space="preserve">Transport Distance: 1500 km [szzzvouydd]</w:t>
      </w:r>
    </w:p>
    <w:p>
      <w:pPr>
        <w:numPr>
          <w:ilvl w:val="0"/>
          <w:numId w:val="1006"/>
        </w:numPr>
        <w:pStyle w:val="Compact"/>
      </w:pPr>
      <w:r>
        <w:t xml:space="preserve">Emission Factor (Road Freight HGV): 0.092 kg CO2e/tonne-km</w:t>
      </w:r>
    </w:p>
    <w:p>
      <w:pPr>
        <w:numPr>
          <w:ilvl w:val="0"/>
          <w:numId w:val="1006"/>
        </w:numPr>
        <w:pStyle w:val="Compact"/>
      </w:pPr>
      <w:r>
        <w:t xml:space="preserve">Calculated Emissions: 0.00095 tonnes * 1500 km * 0.092 kg CO2e/tonne-km = 0.1311 kg CO2e</w:t>
      </w:r>
    </w:p>
    <w:p>
      <w:pPr>
        <w:pStyle w:val="FirstParagraph"/>
      </w:pPr>
      <w:r>
        <w:rPr>
          <w:bCs/>
          <w:b/>
        </w:rPr>
        <w:t xml:space="preserve">Total Upstream Transport Emissions: 0.13 kg CO2e</w:t>
      </w:r>
    </w:p>
    <w:bookmarkEnd w:id="36"/>
    <w:bookmarkEnd w:id="37"/>
    <w:bookmarkStart w:id="38" w:name="Xfb14160541a5cf2bdb3402622cd698aa66667db"/>
    <w:p>
      <w:pPr>
        <w:pStyle w:val="Heading3"/>
      </w:pPr>
      <w:r>
        <w:t xml:space="preserve">4.2. Scope 2 Emissions: Purchased Electricity (Production Phase)</w:t>
      </w:r>
    </w:p>
    <w:p>
      <w:pPr>
        <w:pStyle w:val="FirstParagraph"/>
      </w:pPr>
      <w:r>
        <w:t xml:space="preserve">Emissions from electricity consumed during the manufacturing of ddpxqmylop in China.</w:t>
      </w:r>
    </w:p>
    <w:p>
      <w:pPr>
        <w:numPr>
          <w:ilvl w:val="0"/>
          <w:numId w:val="1007"/>
        </w:numPr>
        <w:pStyle w:val="Compact"/>
      </w:pPr>
      <w:r>
        <w:t xml:space="preserve">Energy Intensity: 25 kWh/unit [sltzzohzpo]</w:t>
      </w:r>
    </w:p>
    <w:p>
      <w:pPr>
        <w:numPr>
          <w:ilvl w:val="0"/>
          <w:numId w:val="1007"/>
        </w:numPr>
        <w:pStyle w:val="Compact"/>
      </w:pPr>
      <w:r>
        <w:t xml:space="preserve">Renewable Energy Usage: 50% [izgoxqjxgf]</w:t>
      </w:r>
    </w:p>
    <w:p>
      <w:pPr>
        <w:numPr>
          <w:ilvl w:val="0"/>
          <w:numId w:val="1007"/>
        </w:numPr>
        <w:pStyle w:val="Compact"/>
      </w:pPr>
      <w:r>
        <w:t xml:space="preserve">Effective Grid Electricity Consumption: 25 kWh/unit * (1 - 0.50) = 12.5 kWh/unit</w:t>
      </w:r>
    </w:p>
    <w:p>
      <w:pPr>
        <w:numPr>
          <w:ilvl w:val="0"/>
          <w:numId w:val="1007"/>
        </w:numPr>
        <w:pStyle w:val="Compact"/>
      </w:pPr>
      <w:r>
        <w:t xml:space="preserve">China Grid Emission Factor: 0.6205 kg CO2e/kWh</w:t>
      </w:r>
    </w:p>
    <w:p>
      <w:pPr>
        <w:numPr>
          <w:ilvl w:val="0"/>
          <w:numId w:val="1007"/>
        </w:numPr>
        <w:pStyle w:val="Compact"/>
      </w:pPr>
      <w:r>
        <w:t xml:space="preserve">Calculated Emissions: 12.5 kWh/unit * 0.6205 kg CO2e/kWh = 7.75625 kg CO2e</w:t>
      </w:r>
    </w:p>
    <w:p>
      <w:pPr>
        <w:pStyle w:val="FirstParagraph"/>
      </w:pPr>
      <w:r>
        <w:rPr>
          <w:bCs/>
          <w:b/>
        </w:rPr>
        <w:t xml:space="preserve">Total Production (Scope 2) Emissions: 7.76 kg CO2e</w:t>
      </w:r>
    </w:p>
    <w:bookmarkEnd w:id="38"/>
    <w:bookmarkStart w:id="42" w:name="X128e4cd87a3bc81ec32ee0d47b179eb73d1dc42"/>
    <w:p>
      <w:pPr>
        <w:pStyle w:val="Heading3"/>
      </w:pPr>
      <w:r>
        <w:t xml:space="preserve">4.3. Scope 3 Emissions: Downstream (Categories 9, 11, 12)</w:t>
      </w:r>
    </w:p>
    <w:bookmarkStart w:id="39" w:name="Xc50dd971489119c1a491706d21b8f992fc70c65"/>
    <w:p>
      <w:pPr>
        <w:pStyle w:val="Heading4"/>
      </w:pPr>
      <w:r>
        <w:t xml:space="preserve">4.3.1. Downstream Transportation and Distribution (Last-Mile Delivery) - Scope 3, Category 9</w:t>
      </w:r>
    </w:p>
    <w:p>
      <w:pPr>
        <w:pStyle w:val="FirstParagraph"/>
      </w:pPr>
      <w:r>
        <w:t xml:space="preserve">Emissions from delivering the finished product to the end-user.</w:t>
      </w:r>
    </w:p>
    <w:p>
      <w:pPr>
        <w:numPr>
          <w:ilvl w:val="0"/>
          <w:numId w:val="1008"/>
        </w:numPr>
        <w:pStyle w:val="Compact"/>
      </w:pPr>
      <w:r>
        <w:t xml:space="preserve">Product Package Weight: 0.85 kg</w:t>
      </w:r>
    </w:p>
    <w:p>
      <w:pPr>
        <w:numPr>
          <w:ilvl w:val="0"/>
          <w:numId w:val="1008"/>
        </w:numPr>
        <w:pStyle w:val="Compact"/>
      </w:pPr>
      <w:r>
        <w:t xml:space="preserve">Assumed Last-Mile Distance: 50 km</w:t>
      </w:r>
    </w:p>
    <w:p>
      <w:pPr>
        <w:numPr>
          <w:ilvl w:val="0"/>
          <w:numId w:val="1008"/>
        </w:numPr>
        <w:pStyle w:val="Compact"/>
      </w:pPr>
      <w:r>
        <w:t xml:space="preserve">Emission Factor (LCV): 0.15 kg CO2e/km</w:t>
      </w:r>
    </w:p>
    <w:p>
      <w:pPr>
        <w:numPr>
          <w:ilvl w:val="0"/>
          <w:numId w:val="1008"/>
        </w:numPr>
        <w:pStyle w:val="Compact"/>
      </w:pPr>
      <w:r>
        <w:t xml:space="preserve">Calculated Emissions: 0.15 kg CO2e/km * 50 km = 7.5 kg CO2e (This assumes LCV emission is independent of actual payload for a standard package, which is a common simplification for last-mile)</w:t>
      </w:r>
    </w:p>
    <w:p>
      <w:pPr>
        <w:pStyle w:val="FirstParagraph"/>
      </w:pPr>
      <w:r>
        <w:rPr>
          <w:bCs/>
          <w:b/>
        </w:rPr>
        <w:t xml:space="preserve">Total Last-Mile Delivery Emissions: 7.50 kg CO2e</w:t>
      </w:r>
    </w:p>
    <w:bookmarkEnd w:id="39"/>
    <w:bookmarkStart w:id="40" w:name="X1e05f328de047f91a5acc70a4dd71d868318847"/>
    <w:p>
      <w:pPr>
        <w:pStyle w:val="Heading4"/>
      </w:pPr>
      <w:r>
        <w:t xml:space="preserve">4.3.2. Use of Sold Products - Scope 3, Category 11</w:t>
      </w:r>
    </w:p>
    <w:p>
      <w:pPr>
        <w:pStyle w:val="FirstParagraph"/>
      </w:pPr>
      <w:r>
        <w:t xml:space="preserve">Emissions generated from the energy consumption of ddpxqmylop during its expected lifespan.</w:t>
      </w:r>
    </w:p>
    <w:p>
      <w:pPr>
        <w:numPr>
          <w:ilvl w:val="0"/>
          <w:numId w:val="1009"/>
        </w:numPr>
        <w:pStyle w:val="Compact"/>
      </w:pPr>
      <w:r>
        <w:t xml:space="preserve">Product Lifespan: 5 years [wmdfjyudzv]</w:t>
      </w:r>
    </w:p>
    <w:p>
      <w:pPr>
        <w:numPr>
          <w:ilvl w:val="0"/>
          <w:numId w:val="1009"/>
        </w:numPr>
        <w:pStyle w:val="Compact"/>
      </w:pPr>
      <w:r>
        <w:t xml:space="preserve">Energy Consumption in Use: 10 kWh/year [rgmuunquyz]</w:t>
      </w:r>
    </w:p>
    <w:p>
      <w:pPr>
        <w:numPr>
          <w:ilvl w:val="0"/>
          <w:numId w:val="1009"/>
        </w:numPr>
        <w:pStyle w:val="Compact"/>
      </w:pPr>
      <w:r>
        <w:t xml:space="preserve">EU Grid Emission Factor (Assumed use region): 0.181 kg CO2e/kWh</w:t>
      </w:r>
    </w:p>
    <w:p>
      <w:pPr>
        <w:numPr>
          <w:ilvl w:val="0"/>
          <w:numId w:val="1009"/>
        </w:numPr>
        <w:pStyle w:val="Compact"/>
      </w:pPr>
      <w:r>
        <w:t xml:space="preserve">Calculated Emissions: 10 kWh/year * 5 years * 0.181 kg CO2e/kWh = 9.05 kg CO2e</w:t>
      </w:r>
    </w:p>
    <w:p>
      <w:pPr>
        <w:pStyle w:val="FirstParagraph"/>
      </w:pPr>
      <w:r>
        <w:rPr>
          <w:bCs/>
          <w:b/>
        </w:rPr>
        <w:t xml:space="preserve">Total Use Phase Emissions: 9.05 kg CO2e</w:t>
      </w:r>
    </w:p>
    <w:bookmarkEnd w:id="40"/>
    <w:bookmarkStart w:id="41" w:name="X0b21e312687004219516481b717239f49126b10"/>
    <w:p>
      <w:pPr>
        <w:pStyle w:val="Heading4"/>
      </w:pPr>
      <w:r>
        <w:t xml:space="preserve">4.3.3. End-of-Life Treatment of Sold Products - Scope 3, Category 12</w:t>
      </w:r>
    </w:p>
    <w:p>
      <w:pPr>
        <w:pStyle w:val="FirstParagraph"/>
      </w:pPr>
      <w:r>
        <w:t xml:space="preserve">Emissions associated with the disposal and recycling of ddpxqmylop at the end of its useful life.</w:t>
      </w:r>
    </w:p>
    <w:p>
      <w:pPr>
        <w:numPr>
          <w:ilvl w:val="0"/>
          <w:numId w:val="1010"/>
        </w:numPr>
        <w:pStyle w:val="Compact"/>
      </w:pPr>
      <w:r>
        <w:t xml:space="preserve">Product Mass (excluding packaging): 0.75 kg</w:t>
      </w:r>
    </w:p>
    <w:p>
      <w:pPr>
        <w:numPr>
          <w:ilvl w:val="0"/>
          <w:numId w:val="1010"/>
        </w:numPr>
        <w:pStyle w:val="Compact"/>
      </w:pPr>
      <w:r>
        <w:t xml:space="preserve">Recyclability Percentage: 70% [kjyqudmntl]</w:t>
      </w:r>
    </w:p>
    <w:p>
      <w:pPr>
        <w:numPr>
          <w:ilvl w:val="0"/>
          <w:numId w:val="1010"/>
        </w:numPr>
        <w:pStyle w:val="Compact"/>
      </w:pPr>
      <w:r>
        <w:t xml:space="preserve">Landfilled Percentage: 30%</w:t>
      </w:r>
    </w:p>
    <w:p>
      <w:pPr>
        <w:numPr>
          <w:ilvl w:val="0"/>
          <w:numId w:val="1010"/>
        </w:numPr>
        <w:pStyle w:val="Compact"/>
      </w:pPr>
      <w:r>
        <w:t xml:space="preserve">EoL Recycling Burden: 0.75 kg * 0.70 * 0.1 kg CO2e/kg = 0.0525 kg CO2e</w:t>
      </w:r>
    </w:p>
    <w:p>
      <w:pPr>
        <w:numPr>
          <w:ilvl w:val="0"/>
          <w:numId w:val="1010"/>
        </w:numPr>
        <w:pStyle w:val="Compact"/>
      </w:pPr>
      <w:r>
        <w:t xml:space="preserve">EoL Landfill Burden: 0.75 kg * 0.30 * 0.5 kg CO2e/kg = 0.1125 kg CO2e</w:t>
      </w:r>
    </w:p>
    <w:p>
      <w:pPr>
        <w:numPr>
          <w:ilvl w:val="0"/>
          <w:numId w:val="1010"/>
        </w:numPr>
        <w:pStyle w:val="Compact"/>
      </w:pPr>
      <w:r>
        <w:t xml:space="preserve">Circular/Take-back Programs: Yes, established program [tjpeiggtkf] (The presence of programs can improve recycling rates and efficiency but is not directly quantified as an emission reduction here without more specific data.)</w:t>
      </w:r>
    </w:p>
    <w:p>
      <w:pPr>
        <w:numPr>
          <w:ilvl w:val="0"/>
          <w:numId w:val="1010"/>
        </w:numPr>
        <w:pStyle w:val="Compact"/>
      </w:pPr>
      <w:r>
        <w:t xml:space="preserve">Calculated Emissions: 0.0525 kg CO2e + 0.1125 kg CO2e = 0.165 kg CO2e</w:t>
      </w:r>
    </w:p>
    <w:p>
      <w:pPr>
        <w:pStyle w:val="FirstParagraph"/>
      </w:pPr>
      <w:r>
        <w:rPr>
          <w:bCs/>
          <w:b/>
        </w:rPr>
        <w:t xml:space="preserve">Total End-of-Life Emissions: 0.17 kg CO2e</w:t>
      </w:r>
    </w:p>
    <w:bookmarkEnd w:id="41"/>
    <w:bookmarkEnd w:id="42"/>
    <w:bookmarkStart w:id="43" w:name="summary-of-emissions-by-scope-and-stage"/>
    <w:p>
      <w:pPr>
        <w:pStyle w:val="Heading3"/>
      </w:pPr>
      <w:r>
        <w:t xml:space="preserve">4.4. Summary of Emissions by Scope and Stage</w:t>
      </w:r>
    </w:p>
    <w:p>
      <w:pPr>
        <w:pStyle w:val="FirstParagraph"/>
      </w:pPr>
      <w:r>
        <w:t xml:space="preserve">The total Product Carbon Footprint for one functional unit of ddpxqmylop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3, Category 1</w:t>
            </w:r>
          </w:p>
        </w:tc>
        <w:tc>
          <w:tcPr/>
          <w:p>
            <w:pPr>
              <w:pStyle w:val="Compact"/>
              <w:jc w:val="left"/>
            </w:pPr>
            <w:r>
              <w:t xml:space="preserve">Material Acquisition (Purchased Goods)</w:t>
            </w:r>
          </w:p>
        </w:tc>
        <w:tc>
          <w:tcPr/>
          <w:p>
            <w:pPr>
              <w:pStyle w:val="Compact"/>
              <w:jc w:val="left"/>
            </w:pPr>
            <w:r>
              <w:t xml:space="preserve">8.39</w:t>
            </w:r>
          </w:p>
        </w:tc>
        <w:tc>
          <w:tcPr/>
          <w:p>
            <w:pPr>
              <w:pStyle w:val="Compact"/>
              <w:jc w:val="left"/>
            </w:pPr>
            <w:r>
              <w:t xml:space="preserve">32.88%</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0.13</w:t>
            </w:r>
          </w:p>
        </w:tc>
        <w:tc>
          <w:tcPr/>
          <w:p>
            <w:pPr>
              <w:pStyle w:val="Compact"/>
              <w:jc w:val="left"/>
            </w:pPr>
            <w:r>
              <w:t xml:space="preserve">0.51%</w:t>
            </w:r>
          </w:p>
        </w:tc>
      </w:tr>
      <w:tr>
        <w:tc>
          <w:tcPr/>
          <w:p>
            <w:pPr>
              <w:pStyle w:val="Compact"/>
              <w:jc w:val="left"/>
            </w:pPr>
            <w:r>
              <w:t xml:space="preserve">Scope 2</w:t>
            </w:r>
          </w:p>
        </w:tc>
        <w:tc>
          <w:tcPr/>
          <w:p>
            <w:pPr>
              <w:pStyle w:val="Compact"/>
              <w:jc w:val="left"/>
            </w:pPr>
            <w:r>
              <w:t xml:space="preserve">Production (Purchased Electricity)</w:t>
            </w:r>
          </w:p>
        </w:tc>
        <w:tc>
          <w:tcPr/>
          <w:p>
            <w:pPr>
              <w:pStyle w:val="Compact"/>
              <w:jc w:val="left"/>
            </w:pPr>
            <w:r>
              <w:t xml:space="preserve">7.76</w:t>
            </w:r>
          </w:p>
        </w:tc>
        <w:tc>
          <w:tcPr/>
          <w:p>
            <w:pPr>
              <w:pStyle w:val="Compact"/>
              <w:jc w:val="left"/>
            </w:pPr>
            <w:r>
              <w:t xml:space="preserve">30.42%</w:t>
            </w:r>
          </w:p>
        </w:tc>
      </w:tr>
      <w:tr>
        <w:tc>
          <w:tcPr/>
          <w:p>
            <w:pPr>
              <w:pStyle w:val="Compact"/>
              <w:jc w:val="left"/>
            </w:pPr>
            <w:r>
              <w:t xml:space="preserve">Scope 3, Category 9</w:t>
            </w:r>
          </w:p>
        </w:tc>
        <w:tc>
          <w:tcPr/>
          <w:p>
            <w:pPr>
              <w:pStyle w:val="Compact"/>
              <w:jc w:val="left"/>
            </w:pPr>
            <w:r>
              <w:t xml:space="preserve">Downstream Transportation (Last-Mile)</w:t>
            </w:r>
          </w:p>
        </w:tc>
        <w:tc>
          <w:tcPr/>
          <w:p>
            <w:pPr>
              <w:pStyle w:val="Compact"/>
              <w:jc w:val="left"/>
            </w:pPr>
            <w:r>
              <w:t xml:space="preserve">7.50</w:t>
            </w:r>
          </w:p>
        </w:tc>
        <w:tc>
          <w:tcPr/>
          <w:p>
            <w:pPr>
              <w:pStyle w:val="Compact"/>
              <w:jc w:val="left"/>
            </w:pPr>
            <w:r>
              <w:t xml:space="preserve">29.40%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9.05</w:t>
            </w:r>
          </w:p>
        </w:tc>
        <w:tc>
          <w:tcPr/>
          <w:p>
            <w:pPr>
              <w:pStyle w:val="Compact"/>
              <w:jc w:val="left"/>
            </w:pPr>
            <w:r>
              <w:t xml:space="preserve">35.47%</w:t>
            </w:r>
          </w:p>
        </w:tc>
      </w:tr>
      <w:tr>
        <w:tc>
          <w:tcPr/>
          <w:p>
            <w:pPr>
              <w:pStyle w:val="Compact"/>
              <w:jc w:val="left"/>
            </w:pPr>
            <w:r>
              <w:t xml:space="preserve">Scope 3, Category 12</w:t>
            </w:r>
          </w:p>
        </w:tc>
        <w:tc>
          <w:tcPr/>
          <w:p>
            <w:pPr>
              <w:pStyle w:val="Compact"/>
              <w:jc w:val="left"/>
            </w:pPr>
            <w:r>
              <w:t xml:space="preserve">End-of-Life Treatment</w:t>
            </w:r>
          </w:p>
        </w:tc>
        <w:tc>
          <w:tcPr/>
          <w:p>
            <w:pPr>
              <w:pStyle w:val="Compact"/>
              <w:jc w:val="left"/>
            </w:pPr>
            <w:r>
              <w:t xml:space="preserve">0.17</w:t>
            </w:r>
          </w:p>
        </w:tc>
        <w:tc>
          <w:tcPr/>
          <w:p>
            <w:pPr>
              <w:pStyle w:val="Compact"/>
              <w:jc w:val="left"/>
            </w:pPr>
            <w:r>
              <w:t xml:space="preserve">0.67%</w:t>
            </w:r>
          </w:p>
        </w:tc>
      </w:tr>
      <w:tr>
        <w:tc>
          <w:tcPr>
            <w:gridSpan w:val="2"/>
          </w:tcPr>
          <w:p>
            <w:pPr>
              <w:pStyle w:val="Compact"/>
              <w:jc w:val="right"/>
            </w:pPr>
            <w:r>
              <w:t xml:space="preserve">Total Product Carbon Footprint:</w:t>
            </w:r>
          </w:p>
        </w:tc>
        <w:tc>
          <w:tcPr/>
          <w:p>
            <w:pPr>
              <w:pStyle w:val="Compact"/>
              <w:jc w:val="left"/>
            </w:pPr>
            <w:r>
              <w:rPr>
                <w:bCs/>
                <w:b/>
              </w:rPr>
              <w:t xml:space="preserve">25.51</w:t>
            </w:r>
          </w:p>
        </w:tc>
        <w:tc>
          <w:tcPr/>
          <w:p>
            <w:pPr>
              <w:pStyle w:val="Compact"/>
              <w:jc w:val="left"/>
            </w:pPr>
            <w:r>
              <w:rPr>
                <w:bCs/>
                <w:b/>
              </w:rPr>
              <w:t xml:space="preserve">100.00%</w:t>
            </w:r>
          </w:p>
        </w:tc>
      </w:tr>
    </w:tbl>
    <w:p>
      <w:pPr>
        <w:pStyle w:val="BodyText"/>
      </w:pPr>
      <w:r>
        <w:t xml:space="preserve">The breakdown shows that the Use Phase, Material Acquisition, and Production are the most significant contributors to the overall carbon footprint of ddpxqmylop. The combined Scope 3 emissions represent approximately 98.93% of the total footprint, demonstrating strong coverage for Scope 3 reporting.</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primary hotspots in the lifecycle of ddpxqmylop are:</w:t>
      </w:r>
    </w:p>
    <w:p>
      <w:pPr>
        <w:numPr>
          <w:ilvl w:val="0"/>
          <w:numId w:val="1011"/>
        </w:numPr>
        <w:pStyle w:val="Compact"/>
      </w:pPr>
      <w:r>
        <w:rPr>
          <w:bCs/>
          <w:b/>
        </w:rPr>
        <w:t xml:space="preserve">Use Phase (35.47%):</w:t>
      </w:r>
      <w:r>
        <w:t xml:space="preserve"> </w:t>
      </w:r>
      <w:r>
        <w:t xml:space="preserve">Dominated by electricity consumption during the product\'s 5-year lifespan. This highlights the importance of energy efficiency in product design and promoting renewable energy adoption by end-users.</w:t>
      </w:r>
    </w:p>
    <w:p>
      <w:pPr>
        <w:numPr>
          <w:ilvl w:val="0"/>
          <w:numId w:val="1011"/>
        </w:numPr>
        <w:pStyle w:val="Compact"/>
      </w:pPr>
      <w:r>
        <w:rPr>
          <w:bCs/>
          <w:b/>
        </w:rPr>
        <w:t xml:space="preserve">Material Acquisition (32.88%):</w:t>
      </w:r>
      <w:r>
        <w:t xml:space="preserve"> </w:t>
      </w:r>
      <w:r>
        <w:t xml:space="preserve">Driven by the embodied emissions of key components, particularly copper wire and aluminum casing. The high emission factor for copper wire significantly contributes here.</w:t>
      </w:r>
    </w:p>
    <w:p>
      <w:pPr>
        <w:numPr>
          <w:ilvl w:val="0"/>
          <w:numId w:val="1011"/>
        </w:numPr>
        <w:pStyle w:val="Compact"/>
      </w:pPr>
      <w:r>
        <w:rPr>
          <w:bCs/>
          <w:b/>
        </w:rPr>
        <w:t xml:space="preserve">Production (30.42%):</w:t>
      </w:r>
      <w:r>
        <w:t xml:space="preserve"> </w:t>
      </w:r>
      <w:r>
        <w:t xml:space="preserve">Emissions from purchased electricity during manufacturing in China. While 50% renewable energy is used, the remaining grid mix still contributes significantly.</w:t>
      </w:r>
    </w:p>
    <w:p>
      <w:pPr>
        <w:numPr>
          <w:ilvl w:val="0"/>
          <w:numId w:val="1011"/>
        </w:numPr>
        <w:pStyle w:val="Compact"/>
      </w:pPr>
      <w:r>
        <w:rPr>
          <w:bCs/>
          <w:b/>
        </w:rPr>
        <w:t xml:space="preserve">Downstream Transportation (Last-Mile) (29.40%):</w:t>
      </w:r>
      <w:r>
        <w:t xml:space="preserve"> </w:t>
      </w:r>
      <w:r>
        <w:t xml:space="preserve">Last-mile delivery, even for a single unit, can be emission-intensive depending on vehicle type and routing, often becoming a significant contributor per unit.</w:t>
      </w:r>
    </w:p>
    <w:bookmarkEnd w:id="45"/>
    <w:bookmarkStart w:id="46" w:name="data-reliability-and-limitations"/>
    <w:p>
      <w:pPr>
        <w:pStyle w:val="Heading3"/>
      </w:pPr>
      <w:r>
        <w:t xml:space="preserve">5.2. Data Reliability and Limitations</w:t>
      </w:r>
    </w:p>
    <w:p>
      <w:pPr>
        <w:pStyle w:val="FirstParagraph"/>
      </w:pPr>
      <w:r>
        <w:t xml:space="preserve">The analysis relies on a combination of provided specific parameters and industry-average emission factors. The reliability is considered moderate to high, given the explicit use of detailed BOM data. However, the following limitations exist:</w:t>
      </w:r>
    </w:p>
    <w:p>
      <w:pPr>
        <w:numPr>
          <w:ilvl w:val="0"/>
          <w:numId w:val="1012"/>
        </w:numPr>
        <w:pStyle w:val="Compact"/>
      </w:pPr>
      <w:r>
        <w:rPr>
          <w:bCs/>
          <w:b/>
        </w:rPr>
        <w:t xml:space="preserve">BOM Emission Factors:</w:t>
      </w:r>
      <w:r>
        <w:t xml:space="preserve"> </w:t>
      </w:r>
      <w:r>
        <w:t xml:space="preserve">The provided emission factors for BOM items are taken as primary data. Variations in supplier-specific data or manufacturing processes not reflected in these averages could alter the results.</w:t>
      </w:r>
    </w:p>
    <w:p>
      <w:pPr>
        <w:numPr>
          <w:ilvl w:val="0"/>
          <w:numId w:val="1012"/>
        </w:numPr>
        <w:pStyle w:val="Compact"/>
      </w:pPr>
      <w:r>
        <w:rPr>
          <w:bCs/>
          <w:b/>
        </w:rPr>
        <w:t xml:space="preserve">Generic Transport Data:</w:t>
      </w:r>
      <w:r>
        <w:t xml:space="preserve"> </w:t>
      </w:r>
      <w:r>
        <w:t xml:space="preserve">Specific route optimization, vehicle load factors (beyond average HGV/LCV assumptions), and fuel types for transportation modes are generalized.</w:t>
      </w:r>
    </w:p>
    <w:p>
      <w:pPr>
        <w:numPr>
          <w:ilvl w:val="0"/>
          <w:numId w:val="1012"/>
        </w:numPr>
        <w:pStyle w:val="Compact"/>
      </w:pPr>
      <w:r>
        <w:rPr>
          <w:bCs/>
          <w:b/>
        </w:rPr>
        <w:t xml:space="preserve">Use Phase Assumptions:</w:t>
      </w:r>
      <w:r>
        <w:t xml:space="preserve"> </w:t>
      </w:r>
      <w:r>
        <w:t xml:space="preserve">Energy consumption in use is based on a fixed annual rate and an average EU grid mix. Actual usage patterns and regional energy mixes by consumers could vary.</w:t>
      </w:r>
    </w:p>
    <w:p>
      <w:pPr>
        <w:numPr>
          <w:ilvl w:val="0"/>
          <w:numId w:val="1012"/>
        </w:numPr>
        <w:pStyle w:val="Compact"/>
      </w:pPr>
      <w:r>
        <w:rPr>
          <w:bCs/>
          <w:b/>
        </w:rPr>
        <w:t xml:space="preserve">End-of-Life Simplification:</w:t>
      </w:r>
      <w:r>
        <w:t xml:space="preserve"> </w:t>
      </w:r>
      <w:r>
        <w:t xml:space="preserve">EoL scenarios involve simplified recycling and landfill burden factors. The actual efficiency of recycling processes and specific waste management infrastructure in relevant regions could lead to different outcomes. The full benefits of circular/take-back programs are complex to quantify without detailed, product-specific return and reprocessing data.</w:t>
      </w:r>
    </w:p>
    <w:p>
      <w:pPr>
        <w:numPr>
          <w:ilvl w:val="0"/>
          <w:numId w:val="1012"/>
        </w:numPr>
        <w:pStyle w:val="Compact"/>
      </w:pPr>
      <w:r>
        <w:rPr>
          <w:bCs/>
          <w:b/>
        </w:rPr>
        <w:t xml:space="preserve">LSR Standard Application:</w:t>
      </w:r>
      <w:r>
        <w:t xml:space="preserve"> </w:t>
      </w:r>
      <w:r>
        <w:t xml:space="preserve">While acknowledged, detailed quantification of land use change or land management impacts under the 2026 LSR Standard would require more granular supply chain data for raw material origins, particularly for agricultural or bio-based components, which are not explicitly detailed for ddpxqmylop.</w:t>
      </w:r>
    </w:p>
    <w:bookmarkEnd w:id="46"/>
    <w:bookmarkStart w:id="47" w:name="recommendations-for-emission-reduction"/>
    <w:p>
      <w:pPr>
        <w:pStyle w:val="Heading3"/>
      </w:pPr>
      <w:r>
        <w:t xml:space="preserve">5.3. Recommendations for Emission Reduction</w:t>
      </w:r>
    </w:p>
    <w:p>
      <w:pPr>
        <w:pStyle w:val="FirstParagraph"/>
      </w:pPr>
      <w:r>
        <w:t xml:space="preserve">Based on the identified hotspots, umiylpkvlm should consider the following strategies to reduce the PCF of ddpxqmylop:</w:t>
      </w:r>
    </w:p>
    <w:p>
      <w:pPr>
        <w:numPr>
          <w:ilvl w:val="0"/>
          <w:numId w:val="1013"/>
        </w:numPr>
        <w:pStyle w:val="Compact"/>
      </w:pPr>
      <w:r>
        <w:rPr>
          <w:bCs/>
          <w:b/>
        </w:rPr>
        <w:t xml:space="preserve">Optimize Material Selection &amp; Design:</w:t>
      </w:r>
      <w:r>
        <w:t xml:space="preserve"> </w:t>
      </w:r>
      <w:r>
        <w:t xml:space="preserve">Investigate lower-carbon alternatives for high-impact materials (e.g., exploring higher recycled content for aluminum, lower-impact plastics, or alternative PCB manufacturing processes). Engage with suppliers to obtain primary, cradle-to-gate emission data specific to their production.</w:t>
      </w:r>
    </w:p>
    <w:p>
      <w:pPr>
        <w:numPr>
          <w:ilvl w:val="0"/>
          <w:numId w:val="1013"/>
        </w:numPr>
        <w:pStyle w:val="Compact"/>
      </w:pPr>
      <w:r>
        <w:rPr>
          <w:bCs/>
          <w:b/>
        </w:rPr>
        <w:t xml:space="preserve">Enhance Production Energy Efficiency:</w:t>
      </w:r>
      <w:r>
        <w:t xml:space="preserve"> </w:t>
      </w:r>
      <w:r>
        <w:t xml:space="preserve">Increase the percentage of renewable energy sourced for the Chinese production facility beyond 50%. Implement energy-efficient machinery and optimize production processes to reduce the overall energy intensity (kWh/unit).</w:t>
      </w:r>
    </w:p>
    <w:p>
      <w:pPr>
        <w:numPr>
          <w:ilvl w:val="0"/>
          <w:numId w:val="1013"/>
        </w:numPr>
        <w:pStyle w:val="Compact"/>
      </w:pPr>
      <w:r>
        <w:rPr>
          <w:bCs/>
          <w:b/>
        </w:rPr>
        <w:t xml:space="preserve">Improve Use Phase Efficiency:</w:t>
      </w:r>
      <w:r>
        <w:t xml:space="preserve"> </w:t>
      </w:r>
      <w:r>
        <w:t xml:space="preserve">Design ddpxqmylop for greater energy efficiency during its operational life. Explore features that minimize power consumption or extend product lifespan, potentially reducing the need for replacement units.</w:t>
      </w:r>
    </w:p>
    <w:p>
      <w:pPr>
        <w:numPr>
          <w:ilvl w:val="0"/>
          <w:numId w:val="1013"/>
        </w:numPr>
        <w:pStyle w:val="Compact"/>
      </w:pPr>
      <w:r>
        <w:rPr>
          <w:bCs/>
          <w:b/>
        </w:rPr>
        <w:t xml:space="preserve">Optimize Logistics:</w:t>
      </w:r>
      <w:r>
        <w:t xml:space="preserve"> </w:t>
      </w:r>
      <w:r>
        <w:t xml:space="preserve">Work with logistics providers to ensure high load factors and efficient routing for both upstream and downstream transportation. Investigate cleaner fuel alternatives or electric vehicles for last-mile delivery, especially given its significant contribution.</w:t>
      </w:r>
    </w:p>
    <w:p>
      <w:pPr>
        <w:numPr>
          <w:ilvl w:val="0"/>
          <w:numId w:val="1013"/>
        </w:numPr>
        <w:pStyle w:val="Compact"/>
      </w:pPr>
      <w:r>
        <w:rPr>
          <w:bCs/>
          <w:b/>
        </w:rPr>
        <w:t xml:space="preserve">Strengthen Circular Economy Initiatives:</w:t>
      </w:r>
      <w:r>
        <w:t xml:space="preserve"> </w:t>
      </w:r>
      <w:r>
        <w:t xml:space="preserve">Capitalize on established circular/take-back programs to maximize recycling rates and explore opportunities for material recovery and reuse, going beyond basic recycling to close material loops more effectively.</w:t>
      </w:r>
    </w:p>
    <w:p>
      <w:pPr>
        <w:numPr>
          <w:ilvl w:val="0"/>
          <w:numId w:val="1013"/>
        </w:numPr>
        <w:pStyle w:val="Compact"/>
      </w:pPr>
      <w:r>
        <w:rPr>
          <w:bCs/>
          <w:b/>
        </w:rPr>
        <w:t xml:space="preserve">Supplier Engagement for Scope 3 Data:</w:t>
      </w:r>
      <w:r>
        <w:t xml:space="preserve"> </w:t>
      </w:r>
      <w:r>
        <w:t xml:space="preserve">Continuously engage with upstream suppliers to gather more specific and verified emission data for materials and pre-processing steps to refine the accuracy of Scope 3, Category 1 emissions.</w:t>
      </w:r>
    </w:p>
    <w:p>
      <w:r>
        <w:pict>
          <v:rect style="width:0;height:1.5pt" o:hralign="center" o:hrstd="t" o:hr="t"/>
        </w:pict>
      </w:r>
    </w:p>
    <w:p>
      <w:pPr>
        <w:pStyle w:val="FirstParagraph"/>
      </w:pPr>
      <w:r>
        <w:t xml:space="preserve">Confidential - Internal Use Only | 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ddpxqmylop</dc:title>
  <dc:creator/>
  <dc:description>High-detail Product Carbon Footprint (PCF) analysis for ddpxqmylop by Senior Sustainability Consultant ewmydiuhmf, following GHG Protocol standards and 2026 LSR updates.</dc:description>
  <dc:language>en</dc:language>
  <cp:keywords/>
  <dcterms:created xsi:type="dcterms:W3CDTF">2026-05-30T14:52:39Z</dcterms:created>
  <dcterms:modified xsi:type="dcterms:W3CDTF">2026-05-30T14:52:39Z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