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ddnkjjugkf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ddnkjjugkf</w:t>
      </w:r>
    </w:p>
    <w:p>
      <w:pPr>
        <w:pStyle w:val="BodyText"/>
      </w:pPr>
      <w:r>
        <w:rPr>
          <w:bCs/>
          <w:b/>
        </w:rPr>
        <w:t xml:space="preserve">Company Name:</w:t>
      </w:r>
      <w:r>
        <w:t xml:space="preserve"> </w:t>
      </w:r>
      <w:r>
        <w:t xml:space="preserve">vmqrofspoj</w:t>
      </w:r>
    </w:p>
    <w:p>
      <w:pPr>
        <w:pStyle w:val="BodyText"/>
      </w:pPr>
      <w:r>
        <w:rPr>
          <w:bCs/>
          <w:b/>
        </w:rPr>
        <w:t xml:space="preserve">Senior Sustainability Consultant:</w:t>
      </w:r>
      <w:r>
        <w:t xml:space="preserve"> </w:t>
      </w:r>
      <w:r>
        <w:t xml:space="preserve">xflpimihnw</w:t>
      </w:r>
    </w:p>
    <w:p>
      <w:pPr>
        <w:pStyle w:val="BodyText"/>
      </w:pPr>
      <w:r>
        <w:br/>
      </w:r>
    </w:p>
    <w:p>
      <w:pPr>
        <w:pStyle w:val="BodyText"/>
      </w:pPr>
      <w:r>
        <w:rPr>
          <w:bCs/>
          <w:b/>
        </w:rPr>
        <w:t xml:space="preserve">Protocol Data (Accounting Standard):</w:t>
      </w:r>
      <w:r>
        <w:t xml:space="preserve"> </w:t>
      </w:r>
      <w:r>
        <w:t xml:space="preserve">GHG Protocol</w:t>
      </w:r>
    </w:p>
    <w:p>
      <w:pPr>
        <w:pStyle w:val="BodyText"/>
      </w:pPr>
      <w:r>
        <w:br/>
      </w:r>
    </w:p>
    <w:p>
      <w:pPr>
        <w:pStyle w:val="BodyText"/>
      </w:pPr>
      <w:r>
        <w:t xml:space="preserve">Disclaimer: This report is generated based on available data and industry standards, incorporating specific parameters provided. All calculations involving placeholder data are illustrative and would require precise primary data for definitive results.</w:t>
      </w:r>
    </w:p>
    <w:bookmarkEnd w:id="20"/>
    <w:bookmarkStart w:id="21" w:name="Xa87d010c1fd868336511b306fbd202996615f12"/>
    <w:p>
      <w:pPr>
        <w:pStyle w:val="Heading1"/>
      </w:pPr>
      <w:r>
        <w:t xml:space="preserve">Product Carbon Footprint Analysis Report</w:t>
      </w:r>
    </w:p>
    <w:p>
      <w:pPr>
        <w:pStyle w:val="FirstParagraph"/>
      </w:pPr>
      <w:r>
        <w:t xml:space="preserve">Generated Date: Sunday, May 24,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ddnkjjugkf</w:t>
      </w:r>
      <w:r>
        <w:t xml:space="preserve">, undertaken by</w:t>
      </w:r>
      <w:r>
        <w:t xml:space="preserve"> </w:t>
      </w:r>
      <w:r>
        <w:rPr>
          <w:bCs/>
          <w:b/>
        </w:rPr>
        <w:t xml:space="preserve">xflpimihnw</w:t>
      </w:r>
      <w:r>
        <w:t xml:space="preserve">, a Senior Sustainability Consultant specializing in GHG Protocol, for</w:t>
      </w:r>
      <w:r>
        <w:t xml:space="preserve"> </w:t>
      </w:r>
      <w:r>
        <w:rPr>
          <w:bCs/>
          <w:b/>
        </w:rPr>
        <w:t xml:space="preserve">vmqrofspoj</w:t>
      </w:r>
      <w:r>
        <w:t xml:space="preserve">. The analysis adheres strictly to the Greenhouse Gas (GHG) Protocol standards, encompassing Scope 1, Scope 2, and Scope 3 emissions across the product\'s lifecycle. Particular attention has been paid to the 2026 Land Sector and Removals (LSR) Standard update and the requirement for at least 95% coverage for Scope 3 reporting. The goal is to quantify the total greenhouse gas emissions, expressed in carbon dioxide equivalents (CO2e), from a "factory_gate" system boundary for production and extending to a "cradle-to-grave" perspective for the overall product lifecycle. This assessment identifies key emission hotspots and offers a foundational understanding for future emission reduction strategies.</w:t>
      </w:r>
    </w:p>
    <w:bookmarkEnd w:id="22"/>
    <w:p>
      <w:r>
        <w:pict>
          <v:rect style="width:0;height:1.5pt" o:hralign="center" o:hrstd="t" o:hr="t"/>
        </w:pict>
      </w:r>
    </w:p>
    <w:bookmarkStart w:id="30" w:name="methodology-ghg-protocol-pcf-analysis"/>
    <w:p>
      <w:pPr>
        <w:pStyle w:val="Heading2"/>
      </w:pPr>
      <w:r>
        <w:t xml:space="preserve">1. Methodology: GHG Protocol PCF Analysis</w:t>
      </w:r>
    </w:p>
    <w:p>
      <w:pPr>
        <w:pStyle w:val="FirstParagraph"/>
      </w:pPr>
      <w:r>
        <w:t xml:space="preserve">The Product Carbon Footprint (PCF) analysis for ddnkjjugkf follows the comprehensive five-step methodology prescribed by the GHG Protocol, aligning with the "Corporate Value Chain (Scope 3) Accounting and Reporting Standard" and the "Product Life Cycle Accounting and Reporting Standard."</w:t>
      </w:r>
    </w:p>
    <w:bookmarkStart w:id="23" w:name="step-1-define-scope"/>
    <w:p>
      <w:pPr>
        <w:pStyle w:val="Heading3"/>
      </w:pPr>
      <w:r>
        <w:t xml:space="preserve">1.1. Step 1: Define Scope</w:t>
      </w:r>
    </w:p>
    <w:p>
      <w:pPr>
        <w:numPr>
          <w:ilvl w:val="0"/>
          <w:numId w:val="1001"/>
        </w:numPr>
        <w:pStyle w:val="Compact"/>
      </w:pPr>
      <w:r>
        <w:rPr>
          <w:bCs/>
          <w:b/>
        </w:rPr>
        <w:t xml:space="preserve">Functional Unit:</w:t>
      </w:r>
      <w:r>
        <w:t xml:space="preserve"> </w:t>
      </w:r>
      <w:r>
        <w:t xml:space="preserve">1.0 unit of ddnkjjugkf. This represents the reference unit to which all inputs and outputs are normalized.</w:t>
      </w:r>
    </w:p>
    <w:p>
      <w:pPr>
        <w:numPr>
          <w:ilvl w:val="0"/>
          <w:numId w:val="1001"/>
        </w:numPr>
        <w:pStyle w:val="Compact"/>
      </w:pPr>
      <w:r>
        <w:rPr>
          <w:bCs/>
          <w:b/>
        </w:rPr>
        <w:t xml:space="preserve">System Boundary:</w:t>
      </w:r>
      <w:r>
        <w:t xml:space="preserve"> </w:t>
      </w:r>
      <w:r>
        <w:t xml:space="preserve">The primary production phase analysis adheres to a \'factory_gate\' boundary, meaning emissions from raw material extraction, processing, and manufacturing up to the point the product leaves the factory are considered. However, for a complete PCF, the analysis is extended to a "cradle-to-grave" approach to include transportation, use-phase, and end-of-life stages.</w:t>
      </w:r>
    </w:p>
    <w:p>
      <w:pPr>
        <w:numPr>
          <w:ilvl w:val="0"/>
          <w:numId w:val="1001"/>
        </w:numPr>
        <w:pStyle w:val="Compact"/>
      </w:pPr>
      <w:r>
        <w:rPr>
          <w:bCs/>
          <w:b/>
        </w:rPr>
        <w:t xml:space="preserve">Geographic Scope:</w:t>
      </w:r>
      <w:r>
        <w:t xml:space="preserve"> </w:t>
      </w:r>
      <w:r>
        <w:t xml:space="preserve">Final Production Country: China. Supply Chain Focus: Europe Focused (implies some upstream materials/components and downstream use/EoL might be European, and for use phase, European average grid is used).</w:t>
      </w:r>
    </w:p>
    <w:p>
      <w:pPr>
        <w:numPr>
          <w:ilvl w:val="0"/>
          <w:numId w:val="1001"/>
        </w:numPr>
        <w:pStyle w:val="Compact"/>
      </w:pPr>
      <w:r>
        <w:rPr>
          <w:bCs/>
          <w:b/>
        </w:rPr>
        <w:t xml:space="preserve">Accounting Standard:</w:t>
      </w:r>
      <w:r>
        <w:t xml:space="preserve"> </w:t>
      </w:r>
      <w:r>
        <w:t xml:space="preserve">GHG Protocol.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For multi-product systems or shared processes, allocation of emissions is performed based on appropriate physical relationships (e.g., mass-based) where applicable, ensuring that the environmental burden is fairly distributed to the functional unit.</w:t>
      </w:r>
    </w:p>
    <w:bookmarkEnd w:id="23"/>
    <w:bookmarkStart w:id="29" w:name="X0481b3bab2d72e60a0c41bea88e22f62c5ef3ed"/>
    <w:p>
      <w:pPr>
        <w:pStyle w:val="Heading3"/>
      </w:pPr>
      <w:r>
        <w:t xml:space="preserve">1.2. Step 2: Map Lifecycle (LCI Inventory Stages) &amp; Step 3: Collect Data</w:t>
      </w:r>
    </w:p>
    <w:p>
      <w:pPr>
        <w:pStyle w:val="FirstParagraph"/>
      </w:pPr>
      <w:r>
        <w:t xml:space="preserve">This stage involves identifying and quantifying all relevant inputs (materials, energy) and outputs (emissions) associated with each lifecycle stage of ddnkjjugkf. Due to the placeholder nature of some input parameters, illustrative data and industry-standard emission factors from sources like Ecoinvent and DEFRA-type databases are used for calculation.</w:t>
      </w:r>
    </w:p>
    <w:bookmarkStart w:id="24" w:name="X16284a98ac36904dc0fff129323969ef8988782"/>
    <w:p>
      <w:pPr>
        <w:pStyle w:val="Heading4"/>
      </w:pPr>
      <w:r>
        <w:t xml:space="preserve">Materials and Components (Scope 3 - Category 1: Purchased Goods and Services)</w:t>
      </w:r>
    </w:p>
    <w:p>
      <w:pPr>
        <w:pStyle w:val="FirstParagraph"/>
      </w:pPr>
      <w:r>
        <w:t xml:space="preserve">The Detailed Bill of Materials (BOM) for ddnkjjugkf is critical for high-accuracy material impact calculation. The following table illustrates the material inputs based on the provided placeholder data (dlwftexe), along with representative emission factors and calculated total carbon impact for each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002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t xml:space="preserve">Subtotal Material Emissions:</w:t>
            </w:r>
          </w:p>
        </w:tc>
        <w:tc>
          <w:tcPr/>
          <w:p>
            <w:pPr>
              <w:pStyle w:val="Compact"/>
              <w:jc w:val="left"/>
            </w:pPr>
            <w:r>
              <w:rPr>
                <w:bCs/>
                <w:b/>
              </w:rPr>
              <w:t xml:space="preserve">11.85</w:t>
            </w:r>
          </w:p>
        </w:tc>
      </w:tr>
    </w:tbl>
    <w:p>
      <w:pPr>
        <w:pStyle w:val="BodyText"/>
      </w:pPr>
      <w:r>
        <w:rPr>
          <w:iCs/>
          <w:i/>
        </w:rPr>
        <w:t xml:space="preserve">Note: Emission Factors are representative values based on industry averages (e.g., Ecoinvent/DEFRA type data) and are illustrative for this report. Actual values would require specific supplier data.</w:t>
      </w:r>
    </w:p>
    <w:bookmarkEnd w:id="24"/>
    <w:bookmarkStart w:id="25" w:name="X3363dfe72ef91da7fab956b63d2c459ba1b8c75"/>
    <w:p>
      <w:pPr>
        <w:pStyle w:val="Heading4"/>
      </w:pPr>
      <w:r>
        <w:t xml:space="preserve">Energy Inputs - Production Phase (Scope 2: Purchased Electricity)</w:t>
      </w:r>
    </w:p>
    <w:p>
      <w:pPr>
        <w:pStyle w:val="FirstParagraph"/>
      </w:pPr>
      <w:r>
        <w:t xml:space="preserve">The production of ddnkjjugkf occurs in China. The energy consumption and renewable energy usage are incorporated as follows:</w:t>
      </w:r>
    </w:p>
    <w:p>
      <w:pPr>
        <w:numPr>
          <w:ilvl w:val="0"/>
          <w:numId w:val="1002"/>
        </w:numPr>
        <w:pStyle w:val="Compact"/>
      </w:pPr>
      <w:r>
        <w:rPr>
          <w:bCs/>
          <w:b/>
        </w:rPr>
        <w:t xml:space="preserve">Energy Intensity (kWh/unit):</w:t>
      </w:r>
      <w:r>
        <w:t xml:space="preserve"> </w:t>
      </w:r>
      <w:r>
        <w:t xml:space="preserve">xvutpnkwtt (e.g., 10 kWh/unit)</w:t>
      </w:r>
    </w:p>
    <w:p>
      <w:pPr>
        <w:numPr>
          <w:ilvl w:val="0"/>
          <w:numId w:val="1002"/>
        </w:numPr>
        <w:pStyle w:val="Compact"/>
      </w:pPr>
      <w:r>
        <w:rPr>
          <w:bCs/>
          <w:b/>
        </w:rPr>
        <w:t xml:space="preserve">Renewable Energy Usage:</w:t>
      </w:r>
      <w:r>
        <w:t xml:space="preserve"> </w:t>
      </w:r>
      <w:r>
        <w:t xml:space="preserve">pjkegnlxzr (e.g., 50%)</w:t>
      </w:r>
    </w:p>
    <w:p>
      <w:pPr>
        <w:numPr>
          <w:ilvl w:val="0"/>
          <w:numId w:val="1002"/>
        </w:numPr>
        <w:pStyle w:val="Compact"/>
      </w:pPr>
      <w:r>
        <w:rPr>
          <w:bCs/>
          <w:b/>
        </w:rPr>
        <w:t xml:space="preserve">Non-renewable electricity consumed:</w:t>
      </w:r>
      <w:r>
        <w:t xml:space="preserve"> </w:t>
      </w:r>
      <w:r>
        <w:t xml:space="preserve">(1 - 0.50) * 10 kWh/unit = 5 kWh/unit</w:t>
      </w:r>
    </w:p>
    <w:p>
      <w:pPr>
        <w:numPr>
          <w:ilvl w:val="0"/>
          <w:numId w:val="1002"/>
        </w:numPr>
        <w:pStyle w:val="Compact"/>
      </w:pPr>
      <w:r>
        <w:rPr>
          <w:bCs/>
          <w:b/>
        </w:rPr>
        <w:t xml:space="preserve">China Electricity Grid Emission Factor:</w:t>
      </w:r>
      <w:r>
        <w:t xml:space="preserve"> </w:t>
      </w:r>
      <w:r>
        <w:t xml:space="preserve">Approximately 0.6 kg CO2e/kWh (national average for China).</w:t>
      </w:r>
    </w:p>
    <w:bookmarkEnd w:id="25"/>
    <w:bookmarkStart w:id="26" w:name="Xafee0ecd575094ac0224127e44f501b52ed5f3e"/>
    <w:p>
      <w:pPr>
        <w:pStyle w:val="Heading4"/>
      </w:pPr>
      <w:r>
        <w:t xml:space="preserve">Logistics Data (Scope 3 - Category 4: Upstream Transportation and Distribution &amp; Category 9: Downstream Transportation and Distribution)</w:t>
      </w:r>
    </w:p>
    <w:p>
      <w:pPr>
        <w:pStyle w:val="FirstParagraph"/>
      </w:pPr>
      <w:r>
        <w:t xml:space="preserve">Transportation impacts are estimated using the provided parameters and representative emission factors:</w:t>
      </w:r>
    </w:p>
    <w:p>
      <w:pPr>
        <w:numPr>
          <w:ilvl w:val="0"/>
          <w:numId w:val="1003"/>
        </w:numPr>
        <w:pStyle w:val="Compact"/>
      </w:pPr>
      <w:r>
        <w:rPr>
          <w:bCs/>
          <w:b/>
        </w:rPr>
        <w:t xml:space="preserve">Product Weight:</w:t>
      </w:r>
      <w:r>
        <w:t xml:space="preserve"> </w:t>
      </w:r>
      <w:r>
        <w:t xml:space="preserve">~1.25 kg/unit (estimated from BOM).</w:t>
      </w:r>
    </w:p>
    <w:p>
      <w:pPr>
        <w:numPr>
          <w:ilvl w:val="0"/>
          <w:numId w:val="1003"/>
        </w:numPr>
        <w:pStyle w:val="Compact"/>
      </w:pPr>
      <w:r>
        <w:rPr>
          <w:bCs/>
          <w:b/>
        </w:rPr>
        <w:t xml:space="preserve">Primary Transport Mode (Supply Chain):</w:t>
      </w:r>
      <w:r>
        <w:t xml:space="preserve"> </w:t>
      </w:r>
      <w:r>
        <w:t xml:space="preserve">Select Mode (e.g., Sea Freight)</w:t>
      </w:r>
    </w:p>
    <w:p>
      <w:pPr>
        <w:numPr>
          <w:ilvl w:val="0"/>
          <w:numId w:val="1003"/>
        </w:numPr>
        <w:pStyle w:val="Compact"/>
      </w:pPr>
      <w:r>
        <w:rPr>
          <w:bCs/>
          <w:b/>
        </w:rPr>
        <w:t xml:space="preserve">Primary Transport Distance:</w:t>
      </w:r>
      <w:r>
        <w:t xml:space="preserve"> </w:t>
      </w:r>
      <w:r>
        <w:t xml:space="preserve">ouljikehdj (e.g., 1500 km for Sea Freight).</w:t>
      </w:r>
    </w:p>
    <w:p>
      <w:pPr>
        <w:numPr>
          <w:ilvl w:val="0"/>
          <w:numId w:val="1003"/>
        </w:numPr>
        <w:pStyle w:val="Compact"/>
      </w:pPr>
      <w:r>
        <w:rPr>
          <w:bCs/>
          <w:b/>
        </w:rPr>
        <w:t xml:space="preserve">Secondary Transport Mode (Distribution):</w:t>
      </w:r>
      <w:r>
        <w:t xml:space="preserve"> </w:t>
      </w:r>
      <w:r>
        <w:t xml:space="preserve">Road Freight (e.g., 100 km).</w:t>
      </w:r>
    </w:p>
    <w:p>
      <w:pPr>
        <w:numPr>
          <w:ilvl w:val="0"/>
          <w:numId w:val="1003"/>
        </w:numPr>
        <w:pStyle w:val="Compact"/>
      </w:pPr>
      <w:r>
        <w:rPr>
          <w:bCs/>
          <w:b/>
        </w:rPr>
        <w:t xml:space="preserve">Last-Mile Delivery Channel:</w:t>
      </w:r>
      <w:r>
        <w:t xml:space="preserve"> </w:t>
      </w:r>
      <w:r>
        <w:t xml:space="preserve">Delivery Type (e.g., Courier van). Last-mile emissions are significant, contributing up to 30% of logistics emissions.</w:t>
      </w:r>
    </w:p>
    <w:p>
      <w:pPr>
        <w:numPr>
          <w:ilvl w:val="0"/>
          <w:numId w:val="1003"/>
        </w:numPr>
        <w:pStyle w:val="Compact"/>
      </w:pPr>
      <w:r>
        <w:rPr>
          <w:bCs/>
          <w:b/>
        </w:rPr>
        <w:t xml:space="preserve">Emission Factor for Sea Freight:</w:t>
      </w:r>
      <w:r>
        <w:t xml:space="preserve"> </w:t>
      </w:r>
      <w:r>
        <w:t xml:space="preserve">~0.016 kg CO2e/tkm.</w:t>
      </w:r>
    </w:p>
    <w:p>
      <w:pPr>
        <w:numPr>
          <w:ilvl w:val="0"/>
          <w:numId w:val="1003"/>
        </w:numPr>
        <w:pStyle w:val="Compact"/>
      </w:pPr>
      <w:r>
        <w:rPr>
          <w:bCs/>
          <w:b/>
        </w:rPr>
        <w:t xml:space="preserve">Emission Factor for Road Freight:</w:t>
      </w:r>
      <w:r>
        <w:t xml:space="preserve"> </w:t>
      </w:r>
      <w:r>
        <w:t xml:space="preserve">~0.09 kg CO2e/tkm (for heavy goods vehicles).</w:t>
      </w:r>
    </w:p>
    <w:p>
      <w:pPr>
        <w:numPr>
          <w:ilvl w:val="0"/>
          <w:numId w:val="1003"/>
        </w:numPr>
        <w:pStyle w:val="Compact"/>
      </w:pPr>
      <w:r>
        <w:rPr>
          <w:bCs/>
          <w:b/>
        </w:rPr>
        <w:t xml:space="preserve">Emission Factor for Last-Mile Delivery:</w:t>
      </w:r>
      <w:r>
        <w:t xml:space="preserve"> </w:t>
      </w:r>
      <w:r>
        <w:t xml:space="preserve">~0.2 kg CO2e per parcel (typical average).</w:t>
      </w:r>
    </w:p>
    <w:bookmarkEnd w:id="26"/>
    <w:bookmarkStart w:id="27" w:name="Xc1220340f65f666a7dfe1562a4214465cd58a13"/>
    <w:p>
      <w:pPr>
        <w:pStyle w:val="Heading4"/>
      </w:pPr>
      <w:r>
        <w:t xml:space="preserve">Use Phase Data (Scope 3 - Category 11: Use of Sold Products)</w:t>
      </w:r>
    </w:p>
    <w:p>
      <w:pPr>
        <w:pStyle w:val="FirstParagraph"/>
      </w:pPr>
      <w:r>
        <w:t xml:space="preserve">Emissions from the product\'s use are calculated based on its lifespan and energy consumption:</w:t>
      </w:r>
    </w:p>
    <w:p>
      <w:pPr>
        <w:numPr>
          <w:ilvl w:val="0"/>
          <w:numId w:val="1004"/>
        </w:numPr>
        <w:pStyle w:val="Compact"/>
      </w:pPr>
      <w:r>
        <w:rPr>
          <w:bCs/>
          <w:b/>
        </w:rPr>
        <w:t xml:space="preserve">Product Lifespan:</w:t>
      </w:r>
      <w:r>
        <w:t xml:space="preserve"> </w:t>
      </w:r>
      <w:r>
        <w:t xml:space="preserve">pqmflevriz (e.g., 5 years).</w:t>
      </w:r>
    </w:p>
    <w:p>
      <w:pPr>
        <w:numPr>
          <w:ilvl w:val="0"/>
          <w:numId w:val="1004"/>
        </w:numPr>
        <w:pStyle w:val="Compact"/>
      </w:pPr>
      <w:r>
        <w:rPr>
          <w:bCs/>
          <w:b/>
        </w:rPr>
        <w:t xml:space="preserve">Energy Consumption in Use:</w:t>
      </w:r>
      <w:r>
        <w:t xml:space="preserve"> </w:t>
      </w:r>
      <w:r>
        <w:t xml:space="preserve">iklyodjqux (e.g., 50 Wh/day).</w:t>
      </w:r>
    </w:p>
    <w:p>
      <w:pPr>
        <w:numPr>
          <w:ilvl w:val="0"/>
          <w:numId w:val="1004"/>
        </w:numPr>
        <w:pStyle w:val="Compact"/>
      </w:pPr>
      <w:r>
        <w:rPr>
          <w:bCs/>
          <w:b/>
        </w:rPr>
        <w:t xml:space="preserve">Total Energy Consumption over lifespan:</w:t>
      </w:r>
      <w:r>
        <w:t xml:space="preserve"> </w:t>
      </w:r>
      <w:r>
        <w:t xml:space="preserve">50 Wh/day * 365 days/year * 5 years = 91.25 kWh.</w:t>
      </w:r>
    </w:p>
    <w:p>
      <w:pPr>
        <w:numPr>
          <w:ilvl w:val="0"/>
          <w:numId w:val="1004"/>
        </w:numPr>
        <w:pStyle w:val="Compact"/>
      </w:pPr>
      <w:r>
        <w:rPr>
          <w:bCs/>
          <w:b/>
        </w:rPr>
        <w:t xml:space="preserve">Electricity Grid Emission Factor (Europe Focused for Use Phase):</w:t>
      </w:r>
      <w:r>
        <w:t xml:space="preserve"> </w:t>
      </w:r>
      <w:r>
        <w:t xml:space="preserve">~0.25 kg CO2e/kWh (average for Europe).</w:t>
      </w:r>
    </w:p>
    <w:bookmarkEnd w:id="27"/>
    <w:bookmarkStart w:id="28" w:name="X476d265adbb735fcd21601fcf5c7b4762da0b15"/>
    <w:p>
      <w:pPr>
        <w:pStyle w:val="Heading4"/>
      </w:pPr>
      <w:r>
        <w:t xml:space="preserve">End-of-Life (EoL) Scenarios (Scope 3 - Category 12: End-of-Life Treatment of Sold Products)</w:t>
      </w:r>
    </w:p>
    <w:p>
      <w:pPr>
        <w:pStyle w:val="FirstParagraph"/>
      </w:pPr>
      <w:r>
        <w:t xml:space="preserve">The end-of-life impacts are assessed considering recyclability and circular economy programs:</w:t>
      </w:r>
    </w:p>
    <w:p>
      <w:pPr>
        <w:numPr>
          <w:ilvl w:val="0"/>
          <w:numId w:val="1005"/>
        </w:numPr>
        <w:pStyle w:val="Compact"/>
      </w:pPr>
      <w:r>
        <w:rPr>
          <w:bCs/>
          <w:b/>
        </w:rPr>
        <w:t xml:space="preserve">Recyclability Percentage:</w:t>
      </w:r>
      <w:r>
        <w:t xml:space="preserve"> </w:t>
      </w:r>
      <w:r>
        <w:t xml:space="preserve">lfexsmrrwn (e.g., 70%).</w:t>
      </w:r>
    </w:p>
    <w:p>
      <w:pPr>
        <w:numPr>
          <w:ilvl w:val="0"/>
          <w:numId w:val="1005"/>
        </w:numPr>
        <w:pStyle w:val="Compact"/>
      </w:pPr>
      <w:r>
        <w:rPr>
          <w:bCs/>
          <w:b/>
        </w:rPr>
        <w:t xml:space="preserve">Circular/Take-back Programs:</w:t>
      </w:r>
      <w:r>
        <w:t xml:space="preserve"> </w:t>
      </w:r>
      <w:r>
        <w:t xml:space="preserve">jimjiyuptm (e.g., Product take-back for refurbishment). Such programs help extend product life and reduce the need for new production.</w:t>
      </w:r>
    </w:p>
    <w:p>
      <w:pPr>
        <w:numPr>
          <w:ilvl w:val="0"/>
          <w:numId w:val="1005"/>
        </w:numPr>
        <w:pStyle w:val="Compact"/>
      </w:pPr>
      <w:r>
        <w:rPr>
          <w:bCs/>
          <w:b/>
        </w:rPr>
        <w:t xml:space="preserve">Landfill Emission Factor:</w:t>
      </w:r>
      <w:r>
        <w:t xml:space="preserve"> </w:t>
      </w:r>
      <w:r>
        <w:t xml:space="preserve">~0.1 kg CO2e/kg (illustrative for non-recycled waste).</w:t>
      </w:r>
    </w:p>
    <w:bookmarkEnd w:id="28"/>
    <w:bookmarkEnd w:id="29"/>
    <w:bookmarkEnd w:id="30"/>
    <w:p>
      <w:r>
        <w:pict>
          <v:rect style="width:0;height:1.5pt" o:hralign="center" o:hrstd="t" o:hr="t"/>
        </w:pict>
      </w:r>
    </w:p>
    <w:bookmarkStart w:id="38" w:name="Xa991e7faf76bdf88064e0090ec77f0e137174e3"/>
    <w:p>
      <w:pPr>
        <w:pStyle w:val="Heading2"/>
      </w:pPr>
      <w:r>
        <w:t xml:space="preserve">2. Step 4: Calculate Emissions (Activity * Emission Factor = CO2e)</w:t>
      </w:r>
    </w:p>
    <w:p>
      <w:pPr>
        <w:pStyle w:val="FirstParagraph"/>
      </w:pPr>
      <w:r>
        <w:t xml:space="preserve">Emissions are quantified for each lifecycle stage and categorized according to the GHG Protocol.</w:t>
      </w:r>
    </w:p>
    <w:bookmarkStart w:id="31" w:name="scope-1-emissions-direct-emissions"/>
    <w:p>
      <w:pPr>
        <w:pStyle w:val="Heading3"/>
      </w:pPr>
      <w:r>
        <w:t xml:space="preserve">2.1. Scope 1 Emissions (Direct Emissions)</w:t>
      </w:r>
    </w:p>
    <w:p>
      <w:pPr>
        <w:pStyle w:val="FirstParagraph"/>
      </w:pPr>
      <w:r>
        <w:t xml:space="preserve">For a \'factory_gate\' system boundary where production processes do not involve direct on-site fuel combustion owned or controlled by vmqrofspoj, Scope 1 emissions are considered negligible or not directly attributed to the product PCF. If primary manufacturing involved direct fuel combustion (e.g., in furnaces or company-owned vehicles on site), these emissions would be quantified here. As no direct combustion data was provided, it is assumed to be outside the immediate \'factory_gate\' boundary for this product\'s PCF or covered by upstream Scope 3 for purchased goods and services.</w:t>
      </w:r>
    </w:p>
    <w:bookmarkEnd w:id="31"/>
    <w:bookmarkStart w:id="32" w:name="scope-2-emissions-purchased-electricity"/>
    <w:p>
      <w:pPr>
        <w:pStyle w:val="Heading3"/>
      </w:pPr>
      <w:r>
        <w:t xml:space="preserve">2.2. Scope 2 Emissions (Purchased Electricity)</w:t>
      </w:r>
    </w:p>
    <w:p>
      <w:pPr>
        <w:pStyle w:val="FirstParagraph"/>
      </w:pPr>
      <w:r>
        <w:t xml:space="preserve">These are indirect emissions from the generation of purchased electricity consumed during the manufacturing of ddnkjjugkf in China.</w:t>
      </w:r>
    </w:p>
    <w:p>
      <w:pPr>
        <w:numPr>
          <w:ilvl w:val="0"/>
          <w:numId w:val="1006"/>
        </w:numPr>
        <w:pStyle w:val="Compact"/>
      </w:pPr>
      <w:r>
        <w:t xml:space="preserve">Total energy consumed: 10 kWh/unit [xvutpnkwtt]</w:t>
      </w:r>
    </w:p>
    <w:p>
      <w:pPr>
        <w:numPr>
          <w:ilvl w:val="0"/>
          <w:numId w:val="1006"/>
        </w:numPr>
        <w:pStyle w:val="Compact"/>
      </w:pPr>
      <w:r>
        <w:t xml:space="preserve">Renewable energy usage: 50% [pjkegnlxzr]</w:t>
      </w:r>
    </w:p>
    <w:p>
      <w:pPr>
        <w:numPr>
          <w:ilvl w:val="0"/>
          <w:numId w:val="1006"/>
        </w:numPr>
        <w:pStyle w:val="Compact"/>
      </w:pPr>
      <w:r>
        <w:t xml:space="preserve">Non-renewable electricity from grid: 10 kWh/unit * (1 - 0.50) = 5 kWh/unit</w:t>
      </w:r>
    </w:p>
    <w:p>
      <w:pPr>
        <w:numPr>
          <w:ilvl w:val="0"/>
          <w:numId w:val="1006"/>
        </w:numPr>
        <w:pStyle w:val="Compact"/>
      </w:pPr>
      <w:r>
        <w:t xml:space="preserve">China Electricity Grid Emission Factor: 0.6 kg CO2e/kWh</w:t>
      </w:r>
    </w:p>
    <w:p>
      <w:pPr>
        <w:numPr>
          <w:ilvl w:val="0"/>
          <w:numId w:val="1006"/>
        </w:numPr>
        <w:pStyle w:val="Compact"/>
      </w:pPr>
      <w:r>
        <w:rPr>
          <w:bCs/>
          <w:b/>
        </w:rPr>
        <w:t xml:space="preserve">Scope 2 Emissions = 5 kWh/unit * 0.6 kg CO2e/kWh = 3.0 kg CO2e</w:t>
      </w:r>
    </w:p>
    <w:bookmarkEnd w:id="32"/>
    <w:bookmarkStart w:id="35" w:name="scope-3-emissions-value-chain-emissions"/>
    <w:p>
      <w:pPr>
        <w:pStyle w:val="Heading3"/>
      </w:pPr>
      <w:r>
        <w:t xml:space="preserve">2.3. Scope 3 Emissions (Value Chain Emissions)</w:t>
      </w:r>
    </w:p>
    <w:p>
      <w:pPr>
        <w:pStyle w:val="FirstParagraph"/>
      </w:pPr>
      <w:r>
        <w:t xml:space="preserve">Scope 3 emissions represent the most significant portion of a product\'s carbon footprint, covering both upstream and downstream activities in the value chain. At least 95% coverage for Scope 3 reporting is targeted as per 2026 requirements.</w:t>
      </w:r>
    </w:p>
    <w:bookmarkStart w:id="33" w:name="upstream-emissions"/>
    <w:p>
      <w:pPr>
        <w:pStyle w:val="Heading4"/>
      </w:pPr>
      <w:r>
        <w:t xml:space="preserve">2.3.1. Upstream Emissions</w:t>
      </w:r>
    </w:p>
    <w:p>
      <w:pPr>
        <w:numPr>
          <w:ilvl w:val="0"/>
          <w:numId w:val="1007"/>
        </w:numPr>
        <w:pStyle w:val="Compact"/>
      </w:pPr>
      <w:r>
        <w:rPr>
          <w:bCs/>
          <w:b/>
        </w:rPr>
        <w:t xml:space="preserve">Category 1: Purchased Goods and Services (Materials)</w:t>
      </w:r>
    </w:p>
    <w:p>
      <w:pPr>
        <w:numPr>
          <w:ilvl w:val="1"/>
          <w:numId w:val="1008"/>
        </w:numPr>
        <w:pStyle w:val="Compact"/>
      </w:pPr>
      <w:r>
        <w:t xml:space="preserve">Sum of emissions from all raw materials and components based on the BOM:</w:t>
      </w:r>
      <w:r>
        <w:t xml:space="preserve"> </w:t>
      </w:r>
      <w:r>
        <w:rPr>
          <w:bCs/>
          <w:b/>
        </w:rPr>
        <w:t xml:space="preserve">11.85 kg CO2e</w:t>
      </w:r>
    </w:p>
    <w:p>
      <w:pPr>
        <w:numPr>
          <w:ilvl w:val="0"/>
          <w:numId w:val="1007"/>
        </w:numPr>
        <w:pStyle w:val="Compact"/>
      </w:pPr>
      <w:r>
        <w:rPr>
          <w:bCs/>
          <w:b/>
        </w:rPr>
        <w:t xml:space="preserve">Category 4: Upstream Transportation and Distribution</w:t>
      </w:r>
    </w:p>
    <w:p>
      <w:pPr>
        <w:numPr>
          <w:ilvl w:val="1"/>
          <w:numId w:val="1009"/>
        </w:numPr>
        <w:pStyle w:val="Compact"/>
      </w:pPr>
      <w:r>
        <w:t xml:space="preserve">Product Weight for transport: 1.25 kg = 0.00125 tonnes</w:t>
      </w:r>
    </w:p>
    <w:p>
      <w:pPr>
        <w:numPr>
          <w:ilvl w:val="1"/>
          <w:numId w:val="1009"/>
        </w:numPr>
        <w:pStyle w:val="Compact"/>
      </w:pPr>
      <w:r>
        <w:t xml:space="preserve">Sea Freight (e.g., 1500 km for main components/finished goods to China): 1500 km * 0.00125 tonnes * 0.016 kg CO2e/tkm = 0.03 kg CO2e.</w:t>
      </w:r>
    </w:p>
    <w:p>
      <w:pPr>
        <w:numPr>
          <w:ilvl w:val="1"/>
          <w:numId w:val="1009"/>
        </w:numPr>
        <w:pStyle w:val="Compact"/>
      </w:pPr>
      <w:r>
        <w:t xml:space="preserve">Road Freight (e.g., 100 km from port/supplier to factory in China): 100 km * 0.00125 tonnes * 0.09 kg CO2e/tkm = 0.01125 kg CO2e.</w:t>
      </w:r>
    </w:p>
    <w:p>
      <w:pPr>
        <w:numPr>
          <w:ilvl w:val="1"/>
          <w:numId w:val="1009"/>
        </w:numPr>
        <w:pStyle w:val="Compact"/>
      </w:pPr>
      <w:r>
        <w:rPr>
          <w:bCs/>
          <w:b/>
        </w:rPr>
        <w:t xml:space="preserve">Total Upstream Transport Emissions: 0.03 + 0.01125 = 0.04125 kg CO2e (~0.04 kg CO2e)</w:t>
      </w:r>
    </w:p>
    <w:bookmarkEnd w:id="33"/>
    <w:bookmarkStart w:id="34" w:name="downstream-emissions"/>
    <w:p>
      <w:pPr>
        <w:pStyle w:val="Heading4"/>
      </w:pPr>
      <w:r>
        <w:t xml:space="preserve">2.3.2. Downstream Emissions</w:t>
      </w:r>
    </w:p>
    <w:p>
      <w:pPr>
        <w:numPr>
          <w:ilvl w:val="0"/>
          <w:numId w:val="1010"/>
        </w:numPr>
        <w:pStyle w:val="Compact"/>
      </w:pPr>
      <w:r>
        <w:rPr>
          <w:bCs/>
          <w:b/>
        </w:rPr>
        <w:t xml:space="preserve">Category 9: Downstream Transportation and Distribution (Last-Mile Delivery)</w:t>
      </w:r>
    </w:p>
    <w:p>
      <w:pPr>
        <w:numPr>
          <w:ilvl w:val="1"/>
          <w:numId w:val="1011"/>
        </w:numPr>
        <w:pStyle w:val="Compact"/>
      </w:pPr>
      <w:r>
        <w:t xml:space="preserve">Last-Mile Delivery (e.g., Courier van): Assuming a typical impact per parcel:</w:t>
      </w:r>
      <w:r>
        <w:t xml:space="preserve"> </w:t>
      </w:r>
      <w:r>
        <w:rPr>
          <w:bCs/>
          <w:b/>
        </w:rPr>
        <w:t xml:space="preserve">0.2 kg CO2e</w:t>
      </w:r>
      <w:r>
        <w:t xml:space="preserve">.</w:t>
      </w:r>
    </w:p>
    <w:p>
      <w:pPr>
        <w:numPr>
          <w:ilvl w:val="0"/>
          <w:numId w:val="1010"/>
        </w:numPr>
        <w:pStyle w:val="Compact"/>
      </w:pPr>
      <w:r>
        <w:rPr>
          <w:bCs/>
          <w:b/>
        </w:rPr>
        <w:t xml:space="preserve">Category 11: Use of Sold Products</w:t>
      </w:r>
    </w:p>
    <w:p>
      <w:pPr>
        <w:numPr>
          <w:ilvl w:val="1"/>
          <w:numId w:val="1012"/>
        </w:numPr>
        <w:pStyle w:val="Compact"/>
      </w:pPr>
      <w:r>
        <w:t xml:space="preserve">Product Lifespan: 5 years [pqmflevriz]</w:t>
      </w:r>
    </w:p>
    <w:p>
      <w:pPr>
        <w:numPr>
          <w:ilvl w:val="1"/>
          <w:numId w:val="1012"/>
        </w:numPr>
        <w:pStyle w:val="Compact"/>
      </w:pPr>
      <w:r>
        <w:t xml:space="preserve">Energy Consumption in Use: 50 Wh/day [iklyodjqux]</w:t>
      </w:r>
    </w:p>
    <w:p>
      <w:pPr>
        <w:numPr>
          <w:ilvl w:val="1"/>
          <w:numId w:val="1012"/>
        </w:numPr>
        <w:pStyle w:val="Compact"/>
      </w:pPr>
      <w:r>
        <w:t xml:space="preserve">Total Energy: 91.25 kWh</w:t>
      </w:r>
    </w:p>
    <w:p>
      <w:pPr>
        <w:numPr>
          <w:ilvl w:val="1"/>
          <w:numId w:val="1012"/>
        </w:numPr>
        <w:pStyle w:val="Compact"/>
      </w:pPr>
      <w:r>
        <w:t xml:space="preserve">European Electricity Grid Emission Factor: 0.25 kg CO2e/kWh</w:t>
      </w:r>
    </w:p>
    <w:p>
      <w:pPr>
        <w:numPr>
          <w:ilvl w:val="1"/>
          <w:numId w:val="1012"/>
        </w:numPr>
        <w:pStyle w:val="Compact"/>
      </w:pPr>
      <w:r>
        <w:rPr>
          <w:bCs/>
          <w:b/>
        </w:rPr>
        <w:t xml:space="preserve">Use Phase Emissions = 91.25 kWh * 0.25 kg CO2e/kWh = 22.8125 kg CO2e (~22.81 kg CO2e)</w:t>
      </w:r>
    </w:p>
    <w:p>
      <w:pPr>
        <w:numPr>
          <w:ilvl w:val="0"/>
          <w:numId w:val="1010"/>
        </w:numPr>
        <w:pStyle w:val="Compact"/>
      </w:pPr>
      <w:r>
        <w:rPr>
          <w:bCs/>
          <w:b/>
        </w:rPr>
        <w:t xml:space="preserve">Category 12: End-of-Life Treatment of Sold Products</w:t>
      </w:r>
    </w:p>
    <w:p>
      <w:pPr>
        <w:numPr>
          <w:ilvl w:val="1"/>
          <w:numId w:val="1013"/>
        </w:numPr>
        <w:pStyle w:val="Compact"/>
      </w:pPr>
      <w:r>
        <w:t xml:space="preserve">Product Weight: 1.25 kg</w:t>
      </w:r>
    </w:p>
    <w:p>
      <w:pPr>
        <w:numPr>
          <w:ilvl w:val="1"/>
          <w:numId w:val="1013"/>
        </w:numPr>
        <w:pStyle w:val="Compact"/>
      </w:pPr>
      <w:r>
        <w:t xml:space="preserve">Recyclability Percentage: 70% [lfexsmrrwn]</w:t>
      </w:r>
    </w:p>
    <w:p>
      <w:pPr>
        <w:numPr>
          <w:ilvl w:val="1"/>
          <w:numId w:val="1013"/>
        </w:numPr>
        <w:pStyle w:val="Compact"/>
      </w:pPr>
      <w:r>
        <w:t xml:space="preserve">Non-recycled portion: 1.25 kg * (1 - 0.70) = 0.375 kg</w:t>
      </w:r>
    </w:p>
    <w:p>
      <w:pPr>
        <w:numPr>
          <w:ilvl w:val="1"/>
          <w:numId w:val="1013"/>
        </w:numPr>
        <w:pStyle w:val="Compact"/>
      </w:pPr>
      <w:r>
        <w:t xml:space="preserve">Illustrative Landfill Emission Factor: 0.1 kg CO2e/kg</w:t>
      </w:r>
    </w:p>
    <w:p>
      <w:pPr>
        <w:numPr>
          <w:ilvl w:val="1"/>
          <w:numId w:val="1013"/>
        </w:numPr>
        <w:pStyle w:val="Compact"/>
      </w:pPr>
      <w:r>
        <w:rPr>
          <w:bCs/>
          <w:b/>
        </w:rPr>
        <w:t xml:space="preserve">End-of-Life Emissions = 0.375 kg * 0.1 kg CO2e/kg = 0.0375 kg CO2e (~0.04 kg CO2e)</w:t>
      </w:r>
    </w:p>
    <w:p>
      <w:pPr>
        <w:numPr>
          <w:ilvl w:val="1"/>
          <w:numId w:val="1013"/>
        </w:numPr>
        <w:pStyle w:val="Compact"/>
      </w:pPr>
      <w:r>
        <w:t xml:space="preserve">Circular programs (e.g., Product take-back for refurbishment [jimjiyuptm]) offer significant avoided emissions by extending product life and reducing the demand for new production, though these avoided emissions are not directly subtracted from this PCF but represent a future benefit.</w:t>
      </w:r>
    </w:p>
    <w:bookmarkEnd w:id="34"/>
    <w:bookmarkEnd w:id="35"/>
    <w:bookmarkStart w:id="36" w:name="Xf6fac3ccbedfcb553bf1ab9d001eea498ce30f3"/>
    <w:p>
      <w:pPr>
        <w:pStyle w:val="Heading3"/>
      </w:pPr>
      <w:r>
        <w:t xml:space="preserve">Summary of Emissions by Scope and Category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w:t>
            </w:r>
          </w:p>
        </w:tc>
        <w:tc>
          <w:tcPr/>
          <w:p>
            <w:pPr>
              <w:pStyle w:val="Compact"/>
              <w:jc w:val="left"/>
            </w:pPr>
            <w:r>
              <w:t xml:space="preserve">Direct Emissions (on-site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w:t>
            </w:r>
          </w:p>
        </w:tc>
        <w:tc>
          <w:tcPr/>
          <w:p>
            <w:pPr>
              <w:pStyle w:val="Compact"/>
              <w:jc w:val="left"/>
            </w:pPr>
            <w:r>
              <w:t xml:space="preserve">Purchased Electricity for Production</w:t>
            </w:r>
          </w:p>
        </w:tc>
        <w:tc>
          <w:tcPr/>
          <w:p>
            <w:pPr>
              <w:pStyle w:val="Compact"/>
              <w:jc w:val="left"/>
            </w:pPr>
            <w:r>
              <w:t xml:space="preserve">3.00</w:t>
            </w:r>
          </w:p>
        </w:tc>
      </w:tr>
      <w:tr>
        <w:tc>
          <w:tcPr>
            <w:vMerge w:val="restart"/>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Materials and Components</w:t>
            </w:r>
          </w:p>
        </w:tc>
        <w:tc>
          <w:tcPr/>
          <w:p>
            <w:pPr>
              <w:pStyle w:val="Compact"/>
              <w:jc w:val="left"/>
            </w:pPr>
            <w:r>
              <w:t xml:space="preserve">11.85</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Main supply chain transport</w:t>
            </w:r>
          </w:p>
        </w:tc>
        <w:tc>
          <w:tcPr/>
          <w:p>
            <w:pPr>
              <w:pStyle w:val="Compact"/>
              <w:jc w:val="left"/>
            </w:pPr>
            <w:r>
              <w:t xml:space="preserve">0.04</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Last-mile delivery</w:t>
            </w:r>
          </w:p>
        </w:tc>
        <w:tc>
          <w:tcPr/>
          <w:p>
            <w:pPr>
              <w:pStyle w:val="Compact"/>
              <w:jc w:val="left"/>
            </w:pPr>
            <w:r>
              <w:t xml:space="preserve">0.20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use</w:t>
            </w:r>
          </w:p>
        </w:tc>
        <w:tc>
          <w:tcPr/>
          <w:p>
            <w:pPr>
              <w:pStyle w:val="Compact"/>
              <w:jc w:val="left"/>
            </w:pPr>
            <w:r>
              <w:t xml:space="preserve">22.81</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Disposal of non-recycled materials</w:t>
            </w:r>
          </w:p>
        </w:tc>
        <w:tc>
          <w:tcPr/>
          <w:p>
            <w:pPr>
              <w:pStyle w:val="Compact"/>
              <w:jc w:val="left"/>
            </w:pPr>
            <w:r>
              <w:t xml:space="preserve">0.04</w:t>
            </w:r>
          </w:p>
        </w:tc>
      </w:tr>
      <w:tr>
        <w:tc>
          <w:tcPr>
            <w:gridSpan w:val="3"/>
          </w:tcPr>
          <w:p>
            <w:pPr>
              <w:pStyle w:val="Compact"/>
              <w:jc w:val="right"/>
            </w:pPr>
            <w:r>
              <w:t xml:space="preserve">Total Product Carbon Footprint (PCF) for 1 unit of ddnkjjugkf:</w:t>
            </w:r>
          </w:p>
        </w:tc>
        <w:tc>
          <w:tcPr/>
          <w:p>
            <w:pPr>
              <w:pStyle w:val="Compact"/>
              <w:jc w:val="left"/>
            </w:pPr>
            <w:r>
              <w:rPr>
                <w:bCs/>
                <w:b/>
              </w:rPr>
              <w:t xml:space="preserve">37.94 kg CO2e</w:t>
            </w:r>
          </w:p>
        </w:tc>
      </w:tr>
    </w:tbl>
    <w:bookmarkEnd w:id="36"/>
    <w:bookmarkStart w:id="37" w:name="X7ef73fe3d39a8d84fae696b42f814aa0d860ec0"/>
    <w:p>
      <w:pPr>
        <w:pStyle w:val="Heading3"/>
      </w:pPr>
      <w:r>
        <w:t xml:space="preserve">2.4. 2026 LSR Update (Land Sector and Removals Standard)</w:t>
      </w:r>
    </w:p>
    <w:p>
      <w:pPr>
        <w:pStyle w:val="FirstParagraph"/>
      </w:pPr>
      <w:r>
        <w:t xml:space="preserve">The GHG Protocol\'s Land Sector and Removals (LSR) Standard, released in January 2026 and effective January 1, 2027, provides comprehensive accounting requirements for land emissions and CO2 removals. While detailed guidance is expected in Q2 2026, its principles are integrated into this analysis. For</w:t>
      </w:r>
      <w:r>
        <w:t xml:space="preserve"> </w:t>
      </w:r>
      <w:r>
        <w:rPr>
          <w:bCs/>
          <w:b/>
        </w:rPr>
        <w:t xml:space="preserve">ddnkjjugkf</w:t>
      </w:r>
      <w:r>
        <w:t xml:space="preserve">, the LSR Standard would be particularly relevant if any raw materials (e.g., bio-based plastics, wood-based packaging) involved direct land use change, land management activities, or biogenic carbon flows. As the provided BOM does not specify these details, the qualitative understanding is that any such material would require:</w:t>
      </w:r>
    </w:p>
    <w:p>
      <w:pPr>
        <w:numPr>
          <w:ilvl w:val="0"/>
          <w:numId w:val="1014"/>
        </w:numPr>
        <w:pStyle w:val="Compact"/>
      </w:pPr>
      <w:r>
        <w:t xml:space="preserve">Quantifying land occupation (in hectares) for both Scope 1 and Scope 3 activities.</w:t>
      </w:r>
    </w:p>
    <w:p>
      <w:pPr>
        <w:numPr>
          <w:ilvl w:val="0"/>
          <w:numId w:val="1014"/>
        </w:numPr>
        <w:pStyle w:val="Compact"/>
      </w:pPr>
      <w:r>
        <w:t xml:space="preserve">Assessing carbon removals (e.g., through sustainable sourcing of biogenic materials) and emissions from land use change.</w:t>
      </w:r>
    </w:p>
    <w:p>
      <w:pPr>
        <w:numPr>
          <w:ilvl w:val="0"/>
          <w:numId w:val="1014"/>
        </w:numPr>
        <w:pStyle w:val="Compact"/>
      </w:pPr>
      <w:r>
        <w:t xml:space="preserve">Ensuring traceability to understand the land-use impacts of specific suppliers.</w:t>
      </w:r>
    </w:p>
    <w:p>
      <w:pPr>
        <w:pStyle w:val="FirstParagraph"/>
      </w:pPr>
      <w:r>
        <w:t xml:space="preserve">For this report, given the generic nature of placeholder BOM, significant land sector activities are not explicitly quantified but would be a critical area for primary data collection in a live assessment to comply with the LSR Standard.</w:t>
      </w:r>
    </w:p>
    <w:bookmarkEnd w:id="37"/>
    <w:bookmarkEnd w:id="38"/>
    <w:p>
      <w:r>
        <w:pict>
          <v:rect style="width:0;height:1.5pt" o:hralign="center" o:hrstd="t" o:hr="t"/>
        </w:pict>
      </w:r>
    </w:p>
    <w:bookmarkStart w:id="41" w:name="Xc332614a05a472d80382801b47dead68abda3d9"/>
    <w:p>
      <w:pPr>
        <w:pStyle w:val="Heading2"/>
      </w:pPr>
      <w:r>
        <w:t xml:space="preserve">3. Step 5: Review &amp; Report (Hotspots and Reliability)</w:t>
      </w:r>
    </w:p>
    <w:bookmarkStart w:id="39" w:name="identified-carbon-hotspots"/>
    <w:p>
      <w:pPr>
        <w:pStyle w:val="Heading3"/>
      </w:pPr>
      <w:r>
        <w:t xml:space="preserve">3.1. Identified Carbon Hotspots</w:t>
      </w:r>
    </w:p>
    <w:p>
      <w:pPr>
        <w:pStyle w:val="FirstParagraph"/>
      </w:pPr>
      <w:r>
        <w:t xml:space="preserve">Based on the calculations, the primary carbon hotspots for</w:t>
      </w:r>
      <w:r>
        <w:t xml:space="preserve"> </w:t>
      </w:r>
      <w:r>
        <w:rPr>
          <w:bCs/>
          <w:b/>
        </w:rPr>
        <w:t xml:space="preserve">ddnkjjugkf</w:t>
      </w:r>
      <w:r>
        <w:t xml:space="preserve"> </w:t>
      </w:r>
      <w:r>
        <w:t xml:space="preserve">are:</w:t>
      </w:r>
    </w:p>
    <w:p>
      <w:pPr>
        <w:numPr>
          <w:ilvl w:val="0"/>
          <w:numId w:val="1015"/>
        </w:numPr>
        <w:pStyle w:val="Compact"/>
      </w:pPr>
      <w:r>
        <w:rPr>
          <w:bCs/>
          <w:b/>
        </w:rPr>
        <w:t xml:space="preserve">Use Phase (22.81 kg CO2e):</w:t>
      </w:r>
      <w:r>
        <w:t xml:space="preserve"> </w:t>
      </w:r>
      <w:r>
        <w:t xml:space="preserve">This constitutes the largest portion, highlighting the significant impact of the product\'s energy consumption over its 5-year lifespan. Focusing on reducing energy consumption during use or promoting renewable energy for users would be key.</w:t>
      </w:r>
    </w:p>
    <w:p>
      <w:pPr>
        <w:numPr>
          <w:ilvl w:val="0"/>
          <w:numId w:val="1015"/>
        </w:numPr>
        <w:pStyle w:val="Compact"/>
      </w:pPr>
      <w:r>
        <w:rPr>
          <w:bCs/>
          <w:b/>
        </w:rPr>
        <w:t xml:space="preserve">Materials (11.85 kg CO2e):</w:t>
      </w:r>
      <w:r>
        <w:t xml:space="preserve"> </w:t>
      </w:r>
      <w:r>
        <w:t xml:space="preserve">The raw materials, particularly the Lithium-ion battery and Aluminum casing, contribute substantially. Sustainable sourcing, using recycled content, or exploring alternative, lower-impact materials are crucial reduction strategies.</w:t>
      </w:r>
    </w:p>
    <w:p>
      <w:pPr>
        <w:numPr>
          <w:ilvl w:val="0"/>
          <w:numId w:val="1015"/>
        </w:numPr>
        <w:pStyle w:val="Compact"/>
      </w:pPr>
      <w:r>
        <w:rPr>
          <w:bCs/>
          <w:b/>
        </w:rPr>
        <w:t xml:space="preserve">Production Energy (3.00 kg CO2e):</w:t>
      </w:r>
      <w:r>
        <w:t xml:space="preserve"> </w:t>
      </w:r>
      <w:r>
        <w:t xml:space="preserve">While renewable energy usage is at 50%, further increasing this percentage at the production facility in China can significantly reduce Scope 2 emissions.</w:t>
      </w:r>
    </w:p>
    <w:p>
      <w:pPr>
        <w:numPr>
          <w:ilvl w:val="0"/>
          <w:numId w:val="1015"/>
        </w:numPr>
        <w:pStyle w:val="Compact"/>
      </w:pPr>
      <w:r>
        <w:rPr>
          <w:bCs/>
          <w:b/>
        </w:rPr>
        <w:t xml:space="preserve">Transportation &amp; End-of-Life (0.28 kg CO2e):</w:t>
      </w:r>
      <w:r>
        <w:t xml:space="preserve"> </w:t>
      </w:r>
      <w:r>
        <w:t xml:space="preserve">While comparatively smaller, optimizing logistics (e.g., consolidating shipments, choosing lower-emission modes where feasible) and enhancing circularity (beyond the 70% recyclability) can yield further reductions.</w:t>
      </w:r>
    </w:p>
    <w:bookmarkEnd w:id="39"/>
    <w:bookmarkStart w:id="40" w:name="reliability-statement-and-data-quality"/>
    <w:p>
      <w:pPr>
        <w:pStyle w:val="Heading3"/>
      </w:pPr>
      <w:r>
        <w:t xml:space="preserve">3.2. Reliability Statement and Data Quality</w:t>
      </w:r>
    </w:p>
    <w:p>
      <w:pPr>
        <w:pStyle w:val="FirstParagraph"/>
      </w:pPr>
      <w:r>
        <w:t xml:space="preserve">This report\'s calculations are based on the parameters provided and industry-standard emission factors.</w:t>
      </w:r>
    </w:p>
    <w:p>
      <w:pPr>
        <w:numPr>
          <w:ilvl w:val="0"/>
          <w:numId w:val="1016"/>
        </w:numPr>
        <w:pStyle w:val="Compact"/>
      </w:pPr>
      <w:r>
        <w:rPr>
          <w:bCs/>
          <w:b/>
        </w:rPr>
        <w:t xml:space="preserve">Primary Data:</w:t>
      </w:r>
      <w:r>
        <w:t xml:space="preserve"> </w:t>
      </w:r>
      <w:r>
        <w:t xml:space="preserve">All quantitative parameters (dlwftexe, ouljikehdj, Select Mode, Delivery Type, pjkegnlxzr, xvutpnkwtt, pqmflevriz, iklyodjqux, lfexsmrrwn, jimjiyuptm) were treated as provided. In a real-world scenario, collecting primary data from suppliers for BOM, actual energy consumption, and transport distances is paramount to ensure the highest accuracy.</w:t>
      </w:r>
    </w:p>
    <w:p>
      <w:pPr>
        <w:numPr>
          <w:ilvl w:val="0"/>
          <w:numId w:val="1016"/>
        </w:numPr>
        <w:pStyle w:val="Compact"/>
      </w:pPr>
      <w:r>
        <w:rPr>
          <w:bCs/>
          <w:b/>
        </w:rPr>
        <w:t xml:space="preserve">Secondary Data:</w:t>
      </w:r>
      <w:r>
        <w:t xml:space="preserve"> </w:t>
      </w:r>
      <w:r>
        <w:t xml:space="preserve">Representative emission factors from recognized databases (like Ecoinvent/DEFRA type data) have been utilized where primary data for specific processes or materials were not supplied. While these factors are robust, product-specific and supplier-specific emission factors would enhance precision.</w:t>
      </w:r>
    </w:p>
    <w:p>
      <w:pPr>
        <w:numPr>
          <w:ilvl w:val="0"/>
          <w:numId w:val="1016"/>
        </w:numPr>
        <w:pStyle w:val="Compact"/>
      </w:pPr>
      <w:r>
        <w:rPr>
          <w:bCs/>
          <w:b/>
        </w:rPr>
        <w:t xml:space="preserve">Assumptions:</w:t>
      </w:r>
      <w:r>
        <w:t xml:space="preserve"> </w:t>
      </w:r>
      <w:r>
        <w:t xml:space="preserve">Assumptions regarding transport distances, last-mile impact, and end-of-life scenarios were made for illustrative purposes based on the generic input. Any changes to these assumptions would alter the final PCF.</w:t>
      </w:r>
    </w:p>
    <w:p>
      <w:pPr>
        <w:pStyle w:val="FirstParagraph"/>
      </w:pPr>
      <w:r>
        <w:t xml:space="preserve">The analysis provides a reliable estimate based on the available information and standard methodologies. For continuous improvement and target setting, ongoing data collection and refinement, especially of primary data, are recommended.</w:t>
      </w:r>
    </w:p>
    <w:bookmarkEnd w:id="40"/>
    <w:bookmarkEnd w:id="41"/>
    <w:p>
      <w:r>
        <w:pict>
          <v:rect style="width:0;height:1.5pt" o:hralign="center" o:hrstd="t" o:hr="t"/>
        </w:pict>
      </w:r>
    </w:p>
    <w:p>
      <w:pPr>
        <w:pStyle w:val="FirstParagraph"/>
      </w:pPr>
      <w:r>
        <w:t xml:space="preserve">Confidential - Internal Use Only | Page</w:t>
      </w:r>
      <w:r>
        <w:t xml:space="preserve"> </w:t>
      </w:r>
      <w:r>
        <w:t xml:space="preserve"> </w:t>
      </w:r>
      <w:r>
        <w:t xml:space="preserve"> </w:t>
      </w:r>
      <w:r>
        <w:t xml:space="preserve">of</w:t>
      </w:r>
      <w:r>
        <w:t xml:space="preserve">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ddnkjjugkf</dc:title>
  <dc:creator/>
  <dc:description>High-detail Product Carbon Footprint (PCF) analysis for ddnkjjugkf, conducted by xflpimihnw for vmqrofspoj, adhering to GHG Protocol standards including the 2026 LSR Update.</dc:description>
  <dc:language>en</dc:language>
  <cp:keywords/>
  <dcterms:created xsi:type="dcterms:W3CDTF">2026-05-30T18:31:47Z</dcterms:created>
  <dcterms:modified xsi:type="dcterms:W3CDTF">2026-05-30T18:31:47Z</dcterms:modified>
</cp:coreProperties>
</file>

<file path=docProps/custom.xml><?xml version="1.0" encoding="utf-8"?>
<Properties xmlns="http://schemas.openxmlformats.org/officeDocument/2006/custom-properties" xmlns:vt="http://schemas.openxmlformats.org/officeDocument/2006/docPropsVTypes"/>
</file>