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ddjffrodvr</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ddjffrodvr</w:t>
      </w:r>
    </w:p>
    <w:p>
      <w:pPr>
        <w:pStyle w:val="BodyText"/>
      </w:pPr>
      <w:r>
        <w:t xml:space="preserve">**Company:** ijxnwlrnvs</w:t>
      </w:r>
    </w:p>
    <w:p>
      <w:pPr>
        <w:pStyle w:val="BodyText"/>
      </w:pPr>
      <w:r>
        <w:t xml:space="preserve">**Accounting Standard:** GHG Protocol</w:t>
      </w:r>
    </w:p>
    <w:p>
      <w:pPr>
        <w:pStyle w:val="BodyText"/>
      </w:pPr>
      <w:r>
        <w:t xml:space="preserve">**Senior Sustainability Consultant:** ziinjpduek</w:t>
      </w:r>
    </w:p>
    <w:p>
      <w:pPr>
        <w:pStyle w:val="BodyText"/>
      </w:pPr>
      <w:r>
        <w:t xml:space="preserve">Disclaimer: This report is generated based on available data and industry standards. Actual emissions may vary due to real-world operational nuances and specific supplier data not fully captured in the provided parameters.</w:t>
      </w:r>
    </w:p>
    <w:bookmarkEnd w:id="20"/>
    <w:bookmarkStart w:id="21" w:name="X9650126782cdd293ed288e257633d08433f4dad"/>
    <w:p>
      <w:pPr>
        <w:pStyle w:val="Heading1"/>
      </w:pPr>
      <w:r>
        <w:t xml:space="preserve">Product Carbon Footprint Analysis for ddjffrodvr</w:t>
      </w:r>
    </w:p>
    <w:p>
      <w:pPr>
        <w:pStyle w:val="FirstParagraph"/>
      </w:pPr>
      <w:r>
        <w:t xml:space="preserve">Generated Date: May 20, 2026</w:t>
      </w:r>
    </w:p>
    <w:p>
      <w:pPr>
        <w:pStyle w:val="BodyText"/>
      </w:pPr>
      <w:r>
        <w:t xml:space="preserve">Prepared by: ziinjpduek,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ddjffrodvr, manufactured by ijxnwlrnvs. The analysis adheres strictly to the GHG Protocol accounting standard, incorporating the 2026 Land Sector and Removals (LSR) Standard updates and targeting at least 95% Scope 3 coverage. The PCF quantifies the total greenhouse gas emissions (GHG) associated with the product across its entire lifecycle, from raw material extraction to end-of-life. This detailed assessment aims to identify key emission hotspots, inform strategic decisions for emission reduction, and enhance the company\'s sustainability performance. The system boundary for this analysis is defined as \'factory_gate\', meaning it primarily focuses on emissions up to the point the product leaves the factory, with an extended look into use and end-of-life phases based on provided parameters.</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first step in a PCF assessment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ddjffrodvr</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primary system boundary for this PCF is **factory_gate**. This encompasses all emissions from raw material acquisition, transport to manufacturing, and the manufacturing processes themselves, up until the product is ready to leave the production facility. For a comprehensive view, elements of the Use Phase and End-of-Life (EoL) scenarios have also been incorporated based on the provided parameters, extending the analysis beyond a strict factory_gate definition for a more holistic understanding.</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helps in applying relevant regional emission factors for energy and logistics.</w:t>
      </w:r>
    </w:p>
    <w:p>
      <w:pPr>
        <w:numPr>
          <w:ilvl w:val="0"/>
          <w:numId w:val="1001"/>
        </w:numPr>
        <w:pStyle w:val="Compact"/>
      </w:pPr>
      <w:r>
        <w:rPr>
          <w:bCs/>
          <w:b/>
        </w:rPr>
        <w:t xml:space="preserve">Accounting Standard:</w:t>
      </w:r>
      <w:r>
        <w:t xml:space="preserve"> </w:t>
      </w:r>
      <w:r>
        <w:t xml:space="preserve">This analysis rigorously follows the **GHG Protocol Product Standard**. Emissions are categorized into Scope 1 (direct emissions), Scope 2 (indirect emissions from purchased energy), and Scope 3 (all other indirect emissions in the value chain). Furthermore, the analysis considers the **2026 Land Sector and Removals (LSR) Standard** for land use impacts and carbon removals, although specific land use data for ddjffrodvr was not provided, its principles are acknowledged.</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guidelines, typically through physical allocation (e.g., mass) or economic allocation, ensuring a fair distribution of environmental burden. For this specific product (ddjffrodvr), no explicit co-products were identified, simplifying allocation.</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ddjffrodvr is mapped into distinct stages, allowing for a structured collection of data and identification of emission sources. Each stage represents a crucial part of the product\'s journey.</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jc w:val="center"/>
                  </w:pPr>
                  <w:r>
                    <w:t xml:space="preserve">Lifecycle Stage</w:t>
                  </w:r>
                </w:p>
              </w:tc>
              <w:tc>
                <w:tcPr/>
                <w:p>
                  <w:pPr>
                    <w:pStyle w:val="Compact"/>
                    <w:jc w:val="left"/>
                    <w:jc w:val="center"/>
                  </w:pPr>
                  <w:r>
                    <w:t xml:space="preserve">Description</w:t>
                  </w:r>
                </w:p>
              </w:tc>
              <w:tc>
                <w:tcPr/>
                <w:p>
                  <w:pPr>
                    <w:pStyle w:val="Compact"/>
                    <w:jc w:val="left"/>
                    <w:jc w:val="center"/>
                  </w:pPr>
                  <w:r>
                    <w:t xml:space="preserve">GHG Scope Relevance</w:t>
                  </w:r>
                </w:p>
              </w:tc>
            </w:tr>
            <w:tr>
              <w:tc>
                <w:tcPr/>
                <w:p>
                  <w:pPr>
                    <w:pStyle w:val="Compact"/>
                    <w:jc w:val="left"/>
                    <w:jc w:val="center"/>
                  </w:pPr>
                  <w:r>
                    <w:rPr>
                      <w:bCs/>
                      <w:b/>
                    </w:rPr>
                    <w:t xml:space="preserve">Materials Acquisition &amp; Pre-processing</w:t>
                  </w:r>
                </w:p>
              </w:tc>
              <w:tc>
                <w:tcPr/>
                <w:p>
                  <w:pPr>
                    <w:pStyle w:val="Compact"/>
                    <w:jc w:val="left"/>
                    <w:jc w:val="center"/>
                  </w:pPr>
                  <w:r>
                    <w:t xml:space="preserve">Extraction of raw materials (e.g., metals, plastics, silicon) and their initial processing into usable forms.</w:t>
                  </w:r>
                </w:p>
              </w:tc>
              <w:tc>
                <w:tcPr/>
                <w:p>
                  <w:pPr>
                    <w:pStyle w:val="Compact"/>
                    <w:jc w:val="left"/>
                    <w:jc w:val="center"/>
                  </w:pPr>
                  <w:r>
                    <w:t xml:space="preserve">Scope 3 (Upstream)</w:t>
                  </w:r>
                </w:p>
              </w:tc>
            </w:tr>
            <w:tr>
              <w:tc>
                <w:tcPr/>
                <w:p>
                  <w:pPr>
                    <w:pStyle w:val="Compact"/>
                    <w:jc w:val="left"/>
                    <w:jc w:val="center"/>
                  </w:pPr>
                  <w:r>
                    <w:rPr>
                      <w:bCs/>
                      <w:b/>
                    </w:rPr>
                    <w:t xml:space="preserve">Manufacturing / Production</w:t>
                  </w:r>
                </w:p>
              </w:tc>
              <w:tc>
                <w:tcPr/>
                <w:p>
                  <w:pPr>
                    <w:pStyle w:val="Compact"/>
                    <w:jc w:val="left"/>
                    <w:jc w:val="center"/>
                  </w:pPr>
                  <w:r>
                    <w:t xml:space="preserve">Transformation of processed materials into the final product ddjffrodvr at the production facility in China. Includes energy consumption, process emissions, and waste generation.</w:t>
                  </w:r>
                </w:p>
              </w:tc>
              <w:tc>
                <w:tcPr/>
                <w:p>
                  <w:pPr>
                    <w:pStyle w:val="Compact"/>
                    <w:jc w:val="left"/>
                    <w:jc w:val="center"/>
                  </w:pPr>
                  <w:r>
                    <w:t xml:space="preserve">Scope 1 (Direct), Scope 2 (Purchased Energy)</w:t>
                  </w:r>
                </w:p>
              </w:tc>
            </w:tr>
            <w:tr>
              <w:tc>
                <w:tcPr/>
                <w:p>
                  <w:pPr>
                    <w:pStyle w:val="Compact"/>
                    <w:jc w:val="left"/>
                    <w:jc w:val="center"/>
                  </w:pPr>
                  <w:r>
                    <w:rPr>
                      <w:bCs/>
                      <w:b/>
                    </w:rPr>
                    <w:t xml:space="preserve">Transport (Inbound)</w:t>
                  </w:r>
                </w:p>
              </w:tc>
              <w:tc>
                <w:tcPr/>
                <w:p>
                  <w:pPr>
                    <w:pStyle w:val="Compact"/>
                    <w:jc w:val="left"/>
                    <w:jc w:val="center"/>
                  </w:pPr>
                  <w:r>
                    <w:t xml:space="preserve">Transportation of raw materials and intermediate products from suppliers (Europe Focused) to the manufacturing facility (China).</w:t>
                  </w:r>
                </w:p>
              </w:tc>
              <w:tc>
                <w:tcPr/>
                <w:p>
                  <w:pPr>
                    <w:pStyle w:val="Compact"/>
                    <w:jc w:val="left"/>
                    <w:jc w:val="center"/>
                  </w:pPr>
                  <w:r>
                    <w:t xml:space="preserve">Scope 3 (Upstream)</w:t>
                  </w:r>
                </w:p>
              </w:tc>
            </w:tr>
            <w:tr>
              <w:tc>
                <w:tcPr/>
                <w:p>
                  <w:pPr>
                    <w:pStyle w:val="Compact"/>
                    <w:jc w:val="left"/>
                    <w:jc w:val="center"/>
                  </w:pPr>
                  <w:r>
                    <w:rPr>
                      <w:bCs/>
                      <w:b/>
                    </w:rPr>
                    <w:t xml:space="preserve">Transport (Outbound &amp; Last-Mile)</w:t>
                  </w:r>
                </w:p>
              </w:tc>
              <w:tc>
                <w:tcPr/>
                <w:p>
                  <w:pPr>
                    <w:pStyle w:val="Compact"/>
                    <w:jc w:val="left"/>
                    <w:jc w:val="center"/>
                  </w:pPr>
                  <w:r>
                    <w:t xml:space="preserve">Transportation of the finished product ddjffrodvr from the factory gate to distribution centers and ultimately to the end-consumer.</w:t>
                  </w:r>
                </w:p>
              </w:tc>
              <w:tc>
                <w:tcPr/>
                <w:p>
                  <w:pPr>
                    <w:pStyle w:val="Compact"/>
                    <w:jc w:val="left"/>
                    <w:jc w:val="center"/>
                  </w:pPr>
                  <w:r>
                    <w:t xml:space="preserve">Scope 3 (Downstream)</w:t>
                  </w:r>
                </w:p>
              </w:tc>
            </w:tr>
            <w:tr>
              <w:tc>
                <w:tcPr/>
                <w:p>
                  <w:pPr>
                    <w:pStyle w:val="Compact"/>
                    <w:jc w:val="left"/>
                    <w:jc w:val="center"/>
                  </w:pPr>
                  <w:r>
                    <w:rPr>
                      <w:bCs/>
                      <w:b/>
                    </w:rPr>
                    <w:t xml:space="preserve">Use Phase</w:t>
                  </w:r>
                </w:p>
              </w:tc>
              <w:tc>
                <w:tcPr/>
                <w:p>
                  <w:pPr>
                    <w:pStyle w:val="Compact"/>
                    <w:jc w:val="left"/>
                    <w:jc w:val="center"/>
                  </w:pPr>
                  <w:r>
                    <w:t xml:space="preserve">Emissions generated during the product\'s active use by the consumer over its lifespan, primarily from energy consumption.</w:t>
                  </w:r>
                </w:p>
              </w:tc>
              <w:tc>
                <w:tcPr/>
                <w:p>
                  <w:pPr>
                    <w:pStyle w:val="Compact"/>
                    <w:jc w:val="left"/>
                    <w:jc w:val="center"/>
                  </w:pPr>
                  <w:r>
                    <w:t xml:space="preserve">Scope 3 (Downstream)</w:t>
                  </w:r>
                </w:p>
              </w:tc>
            </w:tr>
            <w:tr>
              <w:tc>
                <w:tcPr/>
                <w:p>
                  <w:pPr>
                    <w:pStyle w:val="Compact"/>
                    <w:jc w:val="left"/>
                    <w:jc w:val="center"/>
                  </w:pPr>
                  <w:r>
                    <w:rPr>
                      <w:bCs/>
                      <w:b/>
                    </w:rPr>
                    <w:t xml:space="preserve">End-of-Life (EoL)</w:t>
                  </w:r>
                </w:p>
              </w:tc>
              <w:tc>
                <w:tcPr/>
                <w:p>
                  <w:pPr>
                    <w:pStyle w:val="Compact"/>
                    <w:jc w:val="left"/>
                    <w:jc w:val="center"/>
                  </w:pPr>
                  <w:r>
                    <w:t xml:space="preserve">Management of the product at the end of its functional life, including collection, disposal (landfill, incineration), recycling, or participation in circular programs.</w:t>
                  </w:r>
                </w:p>
              </w:tc>
              <w:tc>
                <w:tcPr/>
                <w:p>
                  <w:pPr>
                    <w:pStyle w:val="Compact"/>
                    <w:jc w:val="left"/>
                    <w:jc w:val="center"/>
                  </w:pPr>
                  <w:r>
                    <w:t xml:space="preserve">Scope 3 (Downstream)</w:t>
                  </w:r>
                </w:p>
              </w:tc>
            </w:tr>
          </w:tbl>
          <w:p/>
        </w:tc>
      </w:tr>
    </w:tbl>
    <w:p>
      <w:pPr>
        <w:pStyle w:val="ImageCaption"/>
      </w:pPr>
      <w:r>
        <w:t xml:space="preserve">Table 2.1: Lifecycle Stages of ddjffrodvr</w:t>
      </w:r>
    </w:p>
    <w:p>
      <w:r>
        <w:pict>
          <v:rect style="width:0;height:1.5pt" o:hralign="center" o:hrstd="t" o:hr="t"/>
        </w:pict>
      </w:r>
    </w:p>
    <w:bookmarkEnd w:id="24"/>
    <w:bookmarkStart w:id="30" w:name="X7b6d01ce7b6bfe45f00681616505557cddf238f"/>
    <w:p>
      <w:pPr>
        <w:pStyle w:val="Heading2"/>
      </w:pPr>
      <w:r>
        <w:t xml:space="preserve">3. Data Collection (Primary/Secondary Data Points)</w:t>
      </w:r>
    </w:p>
    <w:p>
      <w:pPr>
        <w:pStyle w:val="FirstParagraph"/>
      </w:pPr>
      <w:r>
        <w:t xml:space="preserve">Accurate data collection is fundamental for a reliable PCF. This analysis integrates both specific company data (where provided) and industry-standard secondary data for robust calculations.</w:t>
      </w:r>
    </w:p>
    <w:bookmarkStart w:id="25" w:name="Xb8d94b82a07f01f5f8f90397f345acd97a65b04"/>
    <w:p>
      <w:pPr>
        <w:pStyle w:val="Heading3"/>
      </w:pPr>
      <w:r>
        <w:t xml:space="preserve">3.1. Detailed Bill of Materials (BOM) Analysis (Primary Data Source: ihpflyrt)</w:t>
      </w:r>
    </w:p>
    <w:p>
      <w:pPr>
        <w:pStyle w:val="FirstParagraph"/>
      </w:pPr>
      <w:r>
        <w:t xml:space="preserve">The detailed Bill of Materials (BOM) for ddjffrodvr, represented by the placeholder `ihpflyrt`, is critical for calculating the material-related emissions. While `ihpflyrt` is a placeholder for the actual detailed data, the methodology requires breaking down the product into its constituent materials, quantities, and their associated emission factors. For illustrative purposes, an example BOM structure and its hypothetical content are provided below. This detailed breakdown ensures high-accuracy material impact calculation instead of default estimates. The \'Total Carbon\' column in the BOM represents the CO2e emissions associated with each material component for the given quantity, calculated as \'Qty * Emission Factor\'.</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jc w:val="center"/>
                  </w:pPr>
                  <w:r>
                    <w:t xml:space="preserve">ID</w:t>
                  </w:r>
                </w:p>
              </w:tc>
              <w:tc>
                <w:tcPr/>
                <w:p>
                  <w:pPr>
                    <w:pStyle w:val="Compact"/>
                    <w:jc w:val="left"/>
                    <w:jc w:val="center"/>
                  </w:pPr>
                  <w:r>
                    <w:t xml:space="preserve">Description</w:t>
                  </w:r>
                </w:p>
              </w:tc>
              <w:tc>
                <w:tcPr/>
                <w:p>
                  <w:pPr>
                    <w:pStyle w:val="Compact"/>
                    <w:jc w:val="left"/>
                    <w:jc w:val="center"/>
                  </w:pPr>
                  <w:r>
                    <w:t xml:space="preserve">Category</w:t>
                  </w:r>
                </w:p>
              </w:tc>
              <w:tc>
                <w:tcPr/>
                <w:p>
                  <w:pPr>
                    <w:pStyle w:val="Compact"/>
                    <w:jc w:val="left"/>
                    <w:jc w:val="center"/>
                  </w:pPr>
                  <w:r>
                    <w:t xml:space="preserve">Process</w:t>
                  </w:r>
                </w:p>
              </w:tc>
              <w:tc>
                <w:tcPr/>
                <w:p>
                  <w:pPr>
                    <w:pStyle w:val="Compact"/>
                    <w:jc w:val="left"/>
                    <w:jc w:val="center"/>
                  </w:pPr>
                  <w:r>
                    <w:t xml:space="preserve">Qty</w:t>
                  </w:r>
                </w:p>
              </w:tc>
              <w:tc>
                <w:tcPr/>
                <w:p>
                  <w:pPr>
                    <w:pStyle w:val="Compact"/>
                    <w:jc w:val="left"/>
                    <w:jc w:val="center"/>
                  </w:pPr>
                  <w:r>
                    <w:t xml:space="preserve">Unit</w:t>
                  </w:r>
                </w:p>
              </w:tc>
              <w:tc>
                <w:tcPr/>
                <w:p>
                  <w:pPr>
                    <w:pStyle w:val="Compact"/>
                    <w:jc w:val="left"/>
                    <w:jc w:val="center"/>
                  </w:pPr>
                  <w:r>
                    <w:t xml:space="preserve">Emission Factor (kgCO2e/Unit or kg)</w:t>
                  </w:r>
                </w:p>
              </w:tc>
              <w:tc>
                <w:tcPr/>
                <w:p>
                  <w:pPr>
                    <w:pStyle w:val="Compact"/>
                    <w:jc w:val="left"/>
                    <w:jc w:val="center"/>
                  </w:pPr>
                  <w:r>
                    <w:t xml:space="preserve">Total Carbon (kgCO2e)</w:t>
                  </w:r>
                </w:p>
              </w:tc>
            </w:tr>
            <w:tr>
              <w:tc>
                <w:tcPr/>
                <w:p>
                  <w:pPr>
                    <w:pStyle w:val="Compact"/>
                    <w:jc w:val="left"/>
                    <w:jc w:val="center"/>
                  </w:pPr>
                  <w:r>
                    <w:t xml:space="preserve">MAT001</w:t>
                  </w:r>
                </w:p>
              </w:tc>
              <w:tc>
                <w:tcPr/>
                <w:p>
                  <w:pPr>
                    <w:pStyle w:val="Compact"/>
                    <w:jc w:val="left"/>
                    <w:jc w:val="center"/>
                  </w:pPr>
                  <w:r>
                    <w:t xml:space="preserve">Aluminum Casing</w:t>
                  </w:r>
                </w:p>
              </w:tc>
              <w:tc>
                <w:tcPr/>
                <w:p>
                  <w:pPr>
                    <w:pStyle w:val="Compact"/>
                    <w:jc w:val="left"/>
                    <w:jc w:val="center"/>
                  </w:pPr>
                  <w:r>
                    <w:t xml:space="preserve">Metal</w:t>
                  </w:r>
                </w:p>
              </w:tc>
              <w:tc>
                <w:tcPr/>
                <w:p>
                  <w:pPr>
                    <w:pStyle w:val="Compact"/>
                    <w:jc w:val="left"/>
                    <w:jc w:val="center"/>
                  </w:pPr>
                  <w:r>
                    <w:t xml:space="preserve">Extrusion &amp; Machining</w:t>
                  </w:r>
                </w:p>
              </w:tc>
              <w:tc>
                <w:tcPr/>
                <w:p>
                  <w:pPr>
                    <w:pStyle w:val="Compact"/>
                    <w:jc w:val="left"/>
                    <w:jc w:val="center"/>
                  </w:pPr>
                  <w:r>
                    <w:t xml:space="preserve">0.5</w:t>
                  </w:r>
                </w:p>
              </w:tc>
              <w:tc>
                <w:tcPr/>
                <w:p>
                  <w:pPr>
                    <w:pStyle w:val="Compact"/>
                    <w:jc w:val="left"/>
                    <w:jc w:val="center"/>
                  </w:pPr>
                  <w:r>
                    <w:t xml:space="preserve">kg</w:t>
                  </w:r>
                </w:p>
              </w:tc>
              <w:tc>
                <w:tcPr/>
                <w:p>
                  <w:pPr>
                    <w:pStyle w:val="Compact"/>
                    <w:jc w:val="left"/>
                    <w:jc w:val="center"/>
                  </w:pPr>
                  <w:r>
                    <w:t xml:space="preserve">12.0</w:t>
                  </w:r>
                </w:p>
              </w:tc>
              <w:tc>
                <w:tcPr/>
                <w:p>
                  <w:pPr>
                    <w:pStyle w:val="Compact"/>
                    <w:jc w:val="left"/>
                    <w:jc w:val="center"/>
                  </w:pPr>
                  <w:r>
                    <w:t xml:space="preserve">6.00</w:t>
                  </w:r>
                </w:p>
              </w:tc>
            </w:tr>
            <w:tr>
              <w:tc>
                <w:tcPr/>
                <w:p>
                  <w:pPr>
                    <w:pStyle w:val="Compact"/>
                    <w:jc w:val="left"/>
                    <w:jc w:val="center"/>
                  </w:pPr>
                  <w:r>
                    <w:t xml:space="preserve">MAT002</w:t>
                  </w:r>
                </w:p>
              </w:tc>
              <w:tc>
                <w:tcPr/>
                <w:p>
                  <w:pPr>
                    <w:pStyle w:val="Compact"/>
                    <w:jc w:val="left"/>
                    <w:jc w:val="center"/>
                  </w:pPr>
                  <w:r>
                    <w:t xml:space="preserve">ABS Plastic Housing</w:t>
                  </w:r>
                </w:p>
              </w:tc>
              <w:tc>
                <w:tcPr/>
                <w:p>
                  <w:pPr>
                    <w:pStyle w:val="Compact"/>
                    <w:jc w:val="left"/>
                    <w:jc w:val="center"/>
                  </w:pPr>
                  <w:r>
                    <w:t xml:space="preserve">Polymer</w:t>
                  </w:r>
                </w:p>
              </w:tc>
              <w:tc>
                <w:tcPr/>
                <w:p>
                  <w:pPr>
                    <w:pStyle w:val="Compact"/>
                    <w:jc w:val="left"/>
                    <w:jc w:val="center"/>
                  </w:pPr>
                  <w:r>
                    <w:t xml:space="preserve">Injection Molding</w:t>
                  </w:r>
                </w:p>
              </w:tc>
              <w:tc>
                <w:tcPr/>
                <w:p>
                  <w:pPr>
                    <w:pStyle w:val="Compact"/>
                    <w:jc w:val="left"/>
                    <w:jc w:val="center"/>
                  </w:pPr>
                  <w:r>
                    <w:t xml:space="preserve">0.3</w:t>
                  </w:r>
                </w:p>
              </w:tc>
              <w:tc>
                <w:tcPr/>
                <w:p>
                  <w:pPr>
                    <w:pStyle w:val="Compact"/>
                    <w:jc w:val="left"/>
                    <w:jc w:val="center"/>
                  </w:pPr>
                  <w:r>
                    <w:t xml:space="preserve">kg</w:t>
                  </w:r>
                </w:p>
              </w:tc>
              <w:tc>
                <w:tcPr/>
                <w:p>
                  <w:pPr>
                    <w:pStyle w:val="Compact"/>
                    <w:jc w:val="left"/>
                    <w:jc w:val="center"/>
                  </w:pPr>
                  <w:r>
                    <w:t xml:space="preserve">3.5</w:t>
                  </w:r>
                </w:p>
              </w:tc>
              <w:tc>
                <w:tcPr/>
                <w:p>
                  <w:pPr>
                    <w:pStyle w:val="Compact"/>
                    <w:jc w:val="left"/>
                    <w:jc w:val="center"/>
                  </w:pPr>
                  <w:r>
                    <w:t xml:space="preserve">1.05</w:t>
                  </w:r>
                </w:p>
              </w:tc>
            </w:tr>
            <w:tr>
              <w:tc>
                <w:tcPr/>
                <w:p>
                  <w:pPr>
                    <w:pStyle w:val="Compact"/>
                    <w:jc w:val="left"/>
                    <w:jc w:val="center"/>
                  </w:pPr>
                  <w:r>
                    <w:t xml:space="preserve">MAT003</w:t>
                  </w:r>
                </w:p>
              </w:tc>
              <w:tc>
                <w:tcPr/>
                <w:p>
                  <w:pPr>
                    <w:pStyle w:val="Compact"/>
                    <w:jc w:val="left"/>
                    <w:jc w:val="center"/>
                  </w:pPr>
                  <w:r>
                    <w:t xml:space="preserve">Printed Circuit Board (PCB)</w:t>
                  </w:r>
                </w:p>
              </w:tc>
              <w:tc>
                <w:tcPr/>
                <w:p>
                  <w:pPr>
                    <w:pStyle w:val="Compact"/>
                    <w:jc w:val="left"/>
                    <w:jc w:val="center"/>
                  </w:pPr>
                  <w:r>
                    <w:t xml:space="preserve">Electronics</w:t>
                  </w:r>
                </w:p>
              </w:tc>
              <w:tc>
                <w:tcPr/>
                <w:p>
                  <w:pPr>
                    <w:pStyle w:val="Compact"/>
                    <w:jc w:val="left"/>
                    <w:jc w:val="center"/>
                  </w:pPr>
                  <w:r>
                    <w:t xml:space="preserve">Assembly &amp; Soldering</w:t>
                  </w:r>
                </w:p>
              </w:tc>
              <w:tc>
                <w:tcPr/>
                <w:p>
                  <w:pPr>
                    <w:pStyle w:val="Compact"/>
                    <w:jc w:val="left"/>
                    <w:jc w:val="center"/>
                  </w:pPr>
                  <w:r>
                    <w:t xml:space="preserve">0.1</w:t>
                  </w:r>
                </w:p>
              </w:tc>
              <w:tc>
                <w:tcPr/>
                <w:p>
                  <w:pPr>
                    <w:pStyle w:val="Compact"/>
                    <w:jc w:val="left"/>
                    <w:jc w:val="center"/>
                  </w:pPr>
                  <w:r>
                    <w:t xml:space="preserve">unit</w:t>
                  </w:r>
                </w:p>
              </w:tc>
              <w:tc>
                <w:tcPr/>
                <w:p>
                  <w:pPr>
                    <w:pStyle w:val="Compact"/>
                    <w:jc w:val="left"/>
                    <w:jc w:val="center"/>
                  </w:pPr>
                  <w:r>
                    <w:t xml:space="preserve">50.0</w:t>
                  </w:r>
                </w:p>
              </w:tc>
              <w:tc>
                <w:tcPr/>
                <w:p>
                  <w:pPr>
                    <w:pStyle w:val="Compact"/>
                    <w:jc w:val="left"/>
                    <w:jc w:val="center"/>
                  </w:pPr>
                  <w:r>
                    <w:t xml:space="preserve">5.00</w:t>
                  </w:r>
                </w:p>
              </w:tc>
            </w:tr>
            <w:tr>
              <w:tc>
                <w:tcPr/>
                <w:p>
                  <w:pPr>
                    <w:pStyle w:val="Compact"/>
                    <w:jc w:val="left"/>
                    <w:jc w:val="center"/>
                  </w:pPr>
                  <w:r>
                    <w:t xml:space="preserve">MAT004</w:t>
                  </w:r>
                </w:p>
              </w:tc>
              <w:tc>
                <w:tcPr/>
                <w:p>
                  <w:pPr>
                    <w:pStyle w:val="Compact"/>
                    <w:jc w:val="left"/>
                    <w:jc w:val="center"/>
                  </w:pPr>
                  <w:r>
                    <w:t xml:space="preserve">Copper Wiring</w:t>
                  </w:r>
                </w:p>
              </w:tc>
              <w:tc>
                <w:tcPr/>
                <w:p>
                  <w:pPr>
                    <w:pStyle w:val="Compact"/>
                    <w:jc w:val="left"/>
                    <w:jc w:val="center"/>
                  </w:pPr>
                  <w:r>
                    <w:t xml:space="preserve">Metal</w:t>
                  </w:r>
                </w:p>
              </w:tc>
              <w:tc>
                <w:tcPr/>
                <w:p>
                  <w:pPr>
                    <w:pStyle w:val="Compact"/>
                    <w:jc w:val="left"/>
                    <w:jc w:val="center"/>
                  </w:pPr>
                  <w:r>
                    <w:t xml:space="preserve">Drawing</w:t>
                  </w:r>
                </w:p>
              </w:tc>
              <w:tc>
                <w:tcPr/>
                <w:p>
                  <w:pPr>
                    <w:pStyle w:val="Compact"/>
                    <w:jc w:val="left"/>
                    <w:jc w:val="center"/>
                  </w:pPr>
                  <w:r>
                    <w:t xml:space="preserve">0.02</w:t>
                  </w:r>
                </w:p>
              </w:tc>
              <w:tc>
                <w:tcPr/>
                <w:p>
                  <w:pPr>
                    <w:pStyle w:val="Compact"/>
                    <w:jc w:val="left"/>
                    <w:jc w:val="center"/>
                  </w:pPr>
                  <w:r>
                    <w:t xml:space="preserve">kg</w:t>
                  </w:r>
                </w:p>
              </w:tc>
              <w:tc>
                <w:tcPr/>
                <w:p>
                  <w:pPr>
                    <w:pStyle w:val="Compact"/>
                    <w:jc w:val="left"/>
                    <w:jc w:val="center"/>
                  </w:pPr>
                  <w:r>
                    <w:t xml:space="preserve">2.5</w:t>
                  </w:r>
                </w:p>
              </w:tc>
              <w:tc>
                <w:tcPr/>
                <w:p>
                  <w:pPr>
                    <w:pStyle w:val="Compact"/>
                    <w:jc w:val="left"/>
                    <w:jc w:val="center"/>
                  </w:pPr>
                  <w:r>
                    <w:t xml:space="preserve">0.05</w:t>
                  </w:r>
                </w:p>
              </w:tc>
            </w:tr>
            <w:tr>
              <w:tc>
                <w:tcPr/>
                <w:p>
                  <w:pPr>
                    <w:pStyle w:val="Compact"/>
                    <w:jc w:val="left"/>
                    <w:jc w:val="center"/>
                  </w:pPr>
                  <w:r>
                    <w:t xml:space="preserve">MAT005</w:t>
                  </w:r>
                </w:p>
              </w:tc>
              <w:tc>
                <w:tcPr/>
                <w:p>
                  <w:pPr>
                    <w:pStyle w:val="Compact"/>
                    <w:jc w:val="left"/>
                    <w:jc w:val="center"/>
                  </w:pPr>
                  <w:r>
                    <w:t xml:space="preserve">Packaging (Cardboard)</w:t>
                  </w:r>
                </w:p>
              </w:tc>
              <w:tc>
                <w:tcPr/>
                <w:p>
                  <w:pPr>
                    <w:pStyle w:val="Compact"/>
                    <w:jc w:val="left"/>
                    <w:jc w:val="center"/>
                  </w:pPr>
                  <w:r>
                    <w:t xml:space="preserve">Paper/Fiber</w:t>
                  </w:r>
                </w:p>
              </w:tc>
              <w:tc>
                <w:tcPr/>
                <w:p>
                  <w:pPr>
                    <w:pStyle w:val="Compact"/>
                    <w:jc w:val="left"/>
                    <w:jc w:val="center"/>
                  </w:pPr>
                  <w:r>
                    <w:t xml:space="preserve">Pulping &amp; Forming</w:t>
                  </w:r>
                </w:p>
              </w:tc>
              <w:tc>
                <w:tcPr/>
                <w:p>
                  <w:pPr>
                    <w:pStyle w:val="Compact"/>
                    <w:jc w:val="left"/>
                    <w:jc w:val="center"/>
                  </w:pPr>
                  <w:r>
                    <w:t xml:space="preserve">0.15</w:t>
                  </w:r>
                </w:p>
              </w:tc>
              <w:tc>
                <w:tcPr/>
                <w:p>
                  <w:pPr>
                    <w:pStyle w:val="Compact"/>
                    <w:jc w:val="left"/>
                    <w:jc w:val="center"/>
                  </w:pPr>
                  <w:r>
                    <w:t xml:space="preserve">kg</w:t>
                  </w:r>
                </w:p>
              </w:tc>
              <w:tc>
                <w:tcPr/>
                <w:p>
                  <w:pPr>
                    <w:pStyle w:val="Compact"/>
                    <w:jc w:val="left"/>
                    <w:jc w:val="center"/>
                  </w:pPr>
                  <w:r>
                    <w:t xml:space="preserve">1.5</w:t>
                  </w:r>
                </w:p>
              </w:tc>
              <w:tc>
                <w:tcPr/>
                <w:p>
                  <w:pPr>
                    <w:pStyle w:val="Compact"/>
                    <w:jc w:val="left"/>
                    <w:jc w:val="center"/>
                  </w:pPr>
                  <w:r>
                    <w:t xml:space="preserve">0.23</w:t>
                  </w:r>
                </w:p>
              </w:tc>
            </w:tr>
          </w:tbl>
          <w:p/>
        </w:tc>
      </w:tr>
    </w:tbl>
    <w:p>
      <w:pPr>
        <w:pStyle w:val="ImageCaption"/>
      </w:pPr>
      <w:r>
        <w:t xml:space="preserve">Table 3.1: Illustrative Detailed Bill of Materials (BOM) for ddjffrodvr (based on structure of ihpflyrt)</w:t>
      </w:r>
    </w:p>
    <w:bookmarkEnd w:id="25"/>
    <w:bookmarkStart w:id="26" w:name="X9df5200b6a8569b4124b47fbb77dfe8334ad9fe"/>
    <w:p>
      <w:pPr>
        <w:pStyle w:val="Heading3"/>
      </w:pPr>
      <w:r>
        <w:t xml:space="preserve">3.2. Energy Inputs (Primary Data Sources: jmjzhvukei, zikdpusymu)</w:t>
      </w:r>
    </w:p>
    <w:p>
      <w:pPr>
        <w:numPr>
          <w:ilvl w:val="0"/>
          <w:numId w:val="1002"/>
        </w:numPr>
        <w:pStyle w:val="Compact"/>
      </w:pPr>
      <w:r>
        <w:rPr>
          <w:bCs/>
          <w:b/>
        </w:rPr>
        <w:t xml:space="preserve">Renewable Energy Usage (`jmjzhvukei`):</w:t>
      </w:r>
      <w:r>
        <w:t xml:space="preserve"> </w:t>
      </w:r>
      <w:r>
        <w:t xml:space="preserve">The proportion of renewable energy used in the manufacturing facility directly impacts Scope 2 emissions. For calculation purposes, we will assume an illustrative</w:t>
      </w:r>
      <w:r>
        <w:t xml:space="preserve"> </w:t>
      </w:r>
      <w:r>
        <w:rPr>
          <w:bCs/>
          <w:b/>
        </w:rPr>
        <w:t xml:space="preserve">60% renewable energy usage</w:t>
      </w:r>
      <w:r>
        <w:t xml:space="preserve">. This significantly reduces the carbon intensity of purchased electricity.</w:t>
      </w:r>
    </w:p>
    <w:p>
      <w:pPr>
        <w:numPr>
          <w:ilvl w:val="0"/>
          <w:numId w:val="1002"/>
        </w:numPr>
        <w:pStyle w:val="Compact"/>
      </w:pPr>
      <w:r>
        <w:rPr>
          <w:bCs/>
          <w:b/>
        </w:rPr>
        <w:t xml:space="preserve">Energy Intensity (`zikdpusymu`):</w:t>
      </w:r>
      <w:r>
        <w:t xml:space="preserve"> </w:t>
      </w:r>
      <w:r>
        <w:t xml:space="preserve">The energy consumed per functional unit during production is a key metric. We will use an illustrative</w:t>
      </w:r>
      <w:r>
        <w:t xml:space="preserve"> </w:t>
      </w:r>
      <w:r>
        <w:rPr>
          <w:bCs/>
          <w:b/>
        </w:rPr>
        <w:t xml:space="preserve">25 kWh/unit</w:t>
      </w:r>
      <w:r>
        <w:t xml:space="preserve"> </w:t>
      </w:r>
      <w:r>
        <w:t xml:space="preserve">for the manufacturing process of ddjffrodvr.</w:t>
      </w:r>
    </w:p>
    <w:p>
      <w:pPr>
        <w:numPr>
          <w:ilvl w:val="0"/>
          <w:numId w:val="1002"/>
        </w:numPr>
        <w:pStyle w:val="Compact"/>
      </w:pPr>
      <w:r>
        <w:rPr>
          <w:bCs/>
          <w:b/>
        </w:rPr>
        <w:t xml:space="preserve">Grid Electricity Emission Factor (China):</w:t>
      </w:r>
      <w:r>
        <w:t xml:space="preserve"> </w:t>
      </w:r>
      <w:r>
        <w:t xml:space="preserve">An industry-average grid electricity emission factor for China (e.g., ~0.7 kgCO2e/kWh for non-renewable portion) will be applied, adjusted by the renewable energy usage percentage.</w:t>
      </w:r>
    </w:p>
    <w:bookmarkEnd w:id="26"/>
    <w:bookmarkStart w:id="27" w:name="Xe00d2e774442194c901a7c677595cd80f005d01"/>
    <w:p>
      <w:pPr>
        <w:pStyle w:val="Heading3"/>
      </w:pPr>
      <w:r>
        <w:t xml:space="preserve">3.3. Logistics Data (Primary Data Sources: Select Mode, iejmewjvsy, Delivery Type)</w:t>
      </w:r>
    </w:p>
    <w:p>
      <w:pPr>
        <w:numPr>
          <w:ilvl w:val="0"/>
          <w:numId w:val="1003"/>
        </w:numPr>
        <w:pStyle w:val="Compact"/>
      </w:pPr>
      <w:r>
        <w:rPr>
          <w:bCs/>
          <w:b/>
        </w:rPr>
        <w:t xml:space="preserve">Transport Mode (`Select Mode`):</w:t>
      </w:r>
      <w:r>
        <w:t xml:space="preserve"> </w:t>
      </w:r>
      <w:r>
        <w:t xml:space="preserve">For inbound and outbound logistics, a specific mode is assumed. We will use an illustrative</w:t>
      </w:r>
      <w:r>
        <w:t xml:space="preserve"> </w:t>
      </w:r>
      <w:r>
        <w:rPr>
          <w:bCs/>
          <w:b/>
        </w:rPr>
        <w:t xml:space="preserve">Freight Truck (Long Haul)</w:t>
      </w:r>
      <w:r>
        <w:t xml:space="preserve"> </w:t>
      </w:r>
      <w:r>
        <w:t xml:space="preserve">for the primary transportation segments.</w:t>
      </w:r>
    </w:p>
    <w:p>
      <w:pPr>
        <w:numPr>
          <w:ilvl w:val="0"/>
          <w:numId w:val="1003"/>
        </w:numPr>
        <w:pStyle w:val="Compact"/>
      </w:pPr>
      <w:r>
        <w:rPr>
          <w:bCs/>
          <w:b/>
        </w:rPr>
        <w:t xml:space="preserve">Transport Distance (`iejmewjvsy`):</w:t>
      </w:r>
      <w:r>
        <w:t xml:space="preserve"> </w:t>
      </w:r>
      <w:r>
        <w:t xml:space="preserve">The total transport distance for key supply chain elements (e.g., from European suppliers to China manufacturing) is crucial. We will use an illustrative</w:t>
      </w:r>
      <w:r>
        <w:t xml:space="preserve"> </w:t>
      </w:r>
      <w:r>
        <w:rPr>
          <w:bCs/>
          <w:b/>
        </w:rPr>
        <w:t xml:space="preserve">1500 km</w:t>
      </w:r>
      <w:r>
        <w:t xml:space="preserve"> </w:t>
      </w:r>
      <w:r>
        <w:t xml:space="preserve">for primary transport flows.</w:t>
      </w:r>
    </w:p>
    <w:p>
      <w:pPr>
        <w:numPr>
          <w:ilvl w:val="0"/>
          <w:numId w:val="1003"/>
        </w:numPr>
        <w:pStyle w:val="Compact"/>
      </w:pPr>
      <w:r>
        <w:rPr>
          <w:bCs/>
          <w:b/>
        </w:rPr>
        <w:t xml:space="preserve">Last-Mile Delivery Channel (`Delivery Type`):</w:t>
      </w:r>
      <w:r>
        <w:t xml:space="preserve"> </w:t>
      </w:r>
      <w:r>
        <w:t xml:space="preserve">For delivery to the end-consumer, we will use an illustrative</w:t>
      </w:r>
      <w:r>
        <w:t xml:space="preserve"> </w:t>
      </w:r>
      <w:r>
        <w:rPr>
          <w:bCs/>
          <w:b/>
        </w:rPr>
        <w:t xml:space="preserve">Light Commercial Van (Parcel Delivery)</w:t>
      </w:r>
      <w:r>
        <w:t xml:space="preserve">.</w:t>
      </w:r>
    </w:p>
    <w:p>
      <w:pPr>
        <w:numPr>
          <w:ilvl w:val="0"/>
          <w:numId w:val="1003"/>
        </w:numPr>
        <w:pStyle w:val="Compact"/>
      </w:pPr>
      <w:r>
        <w:rPr>
          <w:bCs/>
          <w:b/>
        </w:rPr>
        <w:t xml:space="preserve">Transport Emission Factors:</w:t>
      </w:r>
      <w:r>
        <w:t xml:space="preserve"> </w:t>
      </w:r>
      <w:r>
        <w:t xml:space="preserve">Industry-standard emission factors for these transport modes (e.g., kgCO2e per tonne-kilometer for freight, or kgCO2e per package for last-mile) are applied. Illustrative factors used will be 0.1 kgCO2e/tkm for freight and 0.5 kgCO2e/delivery for last-mile.</w:t>
      </w:r>
    </w:p>
    <w:bookmarkEnd w:id="27"/>
    <w:bookmarkStart w:id="28" w:name="Xa5a1d7d782170f1d6cb55b6a55f3e1a226186f1"/>
    <w:p>
      <w:pPr>
        <w:pStyle w:val="Heading3"/>
      </w:pPr>
      <w:r>
        <w:t xml:space="preserve">3.4. Use Phase Data (Primary Data Sources: yjxuxhhois, pytfxqwwzs)</w:t>
      </w:r>
    </w:p>
    <w:p>
      <w:pPr>
        <w:numPr>
          <w:ilvl w:val="0"/>
          <w:numId w:val="1004"/>
        </w:numPr>
        <w:pStyle w:val="Compact"/>
      </w:pPr>
      <w:r>
        <w:rPr>
          <w:bCs/>
          <w:b/>
        </w:rPr>
        <w:t xml:space="preserve">Product Lifespan (`yjxuxhhois`):</w:t>
      </w:r>
      <w:r>
        <w:t xml:space="preserve"> </w:t>
      </w:r>
      <w:r>
        <w:t xml:space="preserve">The anticipated functional lifespan of ddjffrodvr. We will use an illustrative</w:t>
      </w:r>
      <w:r>
        <w:t xml:space="preserve"> </w:t>
      </w:r>
      <w:r>
        <w:rPr>
          <w:bCs/>
          <w:b/>
        </w:rPr>
        <w:t xml:space="preserve">5 years</w:t>
      </w:r>
      <w:r>
        <w:t xml:space="preserve">.</w:t>
      </w:r>
    </w:p>
    <w:p>
      <w:pPr>
        <w:numPr>
          <w:ilvl w:val="0"/>
          <w:numId w:val="1004"/>
        </w:numPr>
        <w:pStyle w:val="Compact"/>
      </w:pPr>
      <w:r>
        <w:rPr>
          <w:bCs/>
          <w:b/>
        </w:rPr>
        <w:t xml:space="preserve">Energy Consumption in Use (`pytfxqwwzs`):</w:t>
      </w:r>
      <w:r>
        <w:t xml:space="preserve"> </w:t>
      </w:r>
      <w:r>
        <w:t xml:space="preserve">The average energy consumed by the product during its lifespan. We will use an illustrative</w:t>
      </w:r>
      <w:r>
        <w:t xml:space="preserve"> </w:t>
      </w:r>
      <w:r>
        <w:rPr>
          <w:bCs/>
          <w:b/>
        </w:rPr>
        <w:t xml:space="preserve">10 kWh/year</w:t>
      </w:r>
      <w:r>
        <w:t xml:space="preserve">.</w:t>
      </w:r>
    </w:p>
    <w:bookmarkEnd w:id="28"/>
    <w:bookmarkStart w:id="29" w:name="Xf4927f82653b2e8c7c65b45ea246d81ab5092eb"/>
    <w:p>
      <w:pPr>
        <w:pStyle w:val="Heading3"/>
      </w:pPr>
      <w:r>
        <w:t xml:space="preserve">3.5. End-of-Life (EoL) Scenarios (Primary Data Sources: hvztoggvso, vuiwdsyxyk)</w:t>
      </w:r>
    </w:p>
    <w:p>
      <w:pPr>
        <w:numPr>
          <w:ilvl w:val="0"/>
          <w:numId w:val="1005"/>
        </w:numPr>
        <w:pStyle w:val="Compact"/>
      </w:pPr>
      <w:r>
        <w:rPr>
          <w:bCs/>
          <w:b/>
        </w:rPr>
        <w:t xml:space="preserve">Recyclability Percentage (`hvztoggvso`):</w:t>
      </w:r>
      <w:r>
        <w:t xml:space="preserve"> </w:t>
      </w:r>
      <w:r>
        <w:t xml:space="preserve">The percentage of the product\'s mass that is considered recyclable. We will use an illustrative</w:t>
      </w:r>
      <w:r>
        <w:t xml:space="preserve"> </w:t>
      </w:r>
      <w:r>
        <w:rPr>
          <w:bCs/>
          <w:b/>
        </w:rPr>
        <w:t xml:space="preserve">70% recyclability</w:t>
      </w:r>
      <w:r>
        <w:t xml:space="preserve">.</w:t>
      </w:r>
    </w:p>
    <w:p>
      <w:pPr>
        <w:numPr>
          <w:ilvl w:val="0"/>
          <w:numId w:val="1005"/>
        </w:numPr>
        <w:pStyle w:val="Compact"/>
      </w:pPr>
      <w:r>
        <w:rPr>
          <w:bCs/>
          <w:b/>
        </w:rPr>
        <w:t xml:space="preserve">Circular/Take-back Programs (`vuiwdsyxyk`):</w:t>
      </w:r>
      <w:r>
        <w:t xml:space="preserve"> </w:t>
      </w:r>
      <w:r>
        <w:t xml:space="preserve">The existence of these programs (e.g., return schemes, repair services) influences the actual end-of-life fate and potential for closed-loop material flows. The presence of such programs is acknowledged as a positive factor, potentially reducing virgin material demand and associated emissions.</w:t>
      </w:r>
    </w:p>
    <w:p>
      <w:pPr>
        <w:numPr>
          <w:ilvl w:val="0"/>
          <w:numId w:val="1005"/>
        </w:numPr>
        <w:pStyle w:val="Compact"/>
      </w:pPr>
      <w:r>
        <w:rPr>
          <w:bCs/>
          <w:b/>
        </w:rPr>
        <w:t xml:space="preserve">EoL Emission Factors/Credits:</w:t>
      </w:r>
      <w:r>
        <w:t xml:space="preserve"> </w:t>
      </w:r>
      <w:r>
        <w:t xml:space="preserve">Emissions associated with disposal (e.g., landfill, incineration) and credits for recycled materials (avoided virgin material production) are applied. An illustrative recycling credit of -0.5 kgCO2e/kg for recycled materials will be considered.</w:t>
      </w:r>
    </w:p>
    <w:p>
      <w:r>
        <w:pict>
          <v:rect style="width:0;height:1.5pt" o:hralign="center" o:hrstd="t" o:hr="t"/>
        </w:pict>
      </w:r>
    </w:p>
    <w:bookmarkEnd w:id="29"/>
    <w:bookmarkEnd w:id="30"/>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 Scopes. Industry-standard emission factors (e.g., Ecoinvent, DEFRA) are applied, using the collected data. The results are expressed in kilograms of carbon dioxide equivalent (kgCO2e).</w:t>
      </w:r>
    </w:p>
    <w:bookmarkStart w:id="31" w:name="scope-1-direct-emissions"/>
    <w:p>
      <w:pPr>
        <w:pStyle w:val="Heading3"/>
      </w:pPr>
      <w:r>
        <w:t xml:space="preserve">4.1. Scope 1: Direct Emissions</w:t>
      </w:r>
    </w:p>
    <w:p>
      <w:pPr>
        <w:pStyle w:val="FirstParagraph"/>
      </w:pPr>
      <w:r>
        <w:t xml:space="preserve">Scope 1 emissions arise from sources owned or controlled by ijxnwlrnvs at the manufacturing facility. For ddjffrodvr, this typically includes on-site fuel combustion for heating or processes, and any direct process emissions not covered by purchased energy. Based on the provided parameters, specific on-site fuel consumption data was not given, so direct process emissions would be the primary focus if relevant. For this analysis, we will assume minimal direct process emissions, but would quantify them if specific data were available.</w:t>
      </w:r>
    </w:p>
    <w:p>
      <w:pPr>
        <w:numPr>
          <w:ilvl w:val="0"/>
          <w:numId w:val="1006"/>
        </w:numPr>
        <w:pStyle w:val="Compact"/>
      </w:pPr>
      <w:r>
        <w:rPr>
          <w:bCs/>
          <w:b/>
        </w:rPr>
        <w:t xml:space="preserve">Illustrative Example:</w:t>
      </w:r>
      <w:r>
        <w:t xml:space="preserve"> </w:t>
      </w:r>
      <w:r>
        <w:t xml:space="preserve">If there were minor direct process emissions (e.g., from specific chemical reactions not tied to energy input), they would be calculated here. Let\'s assume negligible Scope 1 emissions for ddjffrodvr\'s production based on available parameters.</w:t>
      </w:r>
    </w:p>
    <w:bookmarkEnd w:id="31"/>
    <w:bookmarkStart w:id="32" w:name="scope-2-purchased-energy-emissions"/>
    <w:p>
      <w:pPr>
        <w:pStyle w:val="Heading3"/>
      </w:pPr>
      <w:r>
        <w:t xml:space="preserve">4.2. Scope 2: Purchased Energy Emissions</w:t>
      </w:r>
    </w:p>
    <w:p>
      <w:pPr>
        <w:pStyle w:val="FirstParagraph"/>
      </w:pPr>
      <w:r>
        <w:t xml:space="preserve">Scope 2 emissions are indirect emissions from the generation of purchased electricity, heat, or steam consumed by ijxnwlrnvs. This is calculated using the energy intensity and the emission factor of the electricity grid, adjusted by renewable energy usage.</w:t>
      </w:r>
    </w:p>
    <w:p>
      <w:pPr>
        <w:numPr>
          <w:ilvl w:val="0"/>
          <w:numId w:val="1007"/>
        </w:numPr>
        <w:pStyle w:val="Compact"/>
      </w:pPr>
      <w:r>
        <w:rPr>
          <w:bCs/>
          <w:b/>
        </w:rPr>
        <w:t xml:space="preserve">Energy Consumption:</w:t>
      </w:r>
      <w:r>
        <w:t xml:space="preserve"> </w:t>
      </w:r>
      <w:r>
        <w:t xml:space="preserve">25 kWh/unit (from `zikdpusymu`)</w:t>
      </w:r>
    </w:p>
    <w:p>
      <w:pPr>
        <w:numPr>
          <w:ilvl w:val="0"/>
          <w:numId w:val="1007"/>
        </w:numPr>
        <w:pStyle w:val="Compact"/>
      </w:pPr>
      <w:r>
        <w:rPr>
          <w:bCs/>
          <w:b/>
        </w:rPr>
        <w:t xml:space="preserve">Illustrative Grid Emission Factor (China, market-based):</w:t>
      </w:r>
      <w:r>
        <w:t xml:space="preserve"> </w:t>
      </w:r>
      <w:r>
        <w:t xml:space="preserve">0.7 kgCO2e/kWh (for non-renewable portion)</w:t>
      </w:r>
    </w:p>
    <w:p>
      <w:pPr>
        <w:numPr>
          <w:ilvl w:val="0"/>
          <w:numId w:val="1007"/>
        </w:numPr>
        <w:pStyle w:val="Compact"/>
      </w:pPr>
      <w:r>
        <w:rPr>
          <w:bCs/>
          <w:b/>
        </w:rPr>
        <w:t xml:space="preserve">Renewable Energy Usage:</w:t>
      </w:r>
      <w:r>
        <w:t xml:space="preserve"> </w:t>
      </w:r>
      <w:r>
        <w:t xml:space="preserve">60% (from `jmjzhvukei`)</w:t>
      </w:r>
    </w:p>
    <w:p>
      <w:pPr>
        <w:numPr>
          <w:ilvl w:val="0"/>
          <w:numId w:val="1007"/>
        </w:numPr>
        <w:pStyle w:val="Compact"/>
      </w:pPr>
      <w:r>
        <w:rPr>
          <w:bCs/>
          <w:b/>
        </w:rPr>
        <w:t xml:space="preserve">Non-renewable Electricity Consumption:</w:t>
      </w:r>
      <w:r>
        <w:t xml:space="preserve"> </w:t>
      </w:r>
      <w:r>
        <w:t xml:space="preserve">25 kWh/unit * (1 - 0.60) = 10 kWh/unit</w:t>
      </w:r>
    </w:p>
    <w:p>
      <w:pPr>
        <w:numPr>
          <w:ilvl w:val="0"/>
          <w:numId w:val="1007"/>
        </w:numPr>
        <w:pStyle w:val="Compact"/>
      </w:pPr>
      <w:r>
        <w:rPr>
          <w:bCs/>
          <w:b/>
        </w:rPr>
        <w:t xml:space="preserve">Scope 2 Emissions:</w:t>
      </w:r>
      <w:r>
        <w:t xml:space="preserve"> </w:t>
      </w:r>
      <w:r>
        <w:t xml:space="preserve">10 kWh/unit * 0.7 kgCO2e/kWh =</w:t>
      </w:r>
      <w:r>
        <w:t xml:space="preserve"> </w:t>
      </w:r>
      <w:r>
        <w:rPr>
          <w:bCs/>
          <w:b/>
        </w:rPr>
        <w:t xml:space="preserve">7.0 kgCO2e/unit</w:t>
      </w:r>
    </w:p>
    <w:bookmarkEnd w:id="32"/>
    <w:bookmarkStart w:id="36" w:name="X64141f0fc6f02d361485f831cff77b5774a3e00"/>
    <w:p>
      <w:pPr>
        <w:pStyle w:val="Heading3"/>
      </w:pPr>
      <w:r>
        <w:t xml:space="preserve">4.3. Scope 3: Value Chain Emissions (covering &gt;95% as per 2026 requirements)</w:t>
      </w:r>
    </w:p>
    <w:p>
      <w:pPr>
        <w:pStyle w:val="FirstParagraph"/>
      </w:pPr>
      <w:r>
        <w:t xml:space="preserve">Scope 3 emissions are all other indirect emissions that occur in the value chain of ddjffrodvr. Ensuring at least 95% coverage is crucial for 2026 GHG Protocol compliance.</w:t>
      </w:r>
    </w:p>
    <w:bookmarkStart w:id="33" w:name="Xc54d8931bce2591db296abde266ee6c759a7c2d"/>
    <w:p>
      <w:pPr>
        <w:pStyle w:val="Heading4"/>
      </w:pPr>
      <w:r>
        <w:t xml:space="preserve">4.3.1. Upstream Emissions (Cradle-to-Gate elements before factory)</w:t>
      </w:r>
    </w:p>
    <w:p>
      <w:pPr>
        <w:numPr>
          <w:ilvl w:val="0"/>
          <w:numId w:val="1008"/>
        </w:numPr>
        <w:pStyle w:val="Compact"/>
      </w:pPr>
      <w:r>
        <w:rPr>
          <w:bCs/>
          <w:b/>
        </w:rPr>
        <w:t xml:space="preserve">Materials Acquisition &amp; Pre-processing (Category 1: Purchased Goods and Services):</w:t>
      </w:r>
    </w:p>
    <w:p>
      <w:pPr>
        <w:numPr>
          <w:ilvl w:val="1"/>
          <w:numId w:val="1009"/>
        </w:numPr>
        <w:pStyle w:val="Compact"/>
      </w:pPr>
      <w:r>
        <w:t xml:space="preserve">Calculated directly from the illustrative BOM (Table 3.1).</w:t>
      </w:r>
    </w:p>
    <w:p>
      <w:pPr>
        <w:numPr>
          <w:ilvl w:val="1"/>
          <w:numId w:val="1009"/>
        </w:numPr>
        <w:pStyle w:val="Compact"/>
      </w:pPr>
      <w:r>
        <w:t xml:space="preserve">Total Carbon from BOM: 6.00 + 1.05 + 5.00 + 0.05 + 0.23 =</w:t>
      </w:r>
      <w:r>
        <w:t xml:space="preserve"> </w:t>
      </w:r>
      <w:r>
        <w:rPr>
          <w:bCs/>
          <w:b/>
        </w:rPr>
        <w:t xml:space="preserve">12.33 kgCO2e/unit</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Illustrative Transport Mode: Freight Truck (Long Haul) (from `Select Mode`)</w:t>
      </w:r>
    </w:p>
    <w:p>
      <w:pPr>
        <w:numPr>
          <w:ilvl w:val="1"/>
          <w:numId w:val="1010"/>
        </w:numPr>
        <w:pStyle w:val="Compact"/>
      </w:pPr>
      <w:r>
        <w:t xml:space="preserve">Illustrative Transport Distance: 1500 km (from `iejmewjvsy`)</w:t>
      </w:r>
    </w:p>
    <w:p>
      <w:pPr>
        <w:numPr>
          <w:ilvl w:val="1"/>
          <w:numId w:val="1010"/>
        </w:numPr>
        <w:pStyle w:val="Compact"/>
      </w:pPr>
      <w:r>
        <w:t xml:space="preserve">Illustrative Product Mass for Transport: Assume 1.0 kg/unit (based on BOM total approx.)</w:t>
      </w:r>
    </w:p>
    <w:p>
      <w:pPr>
        <w:numPr>
          <w:ilvl w:val="1"/>
          <w:numId w:val="1010"/>
        </w:numPr>
        <w:pStyle w:val="Compact"/>
      </w:pPr>
      <w:r>
        <w:t xml:space="preserve">Illustrative Emission Factor for Freight Truck: 0.1 kgCO2e/tonne-km</w:t>
      </w:r>
    </w:p>
    <w:p>
      <w:pPr>
        <w:numPr>
          <w:ilvl w:val="1"/>
          <w:numId w:val="1010"/>
        </w:numPr>
        <w:pStyle w:val="Compact"/>
      </w:pPr>
      <w:r>
        <w:rPr>
          <w:bCs/>
          <w:b/>
        </w:rPr>
        <w:t xml:space="preserve">Scope 3 Upstream Transport Emissions:</w:t>
      </w:r>
      <w:r>
        <w:t xml:space="preserve"> </w:t>
      </w:r>
      <w:r>
        <w:t xml:space="preserve">(1.0 kg / 1000 kg/tonne) * 1500 km * 0.1 kgCO2e/tonne-km =</w:t>
      </w:r>
      <w:r>
        <w:t xml:space="preserve"> </w:t>
      </w:r>
      <w:r>
        <w:rPr>
          <w:bCs/>
          <w:b/>
        </w:rPr>
        <w:t xml:space="preserve">0.15 kgCO2e/unit</w:t>
      </w:r>
    </w:p>
    <w:bookmarkEnd w:id="33"/>
    <w:bookmarkStart w:id="34" w:name="downstream-emissions-after-factory-gate"/>
    <w:p>
      <w:pPr>
        <w:pStyle w:val="Heading4"/>
      </w:pPr>
      <w:r>
        <w:t xml:space="preserve">4.3.2. Downstream Emissions (After Factory Gate)</w:t>
      </w:r>
    </w:p>
    <w:p>
      <w:pPr>
        <w:numPr>
          <w:ilvl w:val="0"/>
          <w:numId w:val="1011"/>
        </w:numPr>
        <w:pStyle w:val="Compact"/>
      </w:pPr>
      <w:r>
        <w:rPr>
          <w:bCs/>
          <w:b/>
        </w:rPr>
        <w:t xml:space="preserve">Downstream Transportation &amp; Last-Mile Delivery (Category 9: Downstream Transportation and Distribution):</w:t>
      </w:r>
    </w:p>
    <w:p>
      <w:pPr>
        <w:numPr>
          <w:ilvl w:val="1"/>
          <w:numId w:val="1012"/>
        </w:numPr>
        <w:pStyle w:val="Compact"/>
      </w:pPr>
      <w:r>
        <w:t xml:space="preserve">Illustrative Last-Mile Delivery Channel: Light Commercial Van (Parcel Delivery) (from `Delivery Type`)</w:t>
      </w:r>
    </w:p>
    <w:p>
      <w:pPr>
        <w:numPr>
          <w:ilvl w:val="1"/>
          <w:numId w:val="1012"/>
        </w:numPr>
        <w:pStyle w:val="Compact"/>
      </w:pPr>
      <w:r>
        <w:t xml:space="preserve">Illustrative Emission Factor for Last-Mile: 0.5 kgCO2e/delivery</w:t>
      </w:r>
    </w:p>
    <w:p>
      <w:pPr>
        <w:numPr>
          <w:ilvl w:val="1"/>
          <w:numId w:val="1012"/>
        </w:numPr>
        <w:pStyle w:val="Compact"/>
      </w:pPr>
      <w:r>
        <w:rPr>
          <w:bCs/>
          <w:b/>
        </w:rPr>
        <w:t xml:space="preserve">Scope 3 Downstream Transport Emissions:</w:t>
      </w:r>
      <w:r>
        <w:t xml:space="preserve"> </w:t>
      </w:r>
      <w:r>
        <w:rPr>
          <w:bCs/>
          <w:b/>
        </w:rPr>
        <w:t xml:space="preserve">0.50 kgCO2e/unit</w:t>
      </w:r>
    </w:p>
    <w:p>
      <w:pPr>
        <w:numPr>
          <w:ilvl w:val="0"/>
          <w:numId w:val="1011"/>
        </w:numPr>
        <w:pStyle w:val="Compact"/>
      </w:pPr>
      <w:r>
        <w:rPr>
          <w:bCs/>
          <w:b/>
        </w:rPr>
        <w:t xml:space="preserve">Use Phase (Category 11: Use of Sold Products):</w:t>
      </w:r>
    </w:p>
    <w:p>
      <w:pPr>
        <w:numPr>
          <w:ilvl w:val="1"/>
          <w:numId w:val="1013"/>
        </w:numPr>
        <w:pStyle w:val="Compact"/>
      </w:pPr>
      <w:r>
        <w:t xml:space="preserve">Illustrative Product Lifespan: 5 years (from `yjxuxhhois`)</w:t>
      </w:r>
    </w:p>
    <w:p>
      <w:pPr>
        <w:numPr>
          <w:ilvl w:val="1"/>
          <w:numId w:val="1013"/>
        </w:numPr>
        <w:pStyle w:val="Compact"/>
      </w:pPr>
      <w:r>
        <w:t xml:space="preserve">Illustrative Energy Consumption in Use: 10 kWh/year (from `pytfxqwwzs`)</w:t>
      </w:r>
    </w:p>
    <w:p>
      <w:pPr>
        <w:numPr>
          <w:ilvl w:val="1"/>
          <w:numId w:val="1013"/>
        </w:numPr>
        <w:pStyle w:val="Compact"/>
      </w:pPr>
      <w:r>
        <w:t xml:space="preserve">Illustrative Grid Emission Factor (assuming average consumption from global grid): 0.5 kgCO2e/kWh (generic average)</w:t>
      </w:r>
    </w:p>
    <w:p>
      <w:pPr>
        <w:numPr>
          <w:ilvl w:val="1"/>
          <w:numId w:val="1013"/>
        </w:numPr>
        <w:pStyle w:val="Compact"/>
      </w:pPr>
      <w:r>
        <w:rPr>
          <w:bCs/>
          <w:b/>
        </w:rPr>
        <w:t xml:space="preserve">Scope 3 Use Phase Emissions:</w:t>
      </w:r>
      <w:r>
        <w:t xml:space="preserve"> </w:t>
      </w:r>
      <w:r>
        <w:t xml:space="preserve">10 kWh/year * 5 years * 0.5 kgCO2e/kWh =</w:t>
      </w:r>
      <w:r>
        <w:t xml:space="preserve"> </w:t>
      </w:r>
      <w:r>
        <w:rPr>
          <w:bCs/>
          <w:b/>
        </w:rPr>
        <w:t xml:space="preserve">25.0 kgCO2e/unit</w:t>
      </w:r>
    </w:p>
    <w:p>
      <w:pPr>
        <w:numPr>
          <w:ilvl w:val="0"/>
          <w:numId w:val="1011"/>
        </w:numPr>
        <w:pStyle w:val="Compact"/>
      </w:pPr>
      <w:r>
        <w:rPr>
          <w:bCs/>
          <w:b/>
        </w:rPr>
        <w:t xml:space="preserve">End-of-Life Treatment (Category 12: End-of-Life Treatment of Sold Products):</w:t>
      </w:r>
    </w:p>
    <w:p>
      <w:pPr>
        <w:numPr>
          <w:ilvl w:val="1"/>
          <w:numId w:val="1014"/>
        </w:numPr>
        <w:pStyle w:val="Compact"/>
      </w:pPr>
      <w:r>
        <w:t xml:space="preserve">Illustrative Recyclability Percentage: 70% (from `hvztoggvso`)</w:t>
      </w:r>
    </w:p>
    <w:p>
      <w:pPr>
        <w:numPr>
          <w:ilvl w:val="1"/>
          <w:numId w:val="1014"/>
        </w:numPr>
        <w:pStyle w:val="Compact"/>
      </w:pPr>
      <w:r>
        <w:t xml:space="preserve">Total Product Mass: Approximately 1.0 kg/unit (based on BOM)</w:t>
      </w:r>
    </w:p>
    <w:p>
      <w:pPr>
        <w:numPr>
          <w:ilvl w:val="1"/>
          <w:numId w:val="1014"/>
        </w:numPr>
        <w:pStyle w:val="Compact"/>
      </w:pPr>
      <w:r>
        <w:t xml:space="preserve">Recycled Mass: 1.0 kg * 0.70 = 0.7 kg</w:t>
      </w:r>
    </w:p>
    <w:p>
      <w:pPr>
        <w:numPr>
          <w:ilvl w:val="1"/>
          <w:numId w:val="1014"/>
        </w:numPr>
        <w:pStyle w:val="Compact"/>
      </w:pPr>
      <w:r>
        <w:t xml:space="preserve">Disposed Mass (landfill/incineration): 1.0 kg * 0.30 = 0.3 kg</w:t>
      </w:r>
    </w:p>
    <w:p>
      <w:pPr>
        <w:numPr>
          <w:ilvl w:val="1"/>
          <w:numId w:val="1014"/>
        </w:numPr>
        <w:pStyle w:val="Compact"/>
      </w:pPr>
      <w:r>
        <w:t xml:space="preserve">Illustrative Recycling Credit: -0.5 kgCO2e/kg for recycled materials (avoided virgin production)</w:t>
      </w:r>
    </w:p>
    <w:p>
      <w:pPr>
        <w:numPr>
          <w:ilvl w:val="1"/>
          <w:numId w:val="1014"/>
        </w:numPr>
        <w:pStyle w:val="Compact"/>
      </w:pPr>
      <w:r>
        <w:t xml:space="preserve">Illustrative Disposal Emission Factor: 1.0 kgCO2e/kg for disposed material (e.g., landfill/incineration)</w:t>
      </w:r>
    </w:p>
    <w:p>
      <w:pPr>
        <w:numPr>
          <w:ilvl w:val="1"/>
          <w:numId w:val="1014"/>
        </w:numPr>
        <w:pStyle w:val="Compact"/>
      </w:pPr>
      <w:r>
        <w:rPr>
          <w:bCs/>
          <w:b/>
        </w:rPr>
        <w:t xml:space="preserve">Scope 3 EoL Emissions/Credits:</w:t>
      </w:r>
      <w:r>
        <w:t xml:space="preserve"> </w:t>
      </w:r>
      <w:r>
        <w:t xml:space="preserve">(0.7 kg * -0.5 kgCO2e/kg) + (0.3 kg * 1.0 kgCO2e/kg) = -0.35 + 0.3 =</w:t>
      </w:r>
      <w:r>
        <w:t xml:space="preserve"> </w:t>
      </w:r>
      <w:r>
        <w:rPr>
          <w:bCs/>
          <w:b/>
        </w:rPr>
        <w:t xml:space="preserve">-0.05 kgCO2e/unit</w:t>
      </w:r>
      <w:r>
        <w:t xml:space="preserve"> </w:t>
      </w:r>
      <w:r>
        <w:t xml:space="preserve">(Net credit, assuming efficient recycling and disposal management)</w:t>
      </w:r>
    </w:p>
    <w:p>
      <w:pPr>
        <w:numPr>
          <w:ilvl w:val="1"/>
          <w:numId w:val="1014"/>
        </w:numPr>
        <w:pStyle w:val="Compact"/>
      </w:pPr>
      <w:r>
        <w:rPr>
          <w:bCs/>
          <w:b/>
        </w:rPr>
        <w:t xml:space="preserve">Circular/Take-back Programs (`vuiwdsyxyk`):</w:t>
      </w:r>
      <w:r>
        <w:t xml:space="preserve"> </w:t>
      </w:r>
      <w:r>
        <w:t xml:space="preserve">The existence of these programs further enhances the potential for recycling credits and material circularity, effectively reducing the net EoL emissions.</w:t>
      </w:r>
    </w:p>
    <w:bookmarkEnd w:id="34"/>
    <w:bookmarkStart w:id="35" w:name="X8dc2661ce8098aa2ae7ad068c57a587c9fce42b"/>
    <w:p>
      <w:pPr>
        <w:pStyle w:val="Heading4"/>
      </w:pPr>
      <w:r>
        <w:t xml:space="preserve">4.3.3. Application of 2026 LSR Standard (Land Sector and Removals)</w:t>
      </w:r>
    </w:p>
    <w:p>
      <w:pPr>
        <w:pStyle w:val="FirstParagraph"/>
      </w:pPr>
      <w:r>
        <w:t xml:space="preserve">The 2026 LSR Standard for land use and carbon removals is integrated by considering any land-use change emissions or removals associated with raw material sourcing (e.g., bio-based materials, deforestation impacts). While specific data for ddjffrodvr\'s land-use footprint was not provided, future iterations should quantify these if applicable. Currently, any LULUCF (Land Use, Land-Use Change, and Forestry) impacts from virgin material acquisition would be implicitly captured in the \'Emission Factor\' of the raw materials, or explicitly quantified if direct land-use change data (e.g., for bio-based plastic feedstocks) were available. For this report, the principles of LSR are acknowledged, ensuring that land-based emissions and removals would be separately identified and reported if specific data became available.</w:t>
      </w:r>
    </w:p>
    <w:bookmarkEnd w:id="35"/>
    <w:bookmarkEnd w:id="36"/>
    <w:bookmarkStart w:id="37" w:name="total-product-carbon-footprint-summary"/>
    <w:p>
      <w:pPr>
        <w:pStyle w:val="Heading3"/>
      </w:pPr>
      <w:r>
        <w:t xml:space="preserve">4.4. Total Product Carbon Footprint Summary</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jc w:val="center"/>
                  </w:pPr>
                  <w:r>
                    <w:t xml:space="preserve">GHG Scope / Category</w:t>
                  </w:r>
                </w:p>
              </w:tc>
              <w:tc>
                <w:tcPr/>
                <w:p>
                  <w:pPr>
                    <w:pStyle w:val="Compact"/>
                    <w:jc w:val="left"/>
                    <w:jc w:val="center"/>
                  </w:pPr>
                  <w:r>
                    <w:t xml:space="preserve">Emissions (kgCO2e/unit)</w:t>
                  </w:r>
                </w:p>
              </w:tc>
            </w:tr>
            <w:tr>
              <w:tc>
                <w:tcPr/>
                <w:p>
                  <w:pPr>
                    <w:pStyle w:val="Compact"/>
                    <w:jc w:val="left"/>
                    <w:jc w:val="center"/>
                  </w:pPr>
                  <w:r>
                    <w:rPr>
                      <w:bCs/>
                      <w:b/>
                    </w:rPr>
                    <w:t xml:space="preserve">Scope 1: Direct Emissions</w:t>
                  </w:r>
                </w:p>
              </w:tc>
              <w:tc>
                <w:tcPr/>
                <w:p>
                  <w:pPr>
                    <w:pStyle w:val="Compact"/>
                    <w:jc w:val="left"/>
                    <w:jc w:val="center"/>
                  </w:pPr>
                  <w:r>
                    <w:t xml:space="preserve">0.00 (Assumed negligible)</w:t>
                  </w:r>
                </w:p>
              </w:tc>
            </w:tr>
            <w:tr>
              <w:tc>
                <w:tcPr/>
                <w:p>
                  <w:pPr>
                    <w:pStyle w:val="Compact"/>
                    <w:jc w:val="left"/>
                    <w:jc w:val="center"/>
                  </w:pPr>
                  <w:r>
                    <w:rPr>
                      <w:bCs/>
                      <w:b/>
                    </w:rPr>
                    <w:t xml:space="preserve">Scope 2: Purchased Energy (Manufacturing)</w:t>
                  </w:r>
                </w:p>
              </w:tc>
              <w:tc>
                <w:tcPr/>
                <w:p>
                  <w:pPr>
                    <w:pStyle w:val="Compact"/>
                    <w:jc w:val="left"/>
                    <w:jc w:val="center"/>
                  </w:pPr>
                  <w:r>
                    <w:t xml:space="preserve">7.00</w:t>
                  </w:r>
                </w:p>
              </w:tc>
            </w:tr>
            <w:tr>
              <w:tc>
                <w:tcPr/>
                <w:p>
                  <w:pPr>
                    <w:pStyle w:val="Compact"/>
                    <w:jc w:val="left"/>
                    <w:jc w:val="center"/>
                  </w:pPr>
                  <w:r>
                    <w:rPr>
                      <w:bCs/>
                      <w:b/>
                    </w:rPr>
                    <w:t xml:space="preserve">Scope 3: Upstream Materials Acquisition</w:t>
                  </w:r>
                </w:p>
              </w:tc>
              <w:tc>
                <w:tcPr/>
                <w:p>
                  <w:pPr>
                    <w:pStyle w:val="Compact"/>
                    <w:jc w:val="left"/>
                    <w:jc w:val="center"/>
                  </w:pPr>
                  <w:r>
                    <w:t xml:space="preserve">12.33</w:t>
                  </w:r>
                </w:p>
              </w:tc>
            </w:tr>
            <w:tr>
              <w:tc>
                <w:tcPr/>
                <w:p>
                  <w:pPr>
                    <w:pStyle w:val="Compact"/>
                    <w:jc w:val="left"/>
                    <w:jc w:val="center"/>
                  </w:pPr>
                  <w:r>
                    <w:rPr>
                      <w:bCs/>
                      <w:b/>
                    </w:rPr>
                    <w:t xml:space="preserve">Scope 3: Upstream Transportation</w:t>
                  </w:r>
                </w:p>
              </w:tc>
              <w:tc>
                <w:tcPr/>
                <w:p>
                  <w:pPr>
                    <w:pStyle w:val="Compact"/>
                    <w:jc w:val="left"/>
                    <w:jc w:val="center"/>
                  </w:pPr>
                  <w:r>
                    <w:t xml:space="preserve">0.15</w:t>
                  </w:r>
                </w:p>
              </w:tc>
            </w:tr>
            <w:tr>
              <w:tc>
                <w:tcPr/>
                <w:p>
                  <w:pPr>
                    <w:pStyle w:val="Compact"/>
                    <w:jc w:val="left"/>
                    <w:jc w:val="center"/>
                  </w:pPr>
                  <w:r>
                    <w:rPr>
                      <w:bCs/>
                      <w:b/>
                    </w:rPr>
                    <w:t xml:space="preserve">Scope 3: Downstream Transportation &amp; Last-Mile</w:t>
                  </w:r>
                </w:p>
              </w:tc>
              <w:tc>
                <w:tcPr/>
                <w:p>
                  <w:pPr>
                    <w:pStyle w:val="Compact"/>
                    <w:jc w:val="left"/>
                    <w:jc w:val="center"/>
                  </w:pPr>
                  <w:r>
                    <w:t xml:space="preserve">0.50</w:t>
                  </w:r>
                </w:p>
              </w:tc>
            </w:tr>
            <w:tr>
              <w:tc>
                <w:tcPr/>
                <w:p>
                  <w:pPr>
                    <w:pStyle w:val="Compact"/>
                    <w:jc w:val="left"/>
                    <w:jc w:val="center"/>
                  </w:pPr>
                  <w:r>
                    <w:rPr>
                      <w:bCs/>
                      <w:b/>
                    </w:rPr>
                    <w:t xml:space="preserve">Scope 3: Use Phase</w:t>
                  </w:r>
                </w:p>
              </w:tc>
              <w:tc>
                <w:tcPr/>
                <w:p>
                  <w:pPr>
                    <w:pStyle w:val="Compact"/>
                    <w:jc w:val="left"/>
                    <w:jc w:val="center"/>
                  </w:pPr>
                  <w:r>
                    <w:t xml:space="preserve">25.00</w:t>
                  </w:r>
                </w:p>
              </w:tc>
            </w:tr>
            <w:tr>
              <w:tc>
                <w:tcPr/>
                <w:p>
                  <w:pPr>
                    <w:pStyle w:val="Compact"/>
                    <w:jc w:val="left"/>
                    <w:jc w:val="center"/>
                  </w:pPr>
                  <w:r>
                    <w:rPr>
                      <w:bCs/>
                      <w:b/>
                    </w:rPr>
                    <w:t xml:space="preserve">Scope 3: End-of-Life Treatment</w:t>
                  </w:r>
                </w:p>
              </w:tc>
              <w:tc>
                <w:tcPr/>
                <w:p>
                  <w:pPr>
                    <w:pStyle w:val="Compact"/>
                    <w:jc w:val="left"/>
                    <w:jc w:val="center"/>
                  </w:pPr>
                  <w:r>
                    <w:t xml:space="preserve">-0.05</w:t>
                  </w:r>
                </w:p>
              </w:tc>
            </w:tr>
            <w:tr>
              <w:tc>
                <w:tcPr/>
                <w:p>
                  <w:pPr>
                    <w:pStyle w:val="Compact"/>
                    <w:jc w:val="left"/>
                    <w:jc w:val="center"/>
                  </w:pPr>
                  <w:r>
                    <w:rPr>
                      <w:bCs/>
                      <w:b/>
                    </w:rPr>
                    <w:t xml:space="preserve">TOTAL PRODUCT CARBON FOOTPRINT</w:t>
                  </w:r>
                </w:p>
              </w:tc>
              <w:tc>
                <w:tcPr/>
                <w:p>
                  <w:pPr>
                    <w:pStyle w:val="Compact"/>
                    <w:jc w:val="left"/>
                    <w:jc w:val="center"/>
                  </w:pPr>
                  <w:r>
                    <w:rPr>
                      <w:bCs/>
                      <w:b/>
                    </w:rPr>
                    <w:t xml:space="preserve">44.93</w:t>
                  </w:r>
                </w:p>
              </w:tc>
            </w:tr>
          </w:tbl>
          <w:p/>
        </w:tc>
      </w:tr>
    </w:tbl>
    <w:p>
      <w:pPr>
        <w:pStyle w:val="ImageCaption"/>
      </w:pPr>
      <w:r>
        <w:t xml:space="preserve">Table 4.1: Summary of Product Carbon Footprint for ddjffrodvr (per functional unit)</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final stage involves reviewing the results, identifying emission hotspots, and assessing the reliability of the analysis.</w:t>
      </w:r>
    </w:p>
    <w:bookmarkStart w:id="39" w:name="emission-hotspots"/>
    <w:p>
      <w:pPr>
        <w:pStyle w:val="Heading3"/>
      </w:pPr>
      <w:r>
        <w:t xml:space="preserve">5.1. Emission Hotspots</w:t>
      </w:r>
    </w:p>
    <w:p>
      <w:pPr>
        <w:pStyle w:val="FirstParagraph"/>
      </w:pPr>
      <w:r>
        <w:t xml:space="preserve">Based on the calculations, the primary emission hotspots for ddjffrodvr are:</w:t>
      </w:r>
    </w:p>
    <w:p>
      <w:pPr>
        <w:numPr>
          <w:ilvl w:val="0"/>
          <w:numId w:val="1015"/>
        </w:numPr>
        <w:pStyle w:val="Compact"/>
      </w:pPr>
      <w:r>
        <w:rPr>
          <w:bCs/>
          <w:b/>
        </w:rPr>
        <w:t xml:space="preserve">Use Phase (25.0 kgCO2e):</w:t>
      </w:r>
      <w:r>
        <w:t xml:space="preserve"> </w:t>
      </w:r>
      <w:r>
        <w:t xml:space="preserve">This is the most significant contributor, primarily due to the product\'s energy consumption over its 5-year lifespan. This suggests that improving energy efficiency during use would yield the largest impact on reducing the overall PCF.</w:t>
      </w:r>
    </w:p>
    <w:p>
      <w:pPr>
        <w:numPr>
          <w:ilvl w:val="0"/>
          <w:numId w:val="1015"/>
        </w:numPr>
        <w:pStyle w:val="Compact"/>
      </w:pPr>
      <w:r>
        <w:rPr>
          <w:bCs/>
          <w:b/>
        </w:rPr>
        <w:t xml:space="preserve">Materials Acquisition (12.33 kgCO2e):</w:t>
      </w:r>
      <w:r>
        <w:t xml:space="preserve"> </w:t>
      </w:r>
      <w:r>
        <w:t xml:space="preserve">The embodied emissions in raw materials, particularly the Aluminum Casing and PCB, represent a substantial portion of the upstream footprint. Exploring lower-carbon alternative materials or increasing recycled content can target this hotspot.</w:t>
      </w:r>
    </w:p>
    <w:p>
      <w:pPr>
        <w:numPr>
          <w:ilvl w:val="0"/>
          <w:numId w:val="1015"/>
        </w:numPr>
        <w:pStyle w:val="Compact"/>
      </w:pPr>
      <w:r>
        <w:rPr>
          <w:bCs/>
          <w:b/>
        </w:rPr>
        <w:t xml:space="preserve">Manufacturing (Scope 2, 7.0 kgCO2e):</w:t>
      </w:r>
      <w:r>
        <w:t xml:space="preserve"> </w:t>
      </w:r>
      <w:r>
        <w:t xml:space="preserve">While mitigated by 60% renewable energy usage, the remaining grid electricity still contributes. Further increasing renewable energy sourcing or improving manufacturing process efficiency would reduce this.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structured methodology and adherence to the GHG Protocol. However, certain limitations inherent in any modeling exercise should be noted:</w:t>
      </w:r>
    </w:p>
    <w:p>
      <w:pPr>
        <w:numPr>
          <w:ilvl w:val="0"/>
          <w:numId w:val="1016"/>
        </w:numPr>
        <w:pStyle w:val="Compact"/>
      </w:pPr>
      <w:r>
        <w:rPr>
          <w:bCs/>
          <w:b/>
        </w:rPr>
        <w:t xml:space="preserve">Data Specificity:</w:t>
      </w:r>
      <w:r>
        <w:t xml:space="preserve"> </w:t>
      </w:r>
      <w:r>
        <w:t xml:space="preserve">While detailed BOM and specific parameters were provided, some illustrative values were used where placeholder strings did not directly provide numerical data. Actual values from suppliers for emission factors would enhance precision.</w:t>
      </w:r>
    </w:p>
    <w:p>
      <w:pPr>
        <w:numPr>
          <w:ilvl w:val="0"/>
          <w:numId w:val="1016"/>
        </w:numPr>
        <w:pStyle w:val="Compact"/>
      </w:pPr>
      <w:r>
        <w:rPr>
          <w:bCs/>
          <w:b/>
        </w:rPr>
        <w:t xml:space="preserve">System Boundary:</w:t>
      </w:r>
      <w:r>
        <w:t xml:space="preserve"> </w:t>
      </w:r>
      <w:r>
        <w:t xml:space="preserve">The \'factory_gate\' boundary, while expanded, does not capture all potential Scope 3 categories (e.g., capital goods, employee commuting, business travel) which would typically be included in a full organizational GHG inventory but are often beyond a product-specific PCF. However, the &gt;95% Scope 3 coverage target for product-relevant categories has been considered.</w:t>
      </w:r>
    </w:p>
    <w:p>
      <w:pPr>
        <w:numPr>
          <w:ilvl w:val="0"/>
          <w:numId w:val="1016"/>
        </w:numPr>
        <w:pStyle w:val="Compact"/>
      </w:pPr>
      <w:r>
        <w:rPr>
          <w:bCs/>
          <w:b/>
        </w:rPr>
        <w:t xml:space="preserve">Emission Factor Databases:</w:t>
      </w:r>
      <w:r>
        <w:t xml:space="preserve"> </w:t>
      </w:r>
      <w:r>
        <w:t xml:space="preserve">Generic industry-average emission factors were used where specific supplier data was unavailable. Utilizing specific supplier-provided emission factors or more localized Ecoinvent/DEFRA data would increase accuracy.</w:t>
      </w:r>
    </w:p>
    <w:p>
      <w:pPr>
        <w:numPr>
          <w:ilvl w:val="0"/>
          <w:numId w:val="1016"/>
        </w:numPr>
        <w:pStyle w:val="Compact"/>
      </w:pPr>
      <w:r>
        <w:rPr>
          <w:bCs/>
          <w:b/>
        </w:rPr>
        <w:t xml:space="preserve">LSR Application:</w:t>
      </w:r>
      <w:r>
        <w:t xml:space="preserve"> </w:t>
      </w:r>
      <w:r>
        <w:t xml:space="preserve">The application of the 2026 LSR Standard is currently conceptual for ddjffrodvr due to a lack of direct land-use change data. As such data becomes available, the LSR impact would be more precisely quantified.</w:t>
      </w:r>
    </w:p>
    <w:bookmarkEnd w:id="40"/>
    <w:bookmarkStart w:id="41" w:name="recommendations-for-emission-reduction"/>
    <w:p>
      <w:pPr>
        <w:pStyle w:val="Heading3"/>
      </w:pPr>
      <w:r>
        <w:t xml:space="preserve">5.3. Recommendations for Emission Reduction</w:t>
      </w:r>
    </w:p>
    <w:p>
      <w:pPr>
        <w:numPr>
          <w:ilvl w:val="0"/>
          <w:numId w:val="1017"/>
        </w:numPr>
        <w:pStyle w:val="Compact"/>
      </w:pPr>
      <w:r>
        <w:rPr>
          <w:bCs/>
          <w:b/>
        </w:rPr>
        <w:t xml:space="preserve">Improve Use-Phase Energy Efficiency:</w:t>
      </w:r>
      <w:r>
        <w:t xml:space="preserve"> </w:t>
      </w:r>
      <w:r>
        <w:t xml:space="preserve">Focus on product design innovations that significantly reduce energy consumption during the product\'s lifespan. This could include low-power modes, more efficient components, or longer product durability to reduce replacement frequency.</w:t>
      </w:r>
    </w:p>
    <w:p>
      <w:pPr>
        <w:numPr>
          <w:ilvl w:val="0"/>
          <w:numId w:val="1017"/>
        </w:numPr>
        <w:pStyle w:val="Compact"/>
      </w:pPr>
      <w:r>
        <w:rPr>
          <w:bCs/>
          <w:b/>
        </w:rPr>
        <w:t xml:space="preserve">Sustainable Material Sourcing:</w:t>
      </w:r>
      <w:r>
        <w:t xml:space="preserve"> </w:t>
      </w:r>
      <w:r>
        <w:t xml:space="preserve">Investigate and integrate materials with lower embodied carbon footprints, increase the use of recycled content, or explore bio-based alternatives where feasible.</w:t>
      </w:r>
    </w:p>
    <w:p>
      <w:pPr>
        <w:numPr>
          <w:ilvl w:val="0"/>
          <w:numId w:val="1017"/>
        </w:numPr>
        <w:pStyle w:val="Compact"/>
      </w:pPr>
      <w:r>
        <w:rPr>
          <w:bCs/>
          <w:b/>
        </w:rPr>
        <w:t xml:space="preserve">Enhance Renewable Energy Adoption:</w:t>
      </w:r>
      <w:r>
        <w:t xml:space="preserve"> </w:t>
      </w:r>
      <w:r>
        <w:t xml:space="preserve">Continue to increase the share of renewable energy at manufacturing facilities in China beyond the current 60% to further reduce Scope 2 emissions.</w:t>
      </w:r>
    </w:p>
    <w:p>
      <w:pPr>
        <w:numPr>
          <w:ilvl w:val="0"/>
          <w:numId w:val="1017"/>
        </w:numPr>
        <w:pStyle w:val="Compact"/>
      </w:pPr>
      <w:r>
        <w:rPr>
          <w:bCs/>
          <w:b/>
        </w:rPr>
        <w:t xml:space="preserve">Optimize Logistics:</w:t>
      </w:r>
      <w:r>
        <w:t xml:space="preserve"> </w:t>
      </w:r>
      <w:r>
        <w:t xml:space="preserve">Evaluate opportunities for optimizing transportation routes, consolidating shipments, and utilizing lower-emission transport modes (e.g., rail or sea over long-haul trucking) where practical.</w:t>
      </w:r>
    </w:p>
    <w:p>
      <w:pPr>
        <w:numPr>
          <w:ilvl w:val="0"/>
          <w:numId w:val="1017"/>
        </w:numPr>
        <w:pStyle w:val="Compact"/>
      </w:pPr>
      <w:r>
        <w:rPr>
          <w:bCs/>
          <w:b/>
        </w:rPr>
        <w:t xml:space="preserve">Strengthen Circular Economy Initiatives:</w:t>
      </w:r>
      <w:r>
        <w:t xml:space="preserve"> </w:t>
      </w:r>
      <w:r>
        <w:t xml:space="preserve">Expand take-back and repair programs (`vuiwdsyxyk`) to maximize product lifespan and material recovery, further enhancing the positive impact of high recyclability (`hvztoggvso`).</w: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ddjffrodvr</dc:title>
  <dc:creator/>
  <dc:description>High-detail Product Carbon Footprint (PCF) analysis report for product ddjffrodvr, conducted by Senior Sustainability Consultant ziinjpduek for company ijxnwlrnvs, adhering to GHG Protocol standards and incorporating 2026 LSR updates.</dc:description>
  <dc:language>en</dc:language>
  <cp:keywords/>
  <dcterms:created xsi:type="dcterms:W3CDTF">2026-05-30T17:24:27Z</dcterms:created>
  <dcterms:modified xsi:type="dcterms:W3CDTF">2026-05-30T17:24:27Z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