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BYD</w:t>
      </w:r>
      <w:r>
        <w:t xml:space="preserve"> </w:t>
      </w:r>
      <w:r>
        <w:t xml:space="preserve">Atto</w:t>
      </w:r>
      <w:r>
        <w:t xml:space="preserve"> </w:t>
      </w:r>
      <w:r>
        <w:t xml:space="preserve">3</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BYD Atto 3</w:t>
      </w:r>
    </w:p>
    <w:p>
      <w:pPr>
        <w:pStyle w:val="BodyText"/>
      </w:pPr>
      <w:r>
        <w:t xml:space="preserve">**Protocol Data (Accounting Standard):** GHG Protocol</w:t>
      </w:r>
    </w:p>
    <w:p>
      <w:pPr>
        <w:pStyle w:val="BodyText"/>
      </w:pPr>
      <w:r>
        <w:t xml:space="preserve">**Senior Sustainability Consultant:** remko weingarten</w:t>
      </w:r>
    </w:p>
    <w:p>
      <w:pPr>
        <w:pStyle w:val="BodyText"/>
      </w:pPr>
      <w:r>
        <w:t xml:space="preserve">Disclaimer: This report is generated based on available data, industry standards, and reasonable assumptions due to the proprietary nature of specific manufacturing data. While every effort has been made to ensure accuracy within these limitations, the figures presented are estimates intended for strategic sustainability planning and hotspot identification.</w:t>
      </w:r>
    </w:p>
    <w:bookmarkEnd w:id="20"/>
    <w:p>
      <w:pPr>
        <w:pStyle w:val="BodyText"/>
      </w:pPr>
      <w:r>
        <w:t xml:space="preserve">Product Carbon Footprint Report for BYD Atto 3</w:t>
      </w:r>
    </w:p>
    <w:p>
      <w:pPr>
        <w:pStyle w:val="BodyText"/>
      </w:pPr>
      <w:r>
        <w:t xml:space="preserve">Generated Date: June 8, 2026</w:t>
      </w:r>
    </w:p>
    <w:bookmarkStart w:id="43" w:name="executive-summary"/>
    <w:p>
      <w:pPr>
        <w:pStyle w:val="Heading1"/>
      </w:pPr>
      <w:r>
        <w:t xml:space="preserve">Executive Summary</w:t>
      </w:r>
    </w:p>
    <w:p>
      <w:pPr>
        <w:pStyle w:val="FirstParagraph"/>
      </w:pPr>
      <w:r>
        <w:t xml:space="preserve">As Remko Weingarten, Senior Sustainability Consultant, I have conducted a high-detail Product Carbon Footprint (PCF) analysis for the BYD Atto 3, an electric compact SUV. This analysis adheres to the GHG Protocol, with a “factory_gate” system boundary, focusing on the European supply chain for a final assembly country in the Netherlands. The primary objective is to quantify greenhouse gas (GHG) emissions from raw material extraction through manufacturing, identifying key emission hotspots, and ensuring compliance with the latest GHG Protocol standards, including the 2026 Land Sector and Removals (LSR) update and a minimum of 95% Scope 3 coverage.</w:t>
      </w:r>
    </w:p>
    <w:p>
      <w:pPr>
        <w:pStyle w:val="BodyText"/>
      </w:pPr>
      <w:r>
        <w:t xml:space="preserve">The BYD Atto 3, utilizing a Lithium Iron Phosphate (LFP) Blade Battery, presents a unique emissions profile. LFP batteries generally offer a lower carbon footprint compared to nickel-cobalt-manganese (NMC) chemistries due to less energy-intensive material extraction and the absence of cobalt. However, the overall PCF remains substantial, with significant contributions from the production of key materials such as steel, aluminum, plastics, and the battery itself. Our findings highlight the importance of supply chain decarbonization, particularly in material processing and energy sourcing, to achieve meaningful reductions in the environmental impact of EV manufacturing.</w:t>
      </w:r>
    </w:p>
    <w:p>
      <w:r>
        <w:pict>
          <v:rect style="width:0;height:1.5pt" o:hralign="center" o:hrstd="t" o:hr="t"/>
        </w:pict>
      </w:r>
    </w:p>
    <w:bookmarkStart w:id="21" w:name="define-scope"/>
    <w:p>
      <w:pPr>
        <w:pStyle w:val="Heading2"/>
      </w:pPr>
      <w:r>
        <w:t xml:space="preserve">1. Define Scope</w:t>
      </w:r>
    </w:p>
    <w:p>
      <w:pPr>
        <w:pStyle w:val="FirstParagraph"/>
      </w:pPr>
      <w:r>
        <w:t xml:space="preserve">The foundational parameters for this Product Carbon Footprint (PCF) analysis are defined as follows:</w:t>
      </w:r>
    </w:p>
    <w:p>
      <w:pPr>
        <w:numPr>
          <w:ilvl w:val="0"/>
          <w:numId w:val="1001"/>
        </w:numPr>
        <w:pStyle w:val="Compact"/>
      </w:pPr>
      <w:r>
        <w:rPr>
          <w:bCs/>
          <w:b/>
        </w:rPr>
        <w:t xml:space="preserve">Functional Unit:</w:t>
      </w:r>
      <w:r>
        <w:t xml:space="preserve"> </w:t>
      </w:r>
      <w:r>
        <w:t xml:space="preserve">1.0 unit of BYD Atto 3 (electric compact SUV)</w:t>
      </w:r>
    </w:p>
    <w:p>
      <w:pPr>
        <w:numPr>
          <w:ilvl w:val="0"/>
          <w:numId w:val="1001"/>
        </w:numPr>
        <w:pStyle w:val="Compact"/>
      </w:pPr>
      <w:r>
        <w:rPr>
          <w:bCs/>
          <w:b/>
        </w:rPr>
        <w:t xml:space="preserve">System Boundary:</w:t>
      </w:r>
      <w:r>
        <w:t xml:space="preserve"> </w:t>
      </w:r>
      <w:r>
        <w:t xml:space="preserve">factory_gate (Cradle-to-Gate). This boundary includes all upstream processes from raw material extraction, processing, component manufacturing, and transportation to the final assembly plant in the Netherlands, up to the point the finished vehicle leaves the factory. It excludes the use phase (vehicle operation) and end-of-life treatment.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Netherlands (assembly plant)</w:t>
      </w:r>
    </w:p>
    <w:p>
      <w:pPr>
        <w:numPr>
          <w:ilvl w:val="1"/>
          <w:numId w:val="1002"/>
        </w:numPr>
        <w:pStyle w:val="Compact"/>
      </w:pPr>
      <w:r>
        <w:rPr>
          <w:bCs/>
          <w:b/>
        </w:rPr>
        <w:t xml:space="preserve">Supply Chain Focus:</w:t>
      </w:r>
      <w:r>
        <w:t xml:space="preserve"> </w:t>
      </w:r>
      <w:r>
        <w:t xml:space="preserve">Europe Focused, acknowledging global origins for primary raw materials and specialized components.</w:t>
      </w:r>
    </w:p>
    <w:p>
      <w:pPr>
        <w:numPr>
          <w:ilvl w:val="0"/>
          <w:numId w:val="1001"/>
        </w:numPr>
        <w:pStyle w:val="Compact"/>
      </w:pPr>
      <w:r>
        <w:rPr>
          <w:bCs/>
          <w:b/>
        </w:rPr>
        <w:t xml:space="preserve">Accounting Standard:</w:t>
      </w:r>
      <w:r>
        <w:t xml:space="preserve"> </w:t>
      </w:r>
      <w:r>
        <w:t xml:space="preserve">GHG Protocol, specifically the Corporate Accounting and Reporting Standard and the Corporate Value Chain (Scope 3) Accounting and Reporting Standard.</w:t>
      </w:r>
    </w:p>
    <w:p>
      <w:pPr>
        <w:numPr>
          <w:ilvl w:val="0"/>
          <w:numId w:val="1001"/>
        </w:numPr>
        <w:pStyle w:val="Compact"/>
      </w:pPr>
      <w:r>
        <w:rPr>
          <w:bCs/>
          <w:b/>
        </w:rPr>
        <w:t xml:space="preserve">Allocation:</w:t>
      </w:r>
      <w:r>
        <w:t xml:space="preserve"> </w:t>
      </w:r>
      <w:r>
        <w:t xml:space="preserve">Mass-based allocation is used for shared processes and co-products where applicable, prioritizing physical causality.</w:t>
      </w:r>
    </w:p>
    <w:p>
      <w:pPr>
        <w:pStyle w:val="FirstParagraph"/>
      </w:pPr>
      <w:r>
        <w:t xml:space="preserve">This analysis also incorporates the latest methodological considerations from the 2026 Land Sector and Removals (LSR) Standard. The LSR Standard, effective January 1, 2027, provides crucial requirements for accounting for land sector emissions (e.g., land use change, land management) and CO2 removals. While the "factory_gate" boundary limits direct inclusion of operational land use impacts, the standard\'s principles are considered in evaluating the upstream supply chain, particularly for raw materials that might involve land-intensive extraction.</w:t>
      </w:r>
    </w:p>
    <w:p>
      <w:r>
        <w:pict>
          <v:rect style="width:0;height:1.5pt" o:hralign="center" o:hrstd="t" o:hr="t"/>
        </w:pict>
      </w:r>
    </w:p>
    <w:bookmarkEnd w:id="21"/>
    <w:bookmarkStart w:id="24" w:name="map-lifecycle-lci-inventory-stages"/>
    <w:p>
      <w:pPr>
        <w:pStyle w:val="Heading2"/>
      </w:pPr>
      <w:r>
        <w:t xml:space="preserve">2. Map Lifecycle (LCI Inventory Stages)</w:t>
      </w:r>
    </w:p>
    <w:p>
      <w:pPr>
        <w:pStyle w:val="FirstParagraph"/>
      </w:pPr>
      <w:r>
        <w:t xml:space="preserve">The lifecycle mapping for the BYD Atto 3, within a factory_gate boundary, covers the following key stages, detailing the journey from raw material to a finished vehicle ready for distribution. Emissions are categorized according to the GHG Protocol\'s Scope 1, 2, and 3 framework.</w:t>
      </w:r>
    </w:p>
    <w:bookmarkStart w:id="22" w:name="Xf3c059affe42c217f438ad7ae8b5014081241c0"/>
    <w:p>
      <w:pPr>
        <w:pStyle w:val="Heading3"/>
      </w:pPr>
      <w:r>
        <w:t xml:space="preserve">Upstream Stages (Predominantly Scope 3 Emissions)</w:t>
      </w:r>
    </w:p>
    <w:p>
      <w:pPr>
        <w:numPr>
          <w:ilvl w:val="0"/>
          <w:numId w:val="1003"/>
        </w:numPr>
        <w:pStyle w:val="Compact"/>
      </w:pPr>
      <w:r>
        <w:rPr>
          <w:bCs/>
          <w:b/>
        </w:rPr>
        <w:t xml:space="preserve">Raw Material Extraction:</w:t>
      </w:r>
      <w:r>
        <w:t xml:space="preserve"> </w:t>
      </w:r>
      <w:r>
        <w:t xml:space="preserve">Mining and extraction of primary materials such as iron ore, bauxite, crude oil (for plastics), lithium, iron, and phosphate (for battery).</w:t>
      </w:r>
    </w:p>
    <w:p>
      <w:pPr>
        <w:numPr>
          <w:ilvl w:val="0"/>
          <w:numId w:val="1003"/>
        </w:numPr>
        <w:pStyle w:val="Compact"/>
      </w:pPr>
      <w:r>
        <w:rPr>
          <w:bCs/>
          <w:b/>
        </w:rPr>
        <w:t xml:space="preserve">Material Processing and Refinement:</w:t>
      </w:r>
    </w:p>
    <w:p>
      <w:pPr>
        <w:numPr>
          <w:ilvl w:val="1"/>
          <w:numId w:val="1004"/>
        </w:numPr>
        <w:pStyle w:val="Compact"/>
      </w:pPr>
      <w:r>
        <w:t xml:space="preserve">Steel production (e.g., blast furnace-basic oxygen furnace (BF-BOF) or electric arc furnace (EAF) methods).</w:t>
      </w:r>
    </w:p>
    <w:p>
      <w:pPr>
        <w:numPr>
          <w:ilvl w:val="1"/>
          <w:numId w:val="1004"/>
        </w:numPr>
        <w:pStyle w:val="Compact"/>
      </w:pPr>
      <w:r>
        <w:t xml:space="preserve">Aluminum refining (Bayer process) and smelting.</w:t>
      </w:r>
    </w:p>
    <w:p>
      <w:pPr>
        <w:numPr>
          <w:ilvl w:val="1"/>
          <w:numId w:val="1004"/>
        </w:numPr>
        <w:pStyle w:val="Compact"/>
      </w:pPr>
      <w:r>
        <w:t xml:space="preserve">Plastic polymer production from crude oil derivatives.</w:t>
      </w:r>
    </w:p>
    <w:p>
      <w:pPr>
        <w:numPr>
          <w:ilvl w:val="1"/>
          <w:numId w:val="1004"/>
        </w:numPr>
        <w:pStyle w:val="Compact"/>
      </w:pPr>
      <w:r>
        <w:t xml:space="preserve">Processing of lithium, iron, and phosphate compounds for LFP battery cathodes, and graphite for anodes.</w:t>
      </w:r>
    </w:p>
    <w:p>
      <w:pPr>
        <w:numPr>
          <w:ilvl w:val="1"/>
          <w:numId w:val="1004"/>
        </w:numPr>
        <w:pStyle w:val="Compact"/>
      </w:pPr>
      <w:r>
        <w:t xml:space="preserve">Copper extraction and refining.</w:t>
      </w:r>
    </w:p>
    <w:p>
      <w:pPr>
        <w:numPr>
          <w:ilvl w:val="1"/>
          <w:numId w:val="1004"/>
        </w:numPr>
        <w:pStyle w:val="Compact"/>
      </w:pPr>
      <w:r>
        <w:t xml:space="preserve">Processing of other minor metals (e.g., silicon, manganese) and materials (e.g., glass, rubber).</w:t>
      </w:r>
    </w:p>
    <w:p>
      <w:pPr>
        <w:numPr>
          <w:ilvl w:val="0"/>
          <w:numId w:val="1003"/>
        </w:numPr>
        <w:pStyle w:val="Compact"/>
      </w:pPr>
      <w:r>
        <w:rPr>
          <w:bCs/>
          <w:b/>
        </w:rPr>
        <w:t xml:space="preserve">Component Manufacturing:</w:t>
      </w:r>
    </w:p>
    <w:p>
      <w:pPr>
        <w:numPr>
          <w:ilvl w:val="1"/>
          <w:numId w:val="1005"/>
        </w:numPr>
        <w:pStyle w:val="Compact"/>
      </w:pPr>
      <w:r>
        <w:t xml:space="preserve">Battery cell and pack assembly (Blade Battery production by BYD). This includes significant emissions from energy-intensive processes.</w:t>
      </w:r>
    </w:p>
    <w:p>
      <w:pPr>
        <w:numPr>
          <w:ilvl w:val="1"/>
          <w:numId w:val="1005"/>
        </w:numPr>
        <w:pStyle w:val="Compact"/>
      </w:pPr>
      <w:r>
        <w:t xml:space="preserve">Production of electric motor components (magnets, copper windings).</w:t>
      </w:r>
    </w:p>
    <w:p>
      <w:pPr>
        <w:numPr>
          <w:ilvl w:val="1"/>
          <w:numId w:val="1005"/>
        </w:numPr>
        <w:pStyle w:val="Compact"/>
      </w:pPr>
      <w:r>
        <w:t xml:space="preserve">Manufacturing of chassis and body-in-white structures (steel and aluminum forming, welding).</w:t>
      </w:r>
    </w:p>
    <w:p>
      <w:pPr>
        <w:numPr>
          <w:ilvl w:val="1"/>
          <w:numId w:val="1005"/>
        </w:numPr>
        <w:pStyle w:val="Compact"/>
      </w:pPr>
      <w:r>
        <w:t xml:space="preserve">Production of interior components (plastics, vegan leather, textiles).</w:t>
      </w:r>
    </w:p>
    <w:p>
      <w:pPr>
        <w:numPr>
          <w:ilvl w:val="1"/>
          <w:numId w:val="1005"/>
        </w:numPr>
        <w:pStyle w:val="Compact"/>
      </w:pPr>
      <w:r>
        <w:t xml:space="preserve">Manufacturing of electronic control units (VCU, BMS, MCU, PDU, DC-DC controller, on-board charger), inverters, converters, and other electrical systems.</w:t>
      </w:r>
    </w:p>
    <w:p>
      <w:pPr>
        <w:numPr>
          <w:ilvl w:val="1"/>
          <w:numId w:val="1005"/>
        </w:numPr>
        <w:pStyle w:val="Compact"/>
      </w:pPr>
      <w:r>
        <w:t xml:space="preserve">Tire manufacturing.</w:t>
      </w:r>
    </w:p>
    <w:p>
      <w:pPr>
        <w:numPr>
          <w:ilvl w:val="1"/>
          <w:numId w:val="1005"/>
        </w:numPr>
        <w:pStyle w:val="Compact"/>
      </w:pPr>
      <w:r>
        <w:t xml:space="preserve">Glass production.</w:t>
      </w:r>
    </w:p>
    <w:p>
      <w:pPr>
        <w:numPr>
          <w:ilvl w:val="0"/>
          <w:numId w:val="1003"/>
        </w:numPr>
        <w:pStyle w:val="Compact"/>
      </w:pPr>
      <w:r>
        <w:rPr>
          <w:bCs/>
          <w:b/>
        </w:rPr>
        <w:t xml:space="preserve">Upstream Transportation and Distribution:</w:t>
      </w:r>
      <w:r>
        <w:t xml:space="preserve"> </w:t>
      </w:r>
      <w:r>
        <w:t xml:space="preserve">Logistics for moving raw materials and manufactured components from their origin points to intermediate processing facilities and finally to the assembly plant in the Netherlands. This covers various modes (sea freight, road freight, rail).</w:t>
      </w:r>
    </w:p>
    <w:bookmarkEnd w:id="22"/>
    <w:bookmarkStart w:id="23" w:name="X46fe485931b384b2568a31cae30f6cdeb0c49b4"/>
    <w:p>
      <w:pPr>
        <w:pStyle w:val="Heading3"/>
      </w:pPr>
      <w:r>
        <w:t xml:space="preserve">Core Manufacturing Stages (Scope 1 &amp; 2 Emissions, and remaining Scope 3)</w:t>
      </w:r>
    </w:p>
    <w:p>
      <w:pPr>
        <w:numPr>
          <w:ilvl w:val="0"/>
          <w:numId w:val="1006"/>
        </w:numPr>
        <w:pStyle w:val="Compact"/>
      </w:pPr>
      <w:r>
        <w:rPr>
          <w:bCs/>
          <w:b/>
        </w:rPr>
        <w:t xml:space="preserve">Final Vehicle Assembly (Netherlands):</w:t>
      </w:r>
    </w:p>
    <w:p>
      <w:pPr>
        <w:numPr>
          <w:ilvl w:val="1"/>
          <w:numId w:val="1007"/>
        </w:numPr>
        <w:pStyle w:val="Compact"/>
      </w:pPr>
      <w:r>
        <w:rPr>
          <w:bCs/>
          <w:b/>
        </w:rPr>
        <w:t xml:space="preserve">Body Shop:</w:t>
      </w:r>
      <w:r>
        <w:t xml:space="preserve"> </w:t>
      </w:r>
      <w:r>
        <w:t xml:space="preserve">Joining of chassis and body parts (welding, riveting, bonding).</w:t>
      </w:r>
    </w:p>
    <w:p>
      <w:pPr>
        <w:numPr>
          <w:ilvl w:val="1"/>
          <w:numId w:val="1007"/>
        </w:numPr>
        <w:pStyle w:val="Compact"/>
      </w:pPr>
      <w:r>
        <w:rPr>
          <w:bCs/>
          <w:b/>
        </w:rPr>
        <w:t xml:space="preserve">Paint Shop:</w:t>
      </w:r>
      <w:r>
        <w:t xml:space="preserve"> </w:t>
      </w:r>
      <w:r>
        <w:t xml:space="preserve">Application of primers, base coats, and clear coats, a highly energy-intensive process requiring significant electricity and fuel for curing ovens.</w:t>
      </w:r>
    </w:p>
    <w:p>
      <w:pPr>
        <w:numPr>
          <w:ilvl w:val="1"/>
          <w:numId w:val="1007"/>
        </w:numPr>
        <w:pStyle w:val="Compact"/>
      </w:pPr>
      <w:r>
        <w:rPr>
          <w:bCs/>
          <w:b/>
        </w:rPr>
        <w:t xml:space="preserve">General Assembly:</w:t>
      </w:r>
      <w:r>
        <w:t xml:space="preserve"> </w:t>
      </w:r>
      <w:r>
        <w:t xml:space="preserve">Integration of all major components (powertrain, battery pack, interior, electronics, wheels, glass).</w:t>
      </w:r>
    </w:p>
    <w:p>
      <w:pPr>
        <w:numPr>
          <w:ilvl w:val="1"/>
          <w:numId w:val="1007"/>
        </w:numPr>
        <w:pStyle w:val="Compact"/>
      </w:pPr>
      <w:r>
        <w:rPr>
          <w:bCs/>
          <w:b/>
        </w:rPr>
        <w:t xml:space="preserve">Quality Control &amp; Testing:</w:t>
      </w:r>
      <w:r>
        <w:t xml:space="preserve"> </w:t>
      </w:r>
      <w:r>
        <w:t xml:space="preserve">Final checks and functional testing before vehicle dispatch.</w:t>
      </w:r>
    </w:p>
    <w:p>
      <w:pPr>
        <w:numPr>
          <w:ilvl w:val="0"/>
          <w:numId w:val="1006"/>
        </w:numPr>
        <w:pStyle w:val="Compact"/>
      </w:pPr>
      <w:r>
        <w:rPr>
          <w:bCs/>
          <w:b/>
        </w:rPr>
        <w:t xml:space="preserve">Packaging and Pre-delivery:</w:t>
      </w:r>
      <w:r>
        <w:t xml:space="preserve"> </w:t>
      </w:r>
      <w:r>
        <w:t xml:space="preserve">Activities related to preparing the vehicle for shipment from the factory gate.</w:t>
      </w:r>
    </w:p>
    <w:p>
      <w:pPr>
        <w:pStyle w:val="FirstParagraph"/>
      </w:pPr>
      <w:r>
        <w:t xml:space="preserve">For this factory_gate boundary, the emphasis for emission calculation will be on the upstream Scope 3 categories (Purchased Goods &amp; Services, Capital Goods, Fuel- and Energy-Related Activities, Upstream Transportation and Distribution) and the direct Scope 1 and Scope 2 emissions from the final assembly process in the Netherlands. We ensure that these critical categories are covered to achieve the 95% Scope 3 compliance target.</w:t>
      </w:r>
    </w:p>
    <w:p>
      <w:r>
        <w:pict>
          <v:rect style="width:0;height:1.5pt" o:hralign="center" o:hrstd="t" o:hr="t"/>
        </w:pict>
      </w:r>
    </w:p>
    <w:bookmarkEnd w:id="23"/>
    <w:bookmarkEnd w:id="24"/>
    <w:bookmarkStart w:id="29" w:name="Xb57f50a89bf1f3f1837369be949d9d60d6c1272"/>
    <w:p>
      <w:pPr>
        <w:pStyle w:val="Heading2"/>
      </w:pPr>
      <w:r>
        <w:t xml:space="preserve">3. Collect Data (Primary/Secondary Data Points)</w:t>
      </w:r>
    </w:p>
    <w:p>
      <w:pPr>
        <w:pStyle w:val="FirstParagraph"/>
      </w:pPr>
      <w:r>
        <w:t xml:space="preserve">Data collection for this PCF analysis integrates both primary (where available for generic processes) and secondary (industry average) data. Given the proprietary nature of specific BYD Atto 3 manufacturing data, industry-standard values and estimations for EV manufacturing were utilized.</w:t>
      </w:r>
    </w:p>
    <w:bookmarkStart w:id="25" w:name="Xc67058d397a1b8d9a6d20d239b04724ebf2c975"/>
    <w:p>
      <w:pPr>
        <w:pStyle w:val="Heading3"/>
      </w:pPr>
      <w:r>
        <w:t xml:space="preserve">Assumed Vehicle Specifications (BYD Atto 3 - Approximate Curb Weight 1750 kg)</w:t>
      </w:r>
    </w:p>
    <w:p>
      <w:pPr>
        <w:numPr>
          <w:ilvl w:val="0"/>
          <w:numId w:val="1008"/>
        </w:numPr>
        <w:pStyle w:val="Compact"/>
      </w:pPr>
      <w:r>
        <w:rPr>
          <w:bCs/>
          <w:b/>
        </w:rPr>
        <w:t xml:space="preserve">Battery Capacity:</w:t>
      </w:r>
      <w:r>
        <w:t xml:space="preserve"> </w:t>
      </w:r>
      <w:r>
        <w:t xml:space="preserve">60.48 kWh (LFP Blade Battery)</w:t>
      </w:r>
    </w:p>
    <w:bookmarkEnd w:id="25"/>
    <w:bookmarkStart w:id="28" w:name="X375f90d34e2738bf774185f3c83efd090ce459a"/>
    <w:p>
      <w:pPr>
        <w:pStyle w:val="Heading3"/>
      </w:pPr>
      <w:r>
        <w:t xml:space="preserve">Detailed Breakdown of Materials and Energy Inputs:</w:t>
      </w:r>
    </w:p>
    <w:p>
      <w:pPr>
        <w:pStyle w:val="FirstParagraph"/>
      </w:pPr>
      <w:r>
        <w:t xml:space="preserve">The following table provides estimated material quantities for one BYD Atto 3 unit, based on typical EV compositions and LFP battery characteristics, along with representative emission factors.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Material Category</w:t>
            </w:r>
          </w:p>
        </w:tc>
        <w:tc>
          <w:tcPr/>
          <w:p>
            <w:pPr>
              <w:pStyle w:val="Compact"/>
              <w:jc w:val="left"/>
            </w:pPr>
            <w:r>
              <w:t xml:space="preserve">Estimated Quantity (kg) per Vehicle</w:t>
            </w:r>
          </w:p>
        </w:tc>
        <w:tc>
          <w:tcPr/>
          <w:p>
            <w:pPr>
              <w:pStyle w:val="Compact"/>
              <w:jc w:val="left"/>
            </w:pPr>
            <w:r>
              <w:t xml:space="preserve">Representative Emission Factor (kg CO2e / kg material)</w:t>
            </w:r>
          </w:p>
        </w:tc>
        <w:tc>
          <w:tcPr/>
          <w:p>
            <w:pPr>
              <w:pStyle w:val="Compact"/>
              <w:jc w:val="left"/>
            </w:pPr>
            <w:r>
              <w:t xml:space="preserve">Source Notes for EF (Simulated Ecoinvent/DEFRA)</w:t>
            </w:r>
          </w:p>
        </w:tc>
      </w:tr>
      <w:tr>
        <w:tc>
          <w:tcPr/>
          <w:p>
            <w:pPr>
              <w:pStyle w:val="Compact"/>
              <w:jc w:val="left"/>
            </w:pPr>
            <w:r>
              <w:t xml:space="preserve">Steel (Primary)</w:t>
            </w:r>
          </w:p>
        </w:tc>
        <w:tc>
          <w:tcPr/>
          <w:p>
            <w:pPr>
              <w:pStyle w:val="Compact"/>
              <w:jc w:val="left"/>
            </w:pPr>
            <w:r>
              <w:t xml:space="preserve">700</w:t>
            </w:r>
          </w:p>
        </w:tc>
        <w:tc>
          <w:tcPr/>
          <w:p>
            <w:pPr>
              <w:pStyle w:val="Compact"/>
              <w:jc w:val="left"/>
            </w:pPr>
            <w:r>
              <w:t xml:space="preserve">1.8</w:t>
            </w:r>
          </w:p>
        </w:tc>
        <w:tc>
          <w:tcPr/>
          <w:p>
            <w:pPr>
              <w:pStyle w:val="Compact"/>
              <w:jc w:val="left"/>
            </w:pPr>
            <w:r>
              <w:t xml:space="preserve">Industry average for primary steel production.</w:t>
            </w:r>
          </w:p>
        </w:tc>
      </w:tr>
      <w:tr>
        <w:tc>
          <w:tcPr/>
          <w:p>
            <w:pPr>
              <w:pStyle w:val="Compact"/>
              <w:jc w:val="left"/>
            </w:pPr>
            <w:r>
              <w:t xml:space="preserve">Aluminum (Primary)</w:t>
            </w:r>
          </w:p>
        </w:tc>
        <w:tc>
          <w:tcPr/>
          <w:p>
            <w:pPr>
              <w:pStyle w:val="Compact"/>
              <w:jc w:val="left"/>
            </w:pPr>
            <w:r>
              <w:t xml:space="preserve">250</w:t>
            </w:r>
          </w:p>
        </w:tc>
        <w:tc>
          <w:tcPr/>
          <w:p>
            <w:pPr>
              <w:pStyle w:val="Compact"/>
              <w:jc w:val="left"/>
            </w:pPr>
            <w:r>
              <w:t xml:space="preserve">17.0</w:t>
            </w:r>
          </w:p>
        </w:tc>
        <w:tc>
          <w:tcPr/>
          <w:p>
            <w:pPr>
              <w:pStyle w:val="Compact"/>
              <w:jc w:val="left"/>
            </w:pPr>
            <w:r>
              <w:t xml:space="preserve">Industry average for primary aluminum, including PFCs.</w:t>
            </w:r>
          </w:p>
        </w:tc>
      </w:tr>
      <w:tr>
        <w:tc>
          <w:tcPr/>
          <w:p>
            <w:pPr>
              <w:pStyle w:val="Compact"/>
              <w:jc w:val="left"/>
            </w:pPr>
            <w:r>
              <w:t xml:space="preserve">Plastics (Virgin)</w:t>
            </w:r>
          </w:p>
        </w:tc>
        <w:tc>
          <w:tcPr/>
          <w:p>
            <w:pPr>
              <w:pStyle w:val="Compact"/>
              <w:jc w:val="left"/>
            </w:pPr>
            <w:r>
              <w:t xml:space="preserve">200</w:t>
            </w:r>
          </w:p>
        </w:tc>
        <w:tc>
          <w:tcPr/>
          <w:p>
            <w:pPr>
              <w:pStyle w:val="Compact"/>
              <w:jc w:val="left"/>
            </w:pPr>
            <w:r>
              <w:t xml:space="preserve">3.5</w:t>
            </w:r>
          </w:p>
        </w:tc>
        <w:tc>
          <w:tcPr/>
          <w:p>
            <w:pPr>
              <w:pStyle w:val="Compact"/>
              <w:jc w:val="left"/>
            </w:pPr>
            <w:r>
              <w:t xml:space="preserve">Average for virgin fossil-fuel based plastics.</w:t>
            </w:r>
          </w:p>
        </w:tc>
      </w:tr>
      <w:tr>
        <w:tc>
          <w:tcPr/>
          <w:p>
            <w:pPr>
              <w:pStyle w:val="Compact"/>
              <w:jc w:val="left"/>
            </w:pPr>
            <w:r>
              <w:t xml:space="preserve">LFP Battery (active materials &amp; cell components)</w:t>
            </w:r>
          </w:p>
        </w:tc>
        <w:tc>
          <w:tcPr/>
          <w:p>
            <w:pPr>
              <w:pStyle w:val="Compact"/>
              <w:jc w:val="left"/>
            </w:pPr>
            <w:r>
              <w:t xml:space="preserve">400</w:t>
            </w:r>
            <w:r>
              <w:t xml:space="preserve"> </w:t>
            </w:r>
            <w:r>
              <w:rPr>
                <w:iCs/>
                <w:i/>
              </w:rPr>
              <w:t xml:space="preserve">(Note: emissions calculated per kWh)</w:t>
            </w:r>
          </w:p>
        </w:tc>
        <w:tc>
          <w:tcPr/>
          <w:p>
            <w:pPr>
              <w:pStyle w:val="Compact"/>
              <w:jc w:val="left"/>
            </w:pPr>
            <w:r>
              <w:t xml:space="preserve">55 kg CO2e / kWh battery capacity</w:t>
            </w:r>
          </w:p>
        </w:tc>
        <w:tc>
          <w:tcPr/>
          <w:p>
            <w:pPr>
              <w:pStyle w:val="Compact"/>
              <w:jc w:val="left"/>
            </w:pPr>
            <w:r>
              <w:t xml:space="preserve">Average for LFP battery production (cradle-to-gate).</w:t>
            </w:r>
          </w:p>
        </w:tc>
      </w:tr>
      <w:tr>
        <w:tc>
          <w:tcPr/>
          <w:p>
            <w:pPr>
              <w:pStyle w:val="Compact"/>
              <w:jc w:val="left"/>
            </w:pPr>
            <w:r>
              <w:t xml:space="preserve">Copper</w:t>
            </w:r>
          </w:p>
        </w:tc>
        <w:tc>
          <w:tcPr/>
          <w:p>
            <w:pPr>
              <w:pStyle w:val="Compact"/>
              <w:jc w:val="left"/>
            </w:pPr>
            <w:r>
              <w:t xml:space="preserve">30</w:t>
            </w:r>
          </w:p>
        </w:tc>
        <w:tc>
          <w:tcPr/>
          <w:p>
            <w:pPr>
              <w:pStyle w:val="Compact"/>
              <w:jc w:val="left"/>
            </w:pPr>
            <w:r>
              <w:t xml:space="preserve">4.0</w:t>
            </w:r>
          </w:p>
        </w:tc>
        <w:tc>
          <w:tcPr/>
          <w:p>
            <w:pPr>
              <w:pStyle w:val="Compact"/>
              <w:jc w:val="left"/>
            </w:pPr>
            <w:r>
              <w:t xml:space="preserve">Representative for primary copper production.</w:t>
            </w:r>
          </w:p>
        </w:tc>
      </w:tr>
      <w:tr>
        <w:tc>
          <w:tcPr/>
          <w:p>
            <w:pPr>
              <w:pStyle w:val="Compact"/>
              <w:jc w:val="left"/>
            </w:pPr>
            <w:r>
              <w:t xml:space="preserve">Glass, Rubber, Other Minor Materials</w:t>
            </w:r>
          </w:p>
        </w:tc>
        <w:tc>
          <w:tcPr/>
          <w:p>
            <w:pPr>
              <w:pStyle w:val="Compact"/>
              <w:jc w:val="left"/>
            </w:pPr>
            <w:r>
              <w:t xml:space="preserve">170</w:t>
            </w:r>
          </w:p>
        </w:tc>
        <w:tc>
          <w:tcPr/>
          <w:p>
            <w:pPr>
              <w:pStyle w:val="Compact"/>
              <w:jc w:val="left"/>
            </w:pPr>
            <w:r>
              <w:t xml:space="preserve">1.0</w:t>
            </w:r>
            <w:r>
              <w:t xml:space="preserve"> </w:t>
            </w:r>
            <w:r>
              <w:rPr>
                <w:iCs/>
                <w:i/>
              </w:rPr>
              <w:t xml:space="preserve">(average)</w:t>
            </w:r>
          </w:p>
        </w:tc>
        <w:tc>
          <w:tcPr/>
          <w:p>
            <w:pPr>
              <w:pStyle w:val="Compact"/>
              <w:jc w:val="left"/>
            </w:pPr>
            <w:r>
              <w:t xml:space="preserve">Assumed average for mixed minor components.</w:t>
            </w:r>
          </w:p>
        </w:tc>
      </w:tr>
      <w:tr>
        <w:tc>
          <w:tcPr/>
          <w:p>
            <w:pPr>
              <w:pStyle w:val="Compact"/>
              <w:jc w:val="left"/>
            </w:pPr>
            <w:r>
              <w:t xml:space="preserve">Total Mass (approx.)</w:t>
            </w:r>
          </w:p>
        </w:tc>
        <w:tc>
          <w:tcPr/>
          <w:p>
            <w:pPr>
              <w:pStyle w:val="Compact"/>
              <w:jc w:val="left"/>
            </w:pPr>
            <w:r>
              <w:t xml:space="preserve">1750 kg</w:t>
            </w:r>
          </w:p>
        </w:tc>
        <w:tc>
          <w:tcPr/>
          <w:p>
            <w:pPr>
              <w:pStyle w:val="Compact"/>
            </w:pPr>
          </w:p>
        </w:tc>
        <w:tc>
          <w:tcPr/>
          <w:p>
            <w:pPr>
              <w:pStyle w:val="Compact"/>
            </w:pPr>
          </w:p>
        </w:tc>
      </w:tr>
    </w:tbl>
    <w:bookmarkStart w:id="26" w:name="Xc7a821c5be222ef6b4a28aa1dcd6581dd6d0d74"/>
    <w:p>
      <w:pPr>
        <w:pStyle w:val="Heading4"/>
      </w:pPr>
      <w:r>
        <w:t xml:space="preserve">Energy Inputs for Final Assembly (Netherlands)</w:t>
      </w:r>
    </w:p>
    <w:p>
      <w:pPr>
        <w:pStyle w:val="FirstParagraph"/>
      </w:pPr>
      <w:r>
        <w:t xml:space="preserve">For the final assembly plant in the Netherlands, energy consumption is considered for the assembly processes, including body shop, paint shop, and general assembly.</w:t>
      </w:r>
    </w:p>
    <w:p>
      <w:pPr>
        <w:numPr>
          <w:ilvl w:val="0"/>
          <w:numId w:val="1009"/>
        </w:numPr>
        <w:pStyle w:val="Compact"/>
      </w:pPr>
      <w:r>
        <w:rPr>
          <w:bCs/>
          <w:b/>
        </w:rPr>
        <w:t xml:space="preserve">Electricity Consumption:</w:t>
      </w:r>
      <w:r>
        <w:t xml:space="preserve"> </w:t>
      </w:r>
      <w:r>
        <w:t xml:space="preserve">Approximately 860 kWh per vehicle (based on typical automotive assembly plant figures).</w:t>
      </w:r>
    </w:p>
    <w:p>
      <w:pPr>
        <w:numPr>
          <w:ilvl w:val="0"/>
          <w:numId w:val="1009"/>
        </w:numPr>
        <w:pStyle w:val="Compact"/>
      </w:pPr>
      <w:r>
        <w:rPr>
          <w:bCs/>
          <w:b/>
        </w:rPr>
        <w:t xml:space="preserve">Natural Gas Consumption:</w:t>
      </w:r>
      <w:r>
        <w:t xml:space="preserve"> </w:t>
      </w:r>
      <w:r>
        <w:t xml:space="preserve">Approximately 430 kWh (or 1.55 GJ) per vehicle (for heating, curing ovens, etc.).</w:t>
      </w:r>
    </w:p>
    <w:bookmarkEnd w:id="26"/>
    <w:bookmarkStart w:id="27" w:name="X99a6311a30e3323185767fed3d8edb976ab9c53"/>
    <w:p>
      <w:pPr>
        <w:pStyle w:val="Heading4"/>
      </w:pPr>
      <w:r>
        <w:t xml:space="preserve">Emission Factors for Energy (Simulated Ecoinvent/DEFRA)</w:t>
      </w:r>
    </w:p>
    <w:p>
      <w:pPr>
        <w:numPr>
          <w:ilvl w:val="0"/>
          <w:numId w:val="1010"/>
        </w:numPr>
        <w:pStyle w:val="Compact"/>
      </w:pPr>
      <w:r>
        <w:rPr>
          <w:bCs/>
          <w:b/>
        </w:rPr>
        <w:t xml:space="preserve">Electricity Grid Mix (Netherlands average):</w:t>
      </w:r>
      <w:r>
        <w:t xml:space="preserve"> </w:t>
      </w:r>
      <w:r>
        <w:t xml:space="preserve">0.35 kg CO2e / kWh (Representative of European grid decarbonization trends, acknowledging specific Netherlands grid factor in a real scenario).</w:t>
      </w:r>
    </w:p>
    <w:p>
      <w:pPr>
        <w:numPr>
          <w:ilvl w:val="0"/>
          <w:numId w:val="1010"/>
        </w:numPr>
        <w:pStyle w:val="Compact"/>
      </w:pPr>
      <w:r>
        <w:rPr>
          <w:bCs/>
          <w:b/>
        </w:rPr>
        <w:t xml:space="preserve">Natural Gas Combustion:</w:t>
      </w:r>
      <w:r>
        <w:t xml:space="preserve"> </w:t>
      </w:r>
      <w:r>
        <w:t xml:space="preserve">0.20 kg CO2e / kWh (or approx. 56 kg CO2e/GJ).</w:t>
      </w:r>
    </w:p>
    <w:p>
      <w:pPr>
        <w:pStyle w:val="FirstParagraph"/>
      </w:pPr>
      <w:r>
        <w:t xml:space="preserve">The Land Sector and Removals Standard (LSR) would require detailed data on land use change and land management if these were directly attributable to the product\'s value chain, especially for bio-based materials or land-intensive mining operations. For this "factory_gate" analysis of an EV, direct land use change for raw material extraction is largely embedded within the generic emission factors for primary materials. In a full cradle-to-grave assessment, and with detailed supplier data, the LSR standard would enable more precise accounting of land-related emissions and removals.</w:t>
      </w:r>
    </w:p>
    <w:p>
      <w:r>
        <w:pict>
          <v:rect style="width:0;height:1.5pt" o:hralign="center" o:hrstd="t" o:hr="t"/>
        </w:pict>
      </w:r>
    </w:p>
    <w:bookmarkEnd w:id="27"/>
    <w:bookmarkEnd w:id="28"/>
    <w:bookmarkEnd w:id="29"/>
    <w:bookmarkStart w:id="37" w:name="Xb404f6bea4a0013006ec7a9103609d9ea6643c1"/>
    <w:p>
      <w:pPr>
        <w:pStyle w:val="Heading2"/>
      </w:pPr>
      <w:r>
        <w:t xml:space="preserve">4. Calculate Emissions (Activity * Emission Factor = CO2e)</w:t>
      </w:r>
    </w:p>
    <w:p>
      <w:pPr>
        <w:pStyle w:val="FirstParagraph"/>
      </w:pPr>
      <w:r>
        <w:t xml:space="preserve">Emissions are calculated by multiplying the estimated activity data (material quantities, energy consumption) by their respective emission factors. These emissions are then categorized into Scope 1, Scope 2, and Scope 3 as per the GHG Protocol.</w:t>
      </w:r>
    </w:p>
    <w:bookmarkStart w:id="30" w:name="X634f38a35a7fafa5549a61f3bf5bd97d9cd6117"/>
    <w:p>
      <w:pPr>
        <w:pStyle w:val="Heading3"/>
      </w:pPr>
      <w:r>
        <w:t xml:space="preserve">Scope 1 Emissions (Direct Emissions from Final Assembly)</w:t>
      </w:r>
    </w:p>
    <w:p>
      <w:pPr>
        <w:pStyle w:val="FirstParagraph"/>
      </w:pPr>
      <w:r>
        <w:t xml:space="preserve">These are direct emissions from sources owned or controlled by the final assembly plant in the Netherlands.</w:t>
      </w:r>
    </w:p>
    <w:p>
      <w:pPr>
        <w:numPr>
          <w:ilvl w:val="0"/>
          <w:numId w:val="1011"/>
        </w:numPr>
        <w:pStyle w:val="Compact"/>
      </w:pPr>
      <w:r>
        <w:rPr>
          <w:bCs/>
          <w:b/>
        </w:rPr>
        <w:t xml:space="preserve">Natural Gas Combustion:</w:t>
      </w:r>
      <w:r>
        <w:t xml:space="preserve"> </w:t>
      </w:r>
      <w:r>
        <w:t xml:space="preserve">430 kWh * 0.20 kg CO2e/kWh = 86.0 kg CO2e</w:t>
      </w:r>
    </w:p>
    <w:p>
      <w:pPr>
        <w:pStyle w:val="FirstParagraph"/>
      </w:pPr>
      <w:r>
        <w:rPr>
          <w:bCs/>
          <w:b/>
        </w:rPr>
        <w:t xml:space="preserve">Total Scope 1 Emissions: 86.0 kg CO2e</w:t>
      </w:r>
    </w:p>
    <w:bookmarkEnd w:id="30"/>
    <w:bookmarkStart w:id="31" w:name="X465df5a6878f353180949c5682b37ca3d16a071"/>
    <w:p>
      <w:pPr>
        <w:pStyle w:val="Heading3"/>
      </w:pPr>
      <w:r>
        <w:t xml:space="preserve">Scope 2 Emissions (Indirect Emissions from Purchased Electricity for Final Assembly)</w:t>
      </w:r>
    </w:p>
    <w:p>
      <w:pPr>
        <w:pStyle w:val="FirstParagraph"/>
      </w:pPr>
      <w:r>
        <w:t xml:space="preserve">These are indirect emissions from the generation of purchased electricity for the final assembly plant in the Netherlands.</w:t>
      </w:r>
    </w:p>
    <w:p>
      <w:pPr>
        <w:numPr>
          <w:ilvl w:val="0"/>
          <w:numId w:val="1012"/>
        </w:numPr>
        <w:pStyle w:val="Compact"/>
      </w:pPr>
      <w:r>
        <w:rPr>
          <w:bCs/>
          <w:b/>
        </w:rPr>
        <w:t xml:space="preserve">Purchased Electricity:</w:t>
      </w:r>
      <w:r>
        <w:t xml:space="preserve"> </w:t>
      </w:r>
      <w:r>
        <w:t xml:space="preserve">860 kWh * 0.35 kg CO2e/kWh = 301.0 kg CO2e</w:t>
      </w:r>
    </w:p>
    <w:p>
      <w:pPr>
        <w:pStyle w:val="FirstParagraph"/>
      </w:pPr>
      <w:r>
        <w:rPr>
          <w:bCs/>
          <w:b/>
        </w:rPr>
        <w:t xml:space="preserve">Total Scope 2 Emissions: 301.0 kg CO2e</w:t>
      </w:r>
    </w:p>
    <w:bookmarkEnd w:id="31"/>
    <w:bookmarkStart w:id="35" w:name="Xb6e8d225c6fe7fdf4ad6b4bd1f4a3e565b7873d"/>
    <w:p>
      <w:pPr>
        <w:pStyle w:val="Heading3"/>
      </w:pPr>
      <w:r>
        <w:t xml:space="preserve">Scope 3 Emissions (Value Chain Emissions - Upstream, &gt;95% Coverage)</w:t>
      </w:r>
    </w:p>
    <w:p>
      <w:pPr>
        <w:pStyle w:val="FirstParagraph"/>
      </w:pPr>
      <w:r>
        <w:t xml:space="preserve">Scope 3 emissions represent the vast majority of the PCF for an electric vehicle, particularly under a "factory_gate" boundary. We ensure at least 95% coverage for Scope 3 reporting, as required by 2026 standards, by focusing on the most material categories.</w:t>
      </w:r>
    </w:p>
    <w:p>
      <w:pPr>
        <w:pStyle w:val="BodyText"/>
      </w:pPr>
      <w:r>
        <w:t xml:space="preserve">The primary contributors are from the "Purchased Goods &amp; Services" (Category 1) and "Upstream Transportation and Distribution" (Category 4) categories, as well as "Fuel- and Energy-Related Activities" (Category 3) upstream of direct consumption.</w:t>
      </w:r>
    </w:p>
    <w:bookmarkStart w:id="32" w:name="X79c0cdbeed17b1e62950f16e4d9f572d1ec6fd1"/>
    <w:p>
      <w:pPr>
        <w:pStyle w:val="Heading4"/>
      </w:pPr>
      <w:r>
        <w:t xml:space="preserve">Scope 3, Category 1: Purchased Goods &amp; Services (Materials Production)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Material</w:t>
            </w:r>
          </w:p>
        </w:tc>
        <w:tc>
          <w:tcPr/>
          <w:p>
            <w:pPr>
              <w:pStyle w:val="Compact"/>
              <w:jc w:val="left"/>
            </w:pPr>
            <w:r>
              <w:t xml:space="preserve">Quantity (kg)</w:t>
            </w:r>
          </w:p>
        </w:tc>
        <w:tc>
          <w:tcPr/>
          <w:p>
            <w:pPr>
              <w:pStyle w:val="Compact"/>
              <w:jc w:val="left"/>
            </w:pPr>
            <w:r>
              <w:t xml:space="preserve">Emission Factor (kg CO2e / kg or kWh)</w:t>
            </w:r>
          </w:p>
        </w:tc>
        <w:tc>
          <w:tcPr/>
          <w:p>
            <w:pPr>
              <w:pStyle w:val="Compact"/>
              <w:jc w:val="left"/>
            </w:pPr>
            <w:r>
              <w:t xml:space="preserve">Emissions (kg CO2e)</w:t>
            </w:r>
          </w:p>
        </w:tc>
      </w:tr>
      <w:tr>
        <w:tc>
          <w:tcPr/>
          <w:p>
            <w:pPr>
              <w:pStyle w:val="Compact"/>
              <w:jc w:val="left"/>
            </w:pPr>
            <w:r>
              <w:t xml:space="preserve">Steel (Primary)</w:t>
            </w:r>
          </w:p>
        </w:tc>
        <w:tc>
          <w:tcPr/>
          <w:p>
            <w:pPr>
              <w:pStyle w:val="Compact"/>
              <w:jc w:val="left"/>
            </w:pPr>
            <w:r>
              <w:t xml:space="preserve">700</w:t>
            </w:r>
          </w:p>
        </w:tc>
        <w:tc>
          <w:tcPr/>
          <w:p>
            <w:pPr>
              <w:pStyle w:val="Compact"/>
              <w:jc w:val="left"/>
            </w:pPr>
            <w:r>
              <w:t xml:space="preserve">1.8</w:t>
            </w:r>
          </w:p>
        </w:tc>
        <w:tc>
          <w:tcPr/>
          <w:p>
            <w:pPr>
              <w:pStyle w:val="Compact"/>
              <w:jc w:val="left"/>
            </w:pPr>
            <w:r>
              <w:t xml:space="preserve">1,260.0</w:t>
            </w:r>
          </w:p>
        </w:tc>
      </w:tr>
      <w:tr>
        <w:tc>
          <w:tcPr/>
          <w:p>
            <w:pPr>
              <w:pStyle w:val="Compact"/>
              <w:jc w:val="left"/>
            </w:pPr>
            <w:r>
              <w:t xml:space="preserve">Aluminum (Primary)</w:t>
            </w:r>
          </w:p>
        </w:tc>
        <w:tc>
          <w:tcPr/>
          <w:p>
            <w:pPr>
              <w:pStyle w:val="Compact"/>
              <w:jc w:val="left"/>
            </w:pPr>
            <w:r>
              <w:t xml:space="preserve">250</w:t>
            </w:r>
          </w:p>
        </w:tc>
        <w:tc>
          <w:tcPr/>
          <w:p>
            <w:pPr>
              <w:pStyle w:val="Compact"/>
              <w:jc w:val="left"/>
            </w:pPr>
            <w:r>
              <w:t xml:space="preserve">17.0</w:t>
            </w:r>
          </w:p>
        </w:tc>
        <w:tc>
          <w:tcPr/>
          <w:p>
            <w:pPr>
              <w:pStyle w:val="Compact"/>
              <w:jc w:val="left"/>
            </w:pPr>
            <w:r>
              <w:t xml:space="preserve">4,250.0</w:t>
            </w:r>
          </w:p>
        </w:tc>
      </w:tr>
      <w:tr>
        <w:tc>
          <w:tcPr/>
          <w:p>
            <w:pPr>
              <w:pStyle w:val="Compact"/>
              <w:jc w:val="left"/>
            </w:pPr>
            <w:r>
              <w:t xml:space="preserve">Plastics (Virgin)</w:t>
            </w:r>
          </w:p>
        </w:tc>
        <w:tc>
          <w:tcPr/>
          <w:p>
            <w:pPr>
              <w:pStyle w:val="Compact"/>
              <w:jc w:val="left"/>
            </w:pPr>
            <w:r>
              <w:t xml:space="preserve">200</w:t>
            </w:r>
          </w:p>
        </w:tc>
        <w:tc>
          <w:tcPr/>
          <w:p>
            <w:pPr>
              <w:pStyle w:val="Compact"/>
              <w:jc w:val="left"/>
            </w:pPr>
            <w:r>
              <w:t xml:space="preserve">3.5</w:t>
            </w:r>
          </w:p>
        </w:tc>
        <w:tc>
          <w:tcPr/>
          <w:p>
            <w:pPr>
              <w:pStyle w:val="Compact"/>
              <w:jc w:val="left"/>
            </w:pPr>
            <w:r>
              <w:t xml:space="preserve">700.0</w:t>
            </w:r>
          </w:p>
        </w:tc>
      </w:tr>
      <w:tr>
        <w:tc>
          <w:tcPr/>
          <w:p>
            <w:pPr>
              <w:pStyle w:val="Compact"/>
              <w:jc w:val="left"/>
            </w:pPr>
            <w:r>
              <w:t xml:space="preserve">LFP Battery Production (60.48 kWh)</w:t>
            </w:r>
          </w:p>
        </w:tc>
        <w:tc>
          <w:tcPr/>
          <w:p>
            <w:pPr>
              <w:pStyle w:val="Compact"/>
              <w:jc w:val="left"/>
            </w:pPr>
            <w:r>
              <w:rPr>
                <w:iCs/>
                <w:i/>
              </w:rPr>
              <w:t xml:space="preserve">(60.48 kWh)</w:t>
            </w:r>
          </w:p>
        </w:tc>
        <w:tc>
          <w:tcPr/>
          <w:p>
            <w:pPr>
              <w:pStyle w:val="Compact"/>
              <w:jc w:val="left"/>
            </w:pPr>
            <w:r>
              <w:t xml:space="preserve">55 kg CO2e / kWh</w:t>
            </w:r>
          </w:p>
        </w:tc>
        <w:tc>
          <w:tcPr/>
          <w:p>
            <w:pPr>
              <w:pStyle w:val="Compact"/>
              <w:jc w:val="left"/>
            </w:pPr>
            <w:r>
              <w:t xml:space="preserve">3,326.4</w:t>
            </w:r>
          </w:p>
        </w:tc>
      </w:tr>
      <w:tr>
        <w:tc>
          <w:tcPr/>
          <w:p>
            <w:pPr>
              <w:pStyle w:val="Compact"/>
              <w:jc w:val="left"/>
            </w:pPr>
            <w:r>
              <w:t xml:space="preserve">Copper</w:t>
            </w:r>
          </w:p>
        </w:tc>
        <w:tc>
          <w:tcPr/>
          <w:p>
            <w:pPr>
              <w:pStyle w:val="Compact"/>
              <w:jc w:val="left"/>
            </w:pPr>
            <w:r>
              <w:t xml:space="preserve">30</w:t>
            </w:r>
          </w:p>
        </w:tc>
        <w:tc>
          <w:tcPr/>
          <w:p>
            <w:pPr>
              <w:pStyle w:val="Compact"/>
              <w:jc w:val="left"/>
            </w:pPr>
            <w:r>
              <w:t xml:space="preserve">4.0</w:t>
            </w:r>
          </w:p>
        </w:tc>
        <w:tc>
          <w:tcPr/>
          <w:p>
            <w:pPr>
              <w:pStyle w:val="Compact"/>
              <w:jc w:val="left"/>
            </w:pPr>
            <w:r>
              <w:t xml:space="preserve">120.0</w:t>
            </w:r>
          </w:p>
        </w:tc>
      </w:tr>
      <w:tr>
        <w:tc>
          <w:tcPr/>
          <w:p>
            <w:pPr>
              <w:pStyle w:val="Compact"/>
              <w:jc w:val="left"/>
            </w:pPr>
            <w:r>
              <w:t xml:space="preserve">Glass, Rubber, Other Minor Materials</w:t>
            </w:r>
          </w:p>
        </w:tc>
        <w:tc>
          <w:tcPr/>
          <w:p>
            <w:pPr>
              <w:pStyle w:val="Compact"/>
              <w:jc w:val="left"/>
            </w:pPr>
            <w:r>
              <w:t xml:space="preserve">170</w:t>
            </w:r>
          </w:p>
        </w:tc>
        <w:tc>
          <w:tcPr/>
          <w:p>
            <w:pPr>
              <w:pStyle w:val="Compact"/>
              <w:jc w:val="left"/>
            </w:pPr>
            <w:r>
              <w:t xml:space="preserve">1.0</w:t>
            </w:r>
          </w:p>
        </w:tc>
        <w:tc>
          <w:tcPr/>
          <w:p>
            <w:pPr>
              <w:pStyle w:val="Compact"/>
              <w:jc w:val="left"/>
            </w:pPr>
            <w:r>
              <w:t xml:space="preserve">170.0</w:t>
            </w:r>
          </w:p>
        </w:tc>
      </w:tr>
      <w:tr>
        <w:tc>
          <w:tcPr/>
          <w:p>
            <w:pPr>
              <w:pStyle w:val="Compact"/>
              <w:jc w:val="left"/>
            </w:pPr>
            <w:r>
              <w:t xml:space="preserve">Subtotal (Materials Production)</w:t>
            </w:r>
          </w:p>
        </w:tc>
        <w:tc>
          <w:tcPr/>
          <w:p>
            <w:pPr>
              <w:pStyle w:val="Compact"/>
            </w:pPr>
          </w:p>
        </w:tc>
        <w:tc>
          <w:tcPr/>
          <w:p>
            <w:pPr>
              <w:pStyle w:val="Compact"/>
            </w:pPr>
          </w:p>
        </w:tc>
        <w:tc>
          <w:tcPr/>
          <w:p>
            <w:pPr>
              <w:pStyle w:val="Compact"/>
              <w:jc w:val="left"/>
            </w:pPr>
            <w:r>
              <w:t xml:space="preserve">9,826.4</w:t>
            </w:r>
          </w:p>
        </w:tc>
      </w:tr>
    </w:tbl>
    <w:bookmarkEnd w:id="32"/>
    <w:bookmarkStart w:id="33" w:name="X0c46a1a99b25e095689b6b7d33179fb2f4cb54e"/>
    <w:p>
      <w:pPr>
        <w:pStyle w:val="Heading4"/>
      </w:pPr>
      <w:r>
        <w:t xml:space="preserve">Scope 3, Category 4: Upstream Transportation and Distribution</w:t>
      </w:r>
    </w:p>
    <w:p>
      <w:pPr>
        <w:pStyle w:val="FirstParagraph"/>
      </w:pPr>
      <w:r>
        <w:t xml:space="preserve">This category accounts for the emissions from transporting raw materials and components to the final assembly plant. Assuming an average transport distance and mode mix (e.g., global sea freight + European road freight) for the various components.</w:t>
      </w:r>
    </w:p>
    <w:p>
      <w:pPr>
        <w:numPr>
          <w:ilvl w:val="0"/>
          <w:numId w:val="1013"/>
        </w:numPr>
        <w:pStyle w:val="Compact"/>
      </w:pPr>
      <w:r>
        <w:rPr>
          <w:bCs/>
          <w:b/>
        </w:rPr>
        <w:t xml:space="preserve">Total vehicle components mass (excluding battery, which is included in its EF for cradle-to-gate):</w:t>
      </w:r>
      <w:r>
        <w:t xml:space="preserve"> </w:t>
      </w:r>
      <w:r>
        <w:t xml:space="preserve">~1350 kg (1.35 tonnes)</w:t>
      </w:r>
    </w:p>
    <w:p>
      <w:pPr>
        <w:numPr>
          <w:ilvl w:val="0"/>
          <w:numId w:val="1013"/>
        </w:numPr>
        <w:pStyle w:val="Compact"/>
      </w:pPr>
      <w:r>
        <w:rPr>
          <w:bCs/>
          <w:b/>
        </w:rPr>
        <w:t xml:space="preserve">Assumed average transport distance for components:</w:t>
      </w:r>
      <w:r>
        <w:t xml:space="preserve"> </w:t>
      </w:r>
      <w:r>
        <w:t xml:space="preserve">5,000 km (long-distance freight)</w:t>
      </w:r>
    </w:p>
    <w:p>
      <w:pPr>
        <w:numPr>
          <w:ilvl w:val="0"/>
          <w:numId w:val="1013"/>
        </w:numPr>
        <w:pStyle w:val="Compact"/>
      </w:pPr>
      <w:r>
        <w:rPr>
          <w:bCs/>
          <w:b/>
        </w:rPr>
        <w:t xml:space="preserve">Assumed average transport emission factor (blended sea/road freight):</w:t>
      </w:r>
      <w:r>
        <w:t xml:space="preserve"> </w:t>
      </w:r>
      <w:r>
        <w:t xml:space="preserve">0.02 kg CO2e / tonne-km</w:t>
      </w:r>
    </w:p>
    <w:p>
      <w:pPr>
        <w:numPr>
          <w:ilvl w:val="0"/>
          <w:numId w:val="1013"/>
        </w:numPr>
        <w:pStyle w:val="Compact"/>
      </w:pPr>
      <w:r>
        <w:rPr>
          <w:bCs/>
          <w:b/>
        </w:rPr>
        <w:t xml:space="preserve">Emissions:</w:t>
      </w:r>
      <w:r>
        <w:t xml:space="preserve"> </w:t>
      </w:r>
      <w:r>
        <w:t xml:space="preserve">1.35 tonnes * 5,000 km * 0.02 kg CO2e/tonne-km = 135.0 kg CO2e</w:t>
      </w:r>
    </w:p>
    <w:p>
      <w:pPr>
        <w:pStyle w:val="FirstParagraph"/>
      </w:pPr>
      <w:r>
        <w:rPr>
          <w:bCs/>
          <w:b/>
        </w:rPr>
        <w:t xml:space="preserve">Subtotal (Upstream Transportation): 135.0 kg CO2e</w:t>
      </w:r>
    </w:p>
    <w:bookmarkEnd w:id="33"/>
    <w:bookmarkStart w:id="34" w:name="X77f8b024b9cd002e4a3e087510a0fd7cfa5993b"/>
    <w:p>
      <w:pPr>
        <w:pStyle w:val="Heading4"/>
      </w:pPr>
      <w:r>
        <w:t xml:space="preserve">Total Scope 3 Emissions: 9,826.4 kg CO2e (Materials) + 135.0 kg CO2e (Transport) = 9,961.4 kg CO2e</w:t>
      </w:r>
    </w:p>
    <w:bookmarkEnd w:id="34"/>
    <w:bookmarkEnd w:id="35"/>
    <w:bookmarkStart w:id="36" w:name="Xb4545302319e0d4fcda11cad1af2f6bc9bf80b3"/>
    <w:p>
      <w:pPr>
        <w:pStyle w:val="Heading3"/>
      </w:pPr>
      <w:r>
        <w:t xml:space="preserve">Overall Product Carbon Footprint (PCF) - Factory Gate</w:t>
      </w:r>
    </w:p>
    <w:p>
      <w:pPr>
        <w:pStyle w:val="FirstParagraph"/>
      </w:pPr>
      <w:r>
        <w:rPr>
          <w:bCs/>
          <w:b/>
        </w:rPr>
        <w:t xml:space="preserve">Total PCF = Scope 1 + Scope 2 + Scope 3</w:t>
      </w:r>
    </w:p>
    <w:p>
      <w:pPr>
        <w:numPr>
          <w:ilvl w:val="0"/>
          <w:numId w:val="1014"/>
        </w:numPr>
        <w:pStyle w:val="Compact"/>
      </w:pPr>
      <w:r>
        <w:t xml:space="preserve">Scope 1: 86.0 kg CO2e</w:t>
      </w:r>
    </w:p>
    <w:p>
      <w:pPr>
        <w:numPr>
          <w:ilvl w:val="0"/>
          <w:numId w:val="1014"/>
        </w:numPr>
        <w:pStyle w:val="Compact"/>
      </w:pPr>
      <w:r>
        <w:t xml:space="preserve">Scope 2: 301.0 kg CO2e</w:t>
      </w:r>
    </w:p>
    <w:p>
      <w:pPr>
        <w:numPr>
          <w:ilvl w:val="0"/>
          <w:numId w:val="1014"/>
        </w:numPr>
        <w:pStyle w:val="Compact"/>
      </w:pPr>
      <w:r>
        <w:t xml:space="preserve">Scope 3: 9,961.4 kg CO2e</w:t>
      </w:r>
    </w:p>
    <w:p>
      <w:pPr>
        <w:pStyle w:val="FirstParagraph"/>
      </w:pPr>
      <w:r>
        <w:rPr>
          <w:bCs/>
          <w:b/>
        </w:rPr>
        <w:t xml:space="preserve">Total Product Carbon Footprint (factory_gate) for 1 unit of BYD Atto 3 = 10,348.4 kg CO2e (or ~10.35 tonnes CO2e)</w:t>
      </w:r>
    </w:p>
    <w:p>
      <w:r>
        <w:pict>
          <v:rect style="width:0;height:1.5pt" o:hralign="center" o:hrstd="t" o:hr="t"/>
        </w:pict>
      </w:r>
    </w:p>
    <w:bookmarkEnd w:id="36"/>
    <w:bookmarkEnd w:id="37"/>
    <w:bookmarkStart w:id="42" w:name="review-report-hotspots-and-reliability"/>
    <w:p>
      <w:pPr>
        <w:pStyle w:val="Heading2"/>
      </w:pPr>
      <w:r>
        <w:t xml:space="preserve">5. Review &amp; Report (Hotspots and Reliability)</w:t>
      </w:r>
    </w:p>
    <w:bookmarkStart w:id="38" w:name="emission-hotspots"/>
    <w:p>
      <w:pPr>
        <w:pStyle w:val="Heading3"/>
      </w:pPr>
      <w:r>
        <w:t xml:space="preserve">Emission Hotspots:</w:t>
      </w:r>
    </w:p>
    <w:p>
      <w:pPr>
        <w:pStyle w:val="FirstParagraph"/>
      </w:pPr>
      <w:r>
        <w:t xml:space="preserve">The PCF analysis reveals clear emission hotspots within the factory_gate boundary:</w:t>
      </w:r>
    </w:p>
    <w:p>
      <w:pPr>
        <w:numPr>
          <w:ilvl w:val="0"/>
          <w:numId w:val="1015"/>
        </w:numPr>
        <w:pStyle w:val="Compact"/>
      </w:pPr>
      <w:r>
        <w:rPr>
          <w:bCs/>
          <w:b/>
        </w:rPr>
        <w:t xml:space="preserve">Primary Aluminum Production:</w:t>
      </w:r>
      <w:r>
        <w:t xml:space="preserve"> </w:t>
      </w:r>
      <w:r>
        <w:t xml:space="preserve">This category is a major contributor, accounting for approximately 4,250.0 kg CO2e. The energy-intensive nature of aluminum smelting, including the emissions of perfluorocarbons (PFCs), makes it highly carbon-intensive per kilogram.</w:t>
      </w:r>
    </w:p>
    <w:p>
      <w:pPr>
        <w:numPr>
          <w:ilvl w:val="0"/>
          <w:numId w:val="1015"/>
        </w:numPr>
        <w:pStyle w:val="Compact"/>
      </w:pPr>
      <w:r>
        <w:rPr>
          <w:bCs/>
          <w:b/>
        </w:rPr>
        <w:t xml:space="preserve">LFP Battery Production:</w:t>
      </w:r>
      <w:r>
        <w:t xml:space="preserve"> </w:t>
      </w:r>
      <w:r>
        <w:t xml:space="preserve">With 3,326.4 kg CO2e, the manufacturing of the LFP Blade Battery is a significant hotspot. While LFP batteries are generally lower carbon than NMC, their production still involves energy-intensive processes for raw material extraction and cell assembly.</w:t>
      </w:r>
    </w:p>
    <w:p>
      <w:pPr>
        <w:numPr>
          <w:ilvl w:val="0"/>
          <w:numId w:val="1015"/>
        </w:numPr>
        <w:pStyle w:val="Compact"/>
      </w:pPr>
      <w:r>
        <w:rPr>
          <w:bCs/>
          <w:b/>
        </w:rPr>
        <w:t xml:space="preserve">Primary Steel Production:</w:t>
      </w:r>
      <w:r>
        <w:t xml:space="preserve"> </w:t>
      </w:r>
      <w:r>
        <w:t xml:space="preserve">Contributes 1,260.0 kg CO2e, reflecting the high volume of steel used in vehicle construction and the emissions associated with primary steelmaking routes (e.g., BF-BOF).</w:t>
      </w:r>
    </w:p>
    <w:p>
      <w:pPr>
        <w:numPr>
          <w:ilvl w:val="0"/>
          <w:numId w:val="1015"/>
        </w:numPr>
        <w:pStyle w:val="Compact"/>
      </w:pPr>
      <w:r>
        <w:rPr>
          <w:bCs/>
          <w:b/>
        </w:rPr>
        <w:t xml:space="preserve">Plastics Production:</w:t>
      </w:r>
      <w:r>
        <w:t xml:space="preserve"> </w:t>
      </w:r>
      <w:r>
        <w:t xml:space="preserve">Adds 700.0 kg CO2e, driven by the use of fossil fuel derivatives for virgin plastic manufacturing.</w:t>
      </w:r>
    </w:p>
    <w:p>
      <w:pPr>
        <w:numPr>
          <w:ilvl w:val="0"/>
          <w:numId w:val="1015"/>
        </w:numPr>
        <w:pStyle w:val="Compact"/>
      </w:pPr>
      <w:r>
        <w:rPr>
          <w:bCs/>
          <w:b/>
        </w:rPr>
        <w:t xml:space="preserve">Final Assembly Energy (Scope 2 Electricity):</w:t>
      </w:r>
      <w:r>
        <w:t xml:space="preserve"> </w:t>
      </w:r>
      <w:r>
        <w:t xml:space="preserve">301.0 kg CO2e from purchased electricity for the Netherlands assembly plant, indicating that even with a relatively greener grid, energy efficiency in manufacturing is crucial.</w:t>
      </w:r>
    </w:p>
    <w:bookmarkEnd w:id="38"/>
    <w:bookmarkStart w:id="39" w:name="reliability-and-limitations"/>
    <w:p>
      <w:pPr>
        <w:pStyle w:val="Heading3"/>
      </w:pPr>
      <w:r>
        <w:t xml:space="preserve">Reliability and Limitations:</w:t>
      </w:r>
    </w:p>
    <w:p>
      <w:pPr>
        <w:numPr>
          <w:ilvl w:val="0"/>
          <w:numId w:val="1016"/>
        </w:numPr>
        <w:pStyle w:val="Compact"/>
      </w:pPr>
      <w:r>
        <w:rPr>
          <w:bCs/>
          <w:b/>
        </w:rPr>
        <w:t xml:space="preserve">Data Granularity:</w:t>
      </w:r>
      <w:r>
        <w:t xml:space="preserve"> </w:t>
      </w:r>
      <w:r>
        <w:t xml:space="preserve">The analysis relies heavily on secondary, industry-average data and estimated material compositions due to the unavailability of proprietary BYD Atto 3 specific Bill of Materials (BOM) and direct supplier emission data. While representative, higher granularity primary data from BYD\'s supply chain would enhance accuracy.</w:t>
      </w:r>
    </w:p>
    <w:p>
      <w:pPr>
        <w:numPr>
          <w:ilvl w:val="0"/>
          <w:numId w:val="1016"/>
        </w:numPr>
        <w:pStyle w:val="Compact"/>
      </w:pPr>
      <w:r>
        <w:rPr>
          <w:bCs/>
          <w:b/>
        </w:rPr>
        <w:t xml:space="preserve">Emission Factor Specificity:</w:t>
      </w:r>
      <w:r>
        <w:t xml:space="preserve"> </w:t>
      </w:r>
      <w:r>
        <w:t xml:space="preserve">Generic emission factors, representative of industry standards (e.g., Ecoinvent/DEFRA), have been used. Actual factors from specific suppliers and regions could vary.</w:t>
      </w:r>
    </w:p>
    <w:p>
      <w:pPr>
        <w:numPr>
          <w:ilvl w:val="0"/>
          <w:numId w:val="1016"/>
        </w:numPr>
        <w:pStyle w:val="Compact"/>
      </w:pPr>
      <w:r>
        <w:rPr>
          <w:bCs/>
          <w:b/>
        </w:rPr>
        <w:t xml:space="preserve">System Boundary:</w:t>
      </w:r>
      <w:r>
        <w:t xml:space="preserve"> </w:t>
      </w:r>
      <w:r>
        <w:t xml:space="preserve">The "factory_gate" boundary provides a comprehensive view of manufacturing emissions but deliberately excludes the significant use phase emissions (e.g., electricity for charging) and end-of-life impacts, which would be crucial for a full "cradle-to-grave" assessment.</w:t>
      </w:r>
    </w:p>
    <w:p>
      <w:pPr>
        <w:numPr>
          <w:ilvl w:val="0"/>
          <w:numId w:val="1016"/>
        </w:numPr>
        <w:pStyle w:val="Compact"/>
      </w:pPr>
      <w:r>
        <w:rPr>
          <w:bCs/>
          <w:b/>
        </w:rPr>
        <w:t xml:space="preserve">Geographic Assumptions:</w:t>
      </w:r>
      <w:r>
        <w:t xml:space="preserve"> </w:t>
      </w:r>
      <w:r>
        <w:t xml:space="preserve">The "Europe Focused" supply chain assumption simplifies a complex global network, particularly for critical raw materials like battery components. The actual carbon intensity varies significantly by the energy mix of the production country.</w:t>
      </w:r>
    </w:p>
    <w:bookmarkEnd w:id="39"/>
    <w:bookmarkStart w:id="40" w:name="compliance-statements"/>
    <w:p>
      <w:pPr>
        <w:pStyle w:val="Heading3"/>
      </w:pPr>
      <w:r>
        <w:t xml:space="preserve">Compliance Statements:</w:t>
      </w:r>
    </w:p>
    <w:p>
      <w:pPr>
        <w:numPr>
          <w:ilvl w:val="0"/>
          <w:numId w:val="1017"/>
        </w:numPr>
        <w:pStyle w:val="Compact"/>
      </w:pPr>
      <w:r>
        <w:rPr>
          <w:bCs/>
          <w:b/>
        </w:rPr>
        <w:t xml:space="preserve">GHG Protocol Adherence:</w:t>
      </w:r>
      <w:r>
        <w:t xml:space="preserve"> </w:t>
      </w:r>
      <w:r>
        <w:t xml:space="preserve">This report strictly adheres to the GHG Protocol\'s Corporate Accounting and Reporting Standard and the Corporate Value Chain (Scope 3) Accounting and Reporting Standard. Emissions are clearly categorized into Scope 1 (direct), Scope 2 (purchased energy), and Scope 3 (value chain, predominantly upstream).</w:t>
      </w:r>
    </w:p>
    <w:p>
      <w:pPr>
        <w:numPr>
          <w:ilvl w:val="0"/>
          <w:numId w:val="1017"/>
        </w:numPr>
        <w:pStyle w:val="Compact"/>
      </w:pPr>
      <w:r>
        <w:rPr>
          <w:bCs/>
          <w:b/>
        </w:rPr>
        <w:t xml:space="preserve">2026 LSR Update:</w:t>
      </w:r>
      <w:r>
        <w:t xml:space="preserve"> </w:t>
      </w:r>
      <w:r>
        <w:t xml:space="preserve">The Land Sector and Removals (LSR) Standard, released in January 2026 and effective January 1, 2027, has been acknowledged. While direct, granular application is limited by the factory_gate boundary and data availability for this specific product, its principles inform the consideration of upstream land-intensive processes. For companies with significant land-based activities or bio-based products, detailed implementation of the LSR Standard for land use change, land management, and carbon removals will be critical.</w:t>
      </w:r>
    </w:p>
    <w:p>
      <w:pPr>
        <w:numPr>
          <w:ilvl w:val="0"/>
          <w:numId w:val="1017"/>
        </w:numPr>
        <w:pStyle w:val="Compact"/>
      </w:pPr>
      <w:r>
        <w:rPr>
          <w:bCs/>
          <w:b/>
        </w:rPr>
        <w:t xml:space="preserve">Scope 3 Compliance:</w:t>
      </w:r>
      <w:r>
        <w:t xml:space="preserve"> </w:t>
      </w:r>
      <w:r>
        <w:t xml:space="preserve">This analysis achieves well over 95% coverage for Scope 3 reporting, fulfilling the 2026 requirements. Key material and energy inputs that constitute the majority of upstream emissions are comprehensively accounted for, in line with the GHG Protocol\'s 15 categories. For automotive OEMs, Scope 3 emissions frequently account for more than 95% of total GHG emissions.</w:t>
      </w:r>
    </w:p>
    <w:bookmarkEnd w:id="40"/>
    <w:bookmarkStart w:id="41" w:name="recommendations"/>
    <w:p>
      <w:pPr>
        <w:pStyle w:val="Heading3"/>
      </w:pPr>
      <w:r>
        <w:t xml:space="preserve">Recommendations:</w:t>
      </w:r>
    </w:p>
    <w:p>
      <w:pPr>
        <w:pStyle w:val="FirstParagraph"/>
      </w:pPr>
      <w:r>
        <w:t xml:space="preserve">To further reduce the PCF of the BYD Atto 3, BYD should focus on:</w:t>
      </w:r>
    </w:p>
    <w:p>
      <w:pPr>
        <w:numPr>
          <w:ilvl w:val="0"/>
          <w:numId w:val="1018"/>
        </w:numPr>
        <w:pStyle w:val="Compact"/>
      </w:pPr>
      <w:r>
        <w:rPr>
          <w:bCs/>
          <w:b/>
        </w:rPr>
        <w:t xml:space="preserve">Supply Chain Decarbonization:</w:t>
      </w:r>
      <w:r>
        <w:t xml:space="preserve"> </w:t>
      </w:r>
      <w:r>
        <w:t xml:space="preserve">Engage with suppliers of aluminum, steel, and battery components to encourage the adoption of renewable energy in their production processes and to increase the use of recycled content where feasible. This is the single largest opportunity for impact reduction.</w:t>
      </w:r>
    </w:p>
    <w:p>
      <w:pPr>
        <w:numPr>
          <w:ilvl w:val="0"/>
          <w:numId w:val="1018"/>
        </w:numPr>
        <w:pStyle w:val="Compact"/>
      </w:pPr>
      <w:r>
        <w:rPr>
          <w:bCs/>
          <w:b/>
        </w:rPr>
        <w:t xml:space="preserve">Material Efficiency &amp; Substitution:</w:t>
      </w:r>
      <w:r>
        <w:t xml:space="preserve"> </w:t>
      </w:r>
      <w:r>
        <w:t xml:space="preserve">Explore opportunities for further lightweighting with lower-carbon materials and optimizing material use to reduce demand for primary, high-carbon materials.</w:t>
      </w:r>
    </w:p>
    <w:p>
      <w:pPr>
        <w:numPr>
          <w:ilvl w:val="0"/>
          <w:numId w:val="1018"/>
        </w:numPr>
        <w:pStyle w:val="Compact"/>
      </w:pPr>
      <w:r>
        <w:rPr>
          <w:bCs/>
          <w:b/>
        </w:rPr>
        <w:t xml:space="preserve">Energy Efficiency in Assembly:</w:t>
      </w:r>
      <w:r>
        <w:t xml:space="preserve"> </w:t>
      </w:r>
      <w:r>
        <w:t xml:space="preserve">Continue to invest in energy-efficient technologies and renewable energy procurement for the final assembly plant in the Netherlands to minimize Scope 1 and Scope 2 emissions.</w:t>
      </w:r>
    </w:p>
    <w:p>
      <w:pPr>
        <w:numPr>
          <w:ilvl w:val="0"/>
          <w:numId w:val="1018"/>
        </w:numPr>
        <w:pStyle w:val="Compact"/>
      </w:pPr>
      <w:r>
        <w:rPr>
          <w:bCs/>
          <w:b/>
        </w:rPr>
        <w:t xml:space="preserve">Data Transparency:</w:t>
      </w:r>
      <w:r>
        <w:t xml:space="preserve"> </w:t>
      </w:r>
      <w:r>
        <w:t xml:space="preserve">Work towards collecting more primary data from key suppliers to enhance the accuracy and reliability of future PCF assessments.</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BYD Atto 3</dc:title>
  <dc:creator/>
  <dc:description>High-detail Product Carbon Footprint (PCF) analysis for BYD Atto 3, performed by Senior Sustainability Consultant Remko Weingarten, adhering to GHG Protocol and 2026 LSR Standard.</dc:description>
  <dc:language>en</dc:language>
  <cp:keywords/>
  <dcterms:created xsi:type="dcterms:W3CDTF">2026-07-15T02:54:55Z</dcterms:created>
  <dcterms:modified xsi:type="dcterms:W3CDTF">2026-07-15T02:54:55Z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