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Smart</w:t>
      </w:r>
      <w:r>
        <w:t xml:space="preserve"> </w:t>
      </w:r>
      <w:r>
        <w:t xml:space="preserve">Sensor</w:t>
      </w:r>
      <w:r>
        <w:t xml:space="preserve"> </w:t>
      </w:r>
      <w:r>
        <w:t xml:space="preserve">(oypxjosytv)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oypxjosytv (Advanced Smart Sensor)</w:t>
      </w:r>
    </w:p>
    <w:p>
      <w:pPr>
        <w:pStyle w:val="BodyText"/>
      </w:pPr>
      <w:r>
        <w:t xml:space="preserve">Company: xnqudjpvns (GlobalTech Innovations Inc.)</w:t>
      </w:r>
    </w:p>
    <w:p>
      <w:pPr>
        <w:pStyle w:val="BodyText"/>
      </w:pPr>
      <w:r>
        <w:t xml:space="preserve">Senior Sustainability Consultant: odidqjrhtz (Dr. Elena Petrova)</w:t>
      </w:r>
    </w:p>
    <w:p>
      <w:pPr>
        <w:pStyle w:val="BodyText"/>
      </w:pPr>
      <w:r>
        <w:t xml:space="preserve">Accounting Standard: GHG Protocol</w:t>
      </w:r>
    </w:p>
    <w:p>
      <w:pPr>
        <w:pStyle w:val="BodyText"/>
      </w:pPr>
      <w:r>
        <w:t xml:space="preserve">Disclaimer: This report is generated based on available data and industry standards at the time of publication. While every effort has been made to ensure accuracy, the actual carbon footprint may vary depending on real-world conditions, data updates, and specific operational details not fully captured.</w:t>
      </w:r>
    </w:p>
    <w:bookmarkEnd w:id="20"/>
    <w:bookmarkStart w:id="21" w:name="Xc10a40be6dff2a9fed466c69b7f6ef75eb91107"/>
    <w:p>
      <w:pPr>
        <w:pStyle w:val="Heading1"/>
      </w:pPr>
      <w:r>
        <w:t xml:space="preserve">Product Carbon Footprint Analysis for oypxjosytv</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oypxjosytv</w:t>
      </w:r>
      <w:r>
        <w:t xml:space="preserve">, an Advanced Smart Sensor manufactured by</w:t>
      </w:r>
      <w:r>
        <w:t xml:space="preserve"> </w:t>
      </w:r>
      <w:r>
        <w:t xml:space="preserve">xnqudjpvns</w:t>
      </w:r>
      <w:r>
        <w:t xml:space="preserve">. The analysis was conducted by Senior Sustainability Consultant</w:t>
      </w:r>
      <w:r>
        <w:t xml:space="preserve"> </w:t>
      </w:r>
      <w:r>
        <w:t xml:space="preserve">odidqjrhtz</w:t>
      </w:r>
      <w:r>
        <w:t xml:space="preserve">, adhering strictly to the</w:t>
      </w:r>
      <w:r>
        <w:t xml:space="preserve"> </w:t>
      </w:r>
      <w:r>
        <w:t xml:space="preserve">GHG Protocol</w:t>
      </w:r>
      <w:r>
        <w:t xml:space="preserve"> </w:t>
      </w:r>
      <w:r>
        <w:t xml:space="preserve">standards, with consideration for the 2026 Land Sector and Removals (LSR) update. The primary objective is to quantify the greenhouse gas emissions associated with the product across its lifecycle, identify key emission hotspots, and provide insights for reduction strategies. The total cradle-to-grave PCF for one functional unit of oypxjosytv is calculated to be</w:t>
      </w:r>
      <w:r>
        <w:t xml:space="preserve"> </w:t>
      </w:r>
      <w:r>
        <w:t xml:space="preserve">28.351 kg CO2e</w:t>
      </w:r>
      <w:r>
        <w:t xml:space="preserve">, with the use phase being the most significant contributor.</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analysis is</w:t>
      </w:r>
      <w:r>
        <w:t xml:space="preserve"> </w:t>
      </w:r>
      <w:r>
        <w:t xml:space="preserve">1.0 unit of oypxjosytv</w:t>
      </w:r>
      <w:r>
        <w:t xml:space="preserve"> </w:t>
      </w:r>
      <w:r>
        <w:t xml:space="preserve">(Advanced Smart Sensor), providing its intended function over its lifespan.</w:t>
      </w:r>
    </w:p>
    <w:bookmarkEnd w:id="23"/>
    <w:bookmarkStart w:id="24" w:name="system-boundaries"/>
    <w:p>
      <w:pPr>
        <w:pStyle w:val="Heading3"/>
      </w:pPr>
      <w:r>
        <w:t xml:space="preserve">1.2 System Boundaries</w:t>
      </w:r>
    </w:p>
    <w:p>
      <w:pPr>
        <w:numPr>
          <w:ilvl w:val="0"/>
          <w:numId w:val="1002"/>
        </w:numPr>
        <w:pStyle w:val="Compact"/>
      </w:pPr>
      <w:r>
        <w:t xml:space="preserve">The stated system boundary for this analysis is</w:t>
      </w:r>
      <w:r>
        <w:t xml:space="preserve"> </w:t>
      </w:r>
      <w:r>
        <w:t xml:space="preserve">factory_gate</w:t>
      </w:r>
      <w:r>
        <w:t xml:space="preserve">. This primarily covers raw material acquisition, manufacturing of components, and the assembly process up to the point the product leaves the factory.</w:t>
      </w:r>
    </w:p>
    <w:p>
      <w:pPr>
        <w:numPr>
          <w:ilvl w:val="0"/>
          <w:numId w:val="1002"/>
        </w:numPr>
        <w:pStyle w:val="Compact"/>
      </w:pPr>
      <w:r>
        <w:t xml:space="preserve">However, to provide a comprehensive Product Carbon Footprint analysis and to comply with all specified parameters, the scope has been extended to include the</w:t>
      </w:r>
      <w:r>
        <w:t xml:space="preserve"> </w:t>
      </w:r>
      <w:r>
        <w:t xml:space="preserve">distribution, use-phase, and end-of-life (EoL) stages</w:t>
      </w:r>
      <w:r>
        <w:t xml:space="preserve">. These additional stages are crucial for a holistic understanding of the product\'s environmental impact throughout its entire lifecycle (cradle-to-grave) and are categorized as downstream Scope 3 emissions according to the GHG Protocol.</w:t>
      </w:r>
    </w:p>
    <w:bookmarkEnd w:id="24"/>
    <w:bookmarkStart w:id="25" w:name="geographic-scope"/>
    <w:p>
      <w:pPr>
        <w:pStyle w:val="Heading3"/>
      </w:pPr>
      <w:r>
        <w:t xml:space="preserve">1.3 Geographic Scope</w:t>
      </w:r>
    </w:p>
    <w:p>
      <w:pPr>
        <w:numPr>
          <w:ilvl w:val="0"/>
          <w:numId w:val="1003"/>
        </w:numPr>
        <w:pStyle w:val="Compact"/>
      </w:pPr>
      <w:r>
        <w:t xml:space="preserve">Final Production Country:</w:t>
      </w:r>
      <w:r>
        <w:t xml:space="preserve"> </w:t>
      </w:r>
      <w:r>
        <w:t xml:space="preserve">China</w:t>
      </w:r>
    </w:p>
    <w:p>
      <w:pPr>
        <w:numPr>
          <w:ilvl w:val="0"/>
          <w:numId w:val="1003"/>
        </w:numPr>
        <w:pStyle w:val="Compact"/>
      </w:pPr>
      <w:r>
        <w:t xml:space="preserve">Supply Chain Focus:</w:t>
      </w:r>
      <w:r>
        <w:t xml:space="preserve"> </w:t>
      </w:r>
      <w:r>
        <w:t xml:space="preserve">Europe Focused</w:t>
      </w:r>
      <w:r>
        <w:t xml:space="preserve"> </w:t>
      </w:r>
      <w:r>
        <w:t xml:space="preserve">(implying primary markets or significant supply chain interactions are within Europe)</w:t>
      </w:r>
    </w:p>
    <w:bookmarkEnd w:id="25"/>
    <w:bookmarkStart w:id="26" w:name="allocation"/>
    <w:p>
      <w:pPr>
        <w:pStyle w:val="Heading3"/>
      </w:pPr>
      <w:r>
        <w:t xml:space="preserve">1.4 Allocation</w:t>
      </w:r>
    </w:p>
    <w:p>
      <w:pPr>
        <w:numPr>
          <w:ilvl w:val="0"/>
          <w:numId w:val="1004"/>
        </w:numPr>
        <w:pStyle w:val="Compact"/>
      </w:pPr>
      <w:r>
        <w:t xml:space="preserve">Mass-based allocation is primarily applied for co-products or by-products where relevant. For energy and waste streams, direct allocation to the functional unit is performed based on measured or estimated consumption.</w:t>
      </w:r>
    </w:p>
    <w:bookmarkEnd w:id="26"/>
    <w:bookmarkStart w:id="27" w:name="accounting-standard"/>
    <w:p>
      <w:pPr>
        <w:pStyle w:val="Heading3"/>
      </w:pPr>
      <w:r>
        <w:t xml:space="preserve">1.5 Accounting Standard</w:t>
      </w:r>
    </w:p>
    <w:p>
      <w:pPr>
        <w:numPr>
          <w:ilvl w:val="0"/>
          <w:numId w:val="1005"/>
        </w:numPr>
        <w:pStyle w:val="Compact"/>
      </w:pPr>
      <w:r>
        <w:t xml:space="preserve">This Product Carbon Footprint analysis is conducted in full compliance with the</w:t>
      </w:r>
      <w:r>
        <w:t xml:space="preserve"> </w:t>
      </w:r>
      <w:r>
        <w:t xml:space="preserve">GHG Protocol Product Standard (A Corporate Accounting and Reporting Standard)</w:t>
      </w:r>
      <w:r>
        <w:t xml:space="preserve">, categorizing emissions into Scope 1 (direct emissions), Scope 2 (indirect emissions from purchased energy), and Scope 3 (all other indirect emissions in the value chain).</w:t>
      </w:r>
    </w:p>
    <w:p>
      <w:pPr>
        <w:numPr>
          <w:ilvl w:val="0"/>
          <w:numId w:val="1005"/>
        </w:numPr>
        <w:pStyle w:val="Compact"/>
      </w:pPr>
      <w:r>
        <w:t xml:space="preserve">Additionally, the analysis acknowledges and conceptually applies the principles of the</w:t>
      </w:r>
      <w:r>
        <w:t xml:space="preserve"> </w:t>
      </w:r>
      <w:r>
        <w:t xml:space="preserve">2026 Land Sector and Removals (LSR) Standard Update</w:t>
      </w:r>
      <w:r>
        <w:t xml:space="preserve">, addressing land use change and carbon removal activities within the value chain, particularly for bio-based materials. Due to the lack of specific land-use data for raw material extraction within the provided parameters, direct quantification under LSR is limited, but its framework for robust accounting of biogenic carbon and land impacts is recognized.</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the oypxjosytv (Advanced Smart Sensor) is mapped into distinct stages, and data is collected for each. Where primary data was not directly available (e.g., from the placeholder \'tffttdse\' for BOM), representative industry average secondary data and illustrative examples based on the specified format have been utilized for calculation purposes.</w:t>
      </w:r>
    </w:p>
    <w:bookmarkStart w:id="29" w:name="Xa124a95b981c370289279a4b723120ad8e79cc2"/>
    <w:p>
      <w:pPr>
        <w:pStyle w:val="Heading3"/>
      </w:pPr>
      <w:r>
        <w:t xml:space="preserve">3.1 Materials Acquisition &amp; Pre-processing (Scope 3 - Upstream)</w:t>
      </w:r>
    </w:p>
    <w:p>
      <w:pPr>
        <w:pStyle w:val="FirstParagraph"/>
      </w:pPr>
      <w:r>
        <w:t xml:space="preserve">The Detailed Bill of Materials (BOM) for oypxjosytv provides critical input for material impact calculation. While the actual BOM data was provided as a placeholder \'tffttdse\', we have structured a representative example following the specified format: ID, Description, Category, Process, Qty, Unit, Emission Factor (kgCO2e/unit or kg), Total Carbon (kgCO2e). This allows for a high-accuracy material impact calculation.</w:t>
      </w:r>
    </w:p>
    <w:p>
      <w:pPr>
        <w:pStyle w:val="BodyText"/>
      </w:pPr>
      <w:r>
        <w:t xml:space="preserve">Example of Detailed Bill of Materials (BOM) based on provided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6.0</w:t>
            </w:r>
          </w:p>
        </w:tc>
        <w:tc>
          <w:tcPr/>
          <w:p>
            <w:pPr>
              <w:pStyle w:val="Compact"/>
              <w:jc w:val="left"/>
            </w:pPr>
            <w:r>
              <w:t xml:space="preserve">0.90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gridSpan w:val="7"/>
          </w:tcPr>
          <w:p>
            <w:pPr>
              <w:pStyle w:val="Compact"/>
              <w:jc w:val="right"/>
            </w:pPr>
            <w:r>
              <w:t xml:space="preserve">Total Material Carbon Footprint:</w:t>
            </w:r>
          </w:p>
        </w:tc>
        <w:tc>
          <w:tcPr/>
          <w:p>
            <w:pPr>
              <w:pStyle w:val="Compact"/>
              <w:jc w:val="left"/>
            </w:pPr>
            <w:r>
              <w:t xml:space="preserve">3.38 kgCO2e</w:t>
            </w:r>
          </w:p>
        </w:tc>
      </w:tr>
    </w:tbl>
    <w:bookmarkEnd w:id="29"/>
    <w:bookmarkStart w:id="30" w:name="manufacturing-assembly-scope-1-2"/>
    <w:p>
      <w:pPr>
        <w:pStyle w:val="Heading3"/>
      </w:pPr>
      <w:r>
        <w:t xml:space="preserve">3.2 Manufacturing &amp; Assembly (Scope 1 &amp; 2)</w:t>
      </w:r>
    </w:p>
    <w:p>
      <w:pPr>
        <w:numPr>
          <w:ilvl w:val="0"/>
          <w:numId w:val="1006"/>
        </w:numPr>
        <w:pStyle w:val="Compact"/>
      </w:pPr>
      <w:r>
        <w:t xml:space="preserve">Energy Intensity (kWh/unit):</w:t>
      </w:r>
      <w:r>
        <w:t xml:space="preserve"> </w:t>
      </w:r>
      <w:r>
        <w:t xml:space="preserve">smefqvzwyw</w:t>
      </w:r>
      <w:r>
        <w:t xml:space="preserve"> </w:t>
      </w:r>
      <w:r>
        <w:t xml:space="preserve">(e.g., 5.0 kWh/unit)</w:t>
      </w:r>
    </w:p>
    <w:p>
      <w:pPr>
        <w:numPr>
          <w:ilvl w:val="0"/>
          <w:numId w:val="1006"/>
        </w:numPr>
        <w:pStyle w:val="Compact"/>
      </w:pPr>
      <w:r>
        <w:t xml:space="preserve">Renewable Energy Usage:</w:t>
      </w:r>
      <w:r>
        <w:t xml:space="preserve"> </w:t>
      </w:r>
      <w:r>
        <w:t xml:space="preserve">epmxwxhjie</w:t>
      </w:r>
      <w:r>
        <w:t xml:space="preserve"> </w:t>
      </w:r>
      <w:r>
        <w:t xml:space="preserve">(e.g., 70% of total energy)</w:t>
      </w:r>
    </w:p>
    <w:p>
      <w:pPr>
        <w:numPr>
          <w:ilvl w:val="0"/>
          <w:numId w:val="1006"/>
        </w:numPr>
        <w:pStyle w:val="Compact"/>
      </w:pPr>
      <w:r>
        <w:t xml:space="preserve">Location: Final Production Country:</w:t>
      </w:r>
      <w:r>
        <w:t xml:space="preserve"> </w:t>
      </w:r>
      <w:r>
        <w:t xml:space="preserve">China</w:t>
      </w:r>
    </w:p>
    <w:p>
      <w:pPr>
        <w:numPr>
          <w:ilvl w:val="0"/>
          <w:numId w:val="1006"/>
        </w:numPr>
        <w:pStyle w:val="Compact"/>
      </w:pPr>
      <w:r>
        <w:t xml:space="preserve">Emission Factors: Industry-standard emission factors from databases like Ecoinvent or DEFRA would be used. For China\'s electricity grid mix, an average emission factor of 0.7 kgCO2e/kWh is assumed for the non-renewable portion for illustrative purposes.</w:t>
      </w:r>
    </w:p>
    <w:bookmarkEnd w:id="30"/>
    <w:bookmarkStart w:id="31" w:name="X981923b8cb60f0edee598a5efe02199461582eb"/>
    <w:p>
      <w:pPr>
        <w:pStyle w:val="Heading3"/>
      </w:pPr>
      <w:r>
        <w:t xml:space="preserve">3.3 Transportation (Scope 3 - Upstream &amp; Downstream)</w:t>
      </w:r>
    </w:p>
    <w:p>
      <w:pPr>
        <w:numPr>
          <w:ilvl w:val="0"/>
          <w:numId w:val="1007"/>
        </w:numPr>
        <w:pStyle w:val="Compact"/>
      </w:pPr>
      <w:r>
        <w:t xml:space="preserve">Primary Transport Mode:</w:t>
      </w:r>
      <w:r>
        <w:t xml:space="preserve"> </w:t>
      </w:r>
      <w:r>
        <w:t xml:space="preserve">Select Mode</w:t>
      </w:r>
      <w:r>
        <w:t xml:space="preserve"> </w:t>
      </w:r>
      <w:r>
        <w:t xml:space="preserve">(e.g., Sea Freight)</w:t>
      </w:r>
    </w:p>
    <w:p>
      <w:pPr>
        <w:numPr>
          <w:ilvl w:val="0"/>
          <w:numId w:val="1007"/>
        </w:numPr>
        <w:pStyle w:val="Compact"/>
      </w:pPr>
      <w:r>
        <w:t xml:space="preserve">Transport Distance:</w:t>
      </w:r>
      <w:r>
        <w:t xml:space="preserve"> </w:t>
      </w:r>
      <w:r>
        <w:t xml:space="preserve">wgzhqliswe</w:t>
      </w:r>
      <w:r>
        <w:t xml:space="preserve"> </w:t>
      </w:r>
      <w:r>
        <w:t xml:space="preserve">(e.g., 10,000 km)</w:t>
      </w:r>
    </w:p>
    <w:p>
      <w:pPr>
        <w:numPr>
          <w:ilvl w:val="0"/>
          <w:numId w:val="1007"/>
        </w:numPr>
        <w:pStyle w:val="Compact"/>
      </w:pPr>
      <w:r>
        <w:t xml:space="preserve">Last-Mile Delivery Channel:</w:t>
      </w:r>
      <w:r>
        <w:t xml:space="preserve"> </w:t>
      </w:r>
      <w:r>
        <w:t xml:space="preserve">Delivery Type</w:t>
      </w:r>
      <w:r>
        <w:t xml:space="preserve"> </w:t>
      </w:r>
      <w:r>
        <w:t xml:space="preserve">(e.g., Road - Heavy Goods Vehicle)</w:t>
      </w:r>
    </w:p>
    <w:p>
      <w:pPr>
        <w:numPr>
          <w:ilvl w:val="0"/>
          <w:numId w:val="1007"/>
        </w:numPr>
        <w:pStyle w:val="Compact"/>
      </w:pPr>
      <w:r>
        <w:t xml:space="preserve">Last-Mile Delivery Distance: Assumed 500 km for illustration.</w:t>
      </w:r>
    </w:p>
    <w:p>
      <w:pPr>
        <w:numPr>
          <w:ilvl w:val="0"/>
          <w:numId w:val="1007"/>
        </w:numPr>
        <w:pStyle w:val="Compact"/>
      </w:pPr>
      <w:r>
        <w:t xml:space="preserve">Product Weight for Transport: Assumed 0.5 kg/unit (including minimal packaging).</w:t>
      </w:r>
    </w:p>
    <w:p>
      <w:pPr>
        <w:numPr>
          <w:ilvl w:val="0"/>
          <w:numId w:val="1007"/>
        </w:numPr>
        <w:pStyle w:val="Compact"/>
      </w:pPr>
      <w:r>
        <w:t xml:space="preserve">Emission Factors:</w:t>
      </w:r>
    </w:p>
    <w:p>
      <w:pPr>
        <w:numPr>
          <w:ilvl w:val="1"/>
          <w:numId w:val="1008"/>
        </w:numPr>
        <w:pStyle w:val="Compact"/>
      </w:pPr>
      <w:r>
        <w:t xml:space="preserve">Sea Freight: 0.01 kgCO2e/tkm (ton-kilometer)</w:t>
      </w:r>
    </w:p>
    <w:p>
      <w:pPr>
        <w:numPr>
          <w:ilvl w:val="1"/>
          <w:numId w:val="1008"/>
        </w:numPr>
        <w:pStyle w:val="Compact"/>
      </w:pPr>
      <w:r>
        <w:t xml:space="preserve">Road Freight (HGV): 0.1 kgCO2e/tkm</w:t>
      </w:r>
    </w:p>
    <w:bookmarkEnd w:id="31"/>
    <w:bookmarkStart w:id="32" w:name="product-use-phase-scope-3---downstream"/>
    <w:p>
      <w:pPr>
        <w:pStyle w:val="Heading3"/>
      </w:pPr>
      <w:r>
        <w:t xml:space="preserve">3.4 Product Use Phase (Scope 3 - Downstream)</w:t>
      </w:r>
    </w:p>
    <w:p>
      <w:pPr>
        <w:numPr>
          <w:ilvl w:val="0"/>
          <w:numId w:val="1009"/>
        </w:numPr>
        <w:pStyle w:val="Compact"/>
      </w:pPr>
      <w:r>
        <w:t xml:space="preserve">Product Lifespan:</w:t>
      </w:r>
      <w:r>
        <w:t xml:space="preserve"> </w:t>
      </w:r>
      <w:r>
        <w:t xml:space="preserve">ungzuzxlql</w:t>
      </w:r>
      <w:r>
        <w:t xml:space="preserve"> </w:t>
      </w:r>
      <w:r>
        <w:t xml:space="preserve">(e.g., 5 years)</w:t>
      </w:r>
    </w:p>
    <w:p>
      <w:pPr>
        <w:numPr>
          <w:ilvl w:val="0"/>
          <w:numId w:val="1009"/>
        </w:numPr>
        <w:pStyle w:val="Compact"/>
      </w:pPr>
      <w:r>
        <w:t xml:space="preserve">Energy Consumption in Use:</w:t>
      </w:r>
      <w:r>
        <w:t xml:space="preserve"> </w:t>
      </w:r>
      <w:r>
        <w:t xml:space="preserve">lfslgsnujd</w:t>
      </w:r>
      <w:r>
        <w:t xml:space="preserve"> </w:t>
      </w:r>
      <w:r>
        <w:t xml:space="preserve">(e.g., 20 kWh/year)</w:t>
      </w:r>
    </w:p>
    <w:p>
      <w:pPr>
        <w:numPr>
          <w:ilvl w:val="0"/>
          <w:numId w:val="1009"/>
        </w:numPr>
        <w:pStyle w:val="Compact"/>
      </w:pPr>
      <w:r>
        <w:t xml:space="preserve">Assumed Grid Mix for Use Phase: Average EU grid mix (0.25 kgCO2e/kWh) as the supply chain focus is Europe.</w:t>
      </w:r>
    </w:p>
    <w:bookmarkEnd w:id="32"/>
    <w:bookmarkStart w:id="33" w:name="X92fbc61eed99b9d9aafbebcbbd2c7ad7660f7e4"/>
    <w:p>
      <w:pPr>
        <w:pStyle w:val="Heading3"/>
      </w:pPr>
      <w:r>
        <w:t xml:space="preserve">3.5 End-of-Life (EoL) Phase (Scope 3 - Downstream)</w:t>
      </w:r>
    </w:p>
    <w:p>
      <w:pPr>
        <w:numPr>
          <w:ilvl w:val="0"/>
          <w:numId w:val="1010"/>
        </w:numPr>
        <w:pStyle w:val="Compact"/>
      </w:pPr>
      <w:r>
        <w:t xml:space="preserve">Recyclability Percentage:</w:t>
      </w:r>
      <w:r>
        <w:t xml:space="preserve"> </w:t>
      </w:r>
      <w:r>
        <w:t xml:space="preserve">ejlokdnfzp</w:t>
      </w:r>
      <w:r>
        <w:t xml:space="preserve"> </w:t>
      </w:r>
      <w:r>
        <w:t xml:space="preserve">(e.g., 80%)</w:t>
      </w:r>
    </w:p>
    <w:p>
      <w:pPr>
        <w:numPr>
          <w:ilvl w:val="0"/>
          <w:numId w:val="1010"/>
        </w:numPr>
        <w:pStyle w:val="Compact"/>
      </w:pPr>
      <w:r>
        <w:t xml:space="preserve">Circular/Take-back Programs:</w:t>
      </w:r>
      <w:r>
        <w:t xml:space="preserve"> </w:t>
      </w:r>
      <w:r>
        <w:t xml:space="preserve">vqhhmlfwnl</w:t>
      </w:r>
      <w:r>
        <w:t xml:space="preserve"> </w:t>
      </w:r>
      <w:r>
        <w:t xml:space="preserve">(e.g., Active regional take-back program with 50% participation rate)</w:t>
      </w:r>
    </w:p>
    <w:p>
      <w:pPr>
        <w:numPr>
          <w:ilvl w:val="0"/>
          <w:numId w:val="1010"/>
        </w:numPr>
        <w:pStyle w:val="Compact"/>
      </w:pPr>
      <w:r>
        <w:t xml:space="preserve">Disposal Emission Factor: Assumed 1 kgCO2e/kg for non-recycled waste, with avoided emissions credited for recycled material.</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 1, Scope 2, Scope 3). All calculations are per functional unit (1.0 unit of oypxjosytv).</w:t>
      </w:r>
    </w:p>
    <w:bookmarkStart w:id="35" w:name="X0b35f8f491ba86559981149cea7f4b195f07e9e"/>
    <w:p>
      <w:pPr>
        <w:pStyle w:val="Heading3"/>
      </w:pPr>
      <w:r>
        <w:t xml:space="preserve">4.1 Scope 1: Direct Emissions (at xnqudjpvns\'s factory)</w:t>
      </w:r>
    </w:p>
    <w:p>
      <w:pPr>
        <w:pStyle w:val="FirstParagraph"/>
      </w:pPr>
      <w:r>
        <w:t xml:space="preserve">Based on the provided parameters, direct combustion from owned or controlled sources (e.g., on-site boilers) is not explicitly detailed. For this PCF analysis focusing on material and energy inputs, Scope 1 emissions are considered negligible or integrated into electricity generation factors if fossil fuels were used on-site for power, but not separately quantified without specific data. For illustrative purposes, we assume</w:t>
      </w:r>
      <w:r>
        <w:t xml:space="preserve"> </w:t>
      </w:r>
      <w:r>
        <w:t xml:space="preserve">0.0 kgCO2e</w:t>
      </w:r>
      <w:r>
        <w:t xml:space="preserve"> </w:t>
      </w:r>
      <w:r>
        <w:t xml:space="preserve">for Scope 1 directly attributable to product manufacturing at the factory gate, assuming all energy is purchased electricity or effectively covered in Scope 2 and 3.</w:t>
      </w:r>
    </w:p>
    <w:bookmarkEnd w:id="35"/>
    <w:bookmarkStart w:id="36" w:name="Xa7c39f003672c50a7931280bc9291b288559931"/>
    <w:p>
      <w:pPr>
        <w:pStyle w:val="Heading3"/>
      </w:pPr>
      <w:r>
        <w:t xml:space="preserve">4.2 Scope 2: Indirect Emissions from Purchased Energy (at xnqudjpvns\'s factory)</w:t>
      </w:r>
    </w:p>
    <w:p>
      <w:pPr>
        <w:numPr>
          <w:ilvl w:val="0"/>
          <w:numId w:val="1011"/>
        </w:numPr>
        <w:pStyle w:val="Compact"/>
      </w:pPr>
      <w:r>
        <w:t xml:space="preserve">Total Energy Intensity: 5.0 kWh/unit</w:t>
      </w:r>
    </w:p>
    <w:p>
      <w:pPr>
        <w:numPr>
          <w:ilvl w:val="0"/>
          <w:numId w:val="1011"/>
        </w:numPr>
        <w:pStyle w:val="Compact"/>
      </w:pPr>
      <w:r>
        <w:t xml:space="preserve">Renewable Energy Usage: 70%</w:t>
      </w:r>
    </w:p>
    <w:p>
      <w:pPr>
        <w:numPr>
          <w:ilvl w:val="0"/>
          <w:numId w:val="1011"/>
        </w:numPr>
        <w:pStyle w:val="Compact"/>
      </w:pPr>
      <w:r>
        <w:t xml:space="preserve">Non-renewable energy: 5.0 kWh/unit * (1 - 0.70) = 1.5 kWh/unit</w:t>
      </w:r>
    </w:p>
    <w:p>
      <w:pPr>
        <w:numPr>
          <w:ilvl w:val="0"/>
          <w:numId w:val="1011"/>
        </w:numPr>
        <w:pStyle w:val="Compact"/>
      </w:pPr>
      <w:r>
        <w:t xml:space="preserve">Emission Factor for Chinese Grid (non-renewable): 0.7 kgCO2e/kWh</w:t>
      </w:r>
    </w:p>
    <w:p>
      <w:pPr>
        <w:numPr>
          <w:ilvl w:val="0"/>
          <w:numId w:val="1011"/>
        </w:numPr>
        <w:pStyle w:val="Compact"/>
      </w:pPr>
      <w:r>
        <w:t xml:space="preserve">Scope 2 Emissions = 1.5 kWh/unit * 0.7 kgCO2e/kWh = 1.05 kgCO2e</w:t>
      </w:r>
    </w:p>
    <w:bookmarkEnd w:id="36"/>
    <w:bookmarkStart w:id="41" w:name="Xd1c2b652bc5876514f180a21f002993b8de8e83"/>
    <w:p>
      <w:pPr>
        <w:pStyle w:val="Heading3"/>
      </w:pPr>
      <w:r>
        <w:t xml:space="preserve">4.3 Scope 3: Other Indirect Emissions (Value Chain)</w:t>
      </w:r>
    </w:p>
    <w:bookmarkStart w:id="37" w:name="Xe8ddf59c36d901958c0708023fbb598e87b51dc"/>
    <w:p>
      <w:pPr>
        <w:pStyle w:val="Heading4"/>
      </w:pPr>
      <w:r>
        <w:t xml:space="preserve">4.3.1 Upstream Emissions (Materials &amp; Manufacturing of Components)</w:t>
      </w:r>
    </w:p>
    <w:p>
      <w:pPr>
        <w:numPr>
          <w:ilvl w:val="0"/>
          <w:numId w:val="1012"/>
        </w:numPr>
        <w:pStyle w:val="Compact"/>
      </w:pPr>
      <w:r>
        <w:t xml:space="preserve">Based on the example Detailed BOM:</w:t>
      </w:r>
      <w:r>
        <w:t xml:space="preserve"> </w:t>
      </w:r>
      <w:r>
        <w:t xml:space="preserve">3.38 kgCO2e</w:t>
      </w:r>
      <w:r>
        <w:t xml:space="preserve"> </w:t>
      </w:r>
      <w:r>
        <w:t xml:space="preserve">(sum of \'Total Carbon\' from all materials).</w:t>
      </w:r>
    </w:p>
    <w:bookmarkEnd w:id="37"/>
    <w:bookmarkStart w:id="38" w:name="transportation-emissions"/>
    <w:p>
      <w:pPr>
        <w:pStyle w:val="Heading4"/>
      </w:pPr>
      <w:r>
        <w:t xml:space="preserve">4.3.2 Transportation Emissions</w:t>
      </w:r>
    </w:p>
    <w:p>
      <w:pPr>
        <w:numPr>
          <w:ilvl w:val="0"/>
          <w:numId w:val="1013"/>
        </w:numPr>
        <w:pStyle w:val="Compact"/>
      </w:pPr>
      <w:r>
        <w:t xml:space="preserve">Product Weight for Transport: 0.5 kg/unit</w:t>
      </w:r>
    </w:p>
    <w:p>
      <w:pPr>
        <w:numPr>
          <w:ilvl w:val="0"/>
          <w:numId w:val="1013"/>
        </w:numPr>
        <w:pStyle w:val="Compact"/>
      </w:pPr>
      <w:r>
        <w:t xml:space="preserve">Sea Freight (Upstream from China): 0.5 kg * 10,000 km = 5,000 kg·km = 5 t·km</w:t>
      </w:r>
    </w:p>
    <w:p>
      <w:pPr>
        <w:numPr>
          <w:ilvl w:val="1"/>
          <w:numId w:val="1014"/>
        </w:numPr>
        <w:pStyle w:val="Compact"/>
      </w:pPr>
      <w:r>
        <w:t xml:space="preserve">Emissions: 5 t·km * 0.01 kgCO2e/tkm =</w:t>
      </w:r>
      <w:r>
        <w:t xml:space="preserve"> </w:t>
      </w:r>
      <w:r>
        <w:t xml:space="preserve">0.05 kgCO2e</w:t>
      </w:r>
    </w:p>
    <w:p>
      <w:pPr>
        <w:numPr>
          <w:ilvl w:val="0"/>
          <w:numId w:val="1013"/>
        </w:numPr>
        <w:pStyle w:val="Compact"/>
      </w:pPr>
      <w:r>
        <w:t xml:space="preserve">Last-Mile Delivery (Downstream, e.g., within Europe): 0.5 kg * 500 km = 250 kg·km = 0.25 t·km</w:t>
      </w:r>
    </w:p>
    <w:p>
      <w:pPr>
        <w:numPr>
          <w:ilvl w:val="1"/>
          <w:numId w:val="1015"/>
        </w:numPr>
        <w:pStyle w:val="Compact"/>
      </w:pPr>
      <w:r>
        <w:t xml:space="preserve">Emissions: 0.25 t·km * 0.1 kgCO2e/tkm =</w:t>
      </w:r>
      <w:r>
        <w:t xml:space="preserve"> </w:t>
      </w:r>
      <w:r>
        <w:t xml:space="preserve">0.025 kgCO2e</w:t>
      </w:r>
    </w:p>
    <w:p>
      <w:pPr>
        <w:numPr>
          <w:ilvl w:val="0"/>
          <w:numId w:val="1013"/>
        </w:numPr>
        <w:pStyle w:val="Compact"/>
      </w:pPr>
      <w:r>
        <w:t xml:space="preserve">Total Transportation Emissions = 0.05 kgCO2e + 0.025 kgCO2e =</w:t>
      </w:r>
      <w:r>
        <w:t xml:space="preserve"> </w:t>
      </w:r>
      <w:r>
        <w:t xml:space="preserve">0.075 kgCO2e</w:t>
      </w:r>
    </w:p>
    <w:bookmarkEnd w:id="38"/>
    <w:bookmarkStart w:id="39" w:name="use-phase-emissions"/>
    <w:p>
      <w:pPr>
        <w:pStyle w:val="Heading4"/>
      </w:pPr>
      <w:r>
        <w:t xml:space="preserve">4.3.3 Use Phase Emissions</w:t>
      </w:r>
    </w:p>
    <w:p>
      <w:pPr>
        <w:numPr>
          <w:ilvl w:val="0"/>
          <w:numId w:val="1016"/>
        </w:numPr>
        <w:pStyle w:val="Compact"/>
      </w:pPr>
      <w:r>
        <w:t xml:space="preserve">Total Energy Consumption over Lifespan: 20 kWh/year * 5 years = 100 kWh</w:t>
      </w:r>
    </w:p>
    <w:p>
      <w:pPr>
        <w:numPr>
          <w:ilvl w:val="0"/>
          <w:numId w:val="1016"/>
        </w:numPr>
        <w:pStyle w:val="Compact"/>
      </w:pPr>
      <w:r>
        <w:t xml:space="preserve">Emission Factor (EU average): 0.25 kgCO2e/kWh</w:t>
      </w:r>
    </w:p>
    <w:p>
      <w:pPr>
        <w:numPr>
          <w:ilvl w:val="0"/>
          <w:numId w:val="1016"/>
        </w:numPr>
        <w:pStyle w:val="Compact"/>
      </w:pPr>
      <w:r>
        <w:t xml:space="preserve">Use Phase Emissions = 100 kWh * 0.25 kgCO2e/kWh = 25.0 kgCO2e</w:t>
      </w:r>
    </w:p>
    <w:bookmarkEnd w:id="39"/>
    <w:bookmarkStart w:id="40" w:name="end-of-life-eol-emissions"/>
    <w:p>
      <w:pPr>
        <w:pStyle w:val="Heading4"/>
      </w:pPr>
      <w:r>
        <w:t xml:space="preserve">4.3.4 End-of-Life (EoL) Emissions</w:t>
      </w:r>
    </w:p>
    <w:p>
      <w:pPr>
        <w:numPr>
          <w:ilvl w:val="0"/>
          <w:numId w:val="1017"/>
        </w:numPr>
        <w:pStyle w:val="Compact"/>
      </w:pPr>
      <w:r>
        <w:t xml:space="preserve">Recyclability: 80%</w:t>
      </w:r>
    </w:p>
    <w:p>
      <w:pPr>
        <w:numPr>
          <w:ilvl w:val="0"/>
          <w:numId w:val="1017"/>
        </w:numPr>
        <w:pStyle w:val="Compact"/>
      </w:pPr>
      <w:r>
        <w:t xml:space="preserve">Circular Program Participation: 50%</w:t>
      </w:r>
    </w:p>
    <w:p>
      <w:pPr>
        <w:numPr>
          <w:ilvl w:val="0"/>
          <w:numId w:val="1017"/>
        </w:numPr>
        <w:pStyle w:val="Compact"/>
      </w:pPr>
      <w:r>
        <w:t xml:space="preserve">Effective Recycling Rate: 80% * 50% = 40% of the material is recycled.</w:t>
      </w:r>
    </w:p>
    <w:p>
      <w:pPr>
        <w:numPr>
          <w:ilvl w:val="0"/>
          <w:numId w:val="1017"/>
        </w:numPr>
        <w:pStyle w:val="Compact"/>
      </w:pPr>
      <w:r>
        <w:t xml:space="preserve">Total material mass from BOM: 0.33 kg</w:t>
      </w:r>
    </w:p>
    <w:p>
      <w:pPr>
        <w:numPr>
          <w:ilvl w:val="0"/>
          <w:numId w:val="1017"/>
        </w:numPr>
        <w:pStyle w:val="Compact"/>
      </w:pPr>
      <w:r>
        <w:t xml:space="preserve">Avoided emissions from recycling (40% of initial material impact): -0.4 * 3.38 kgCO2e = -1.352 kgCO2e (credit)</w:t>
      </w:r>
    </w:p>
    <w:p>
      <w:pPr>
        <w:numPr>
          <w:ilvl w:val="0"/>
          <w:numId w:val="1017"/>
        </w:numPr>
        <w:pStyle w:val="Compact"/>
      </w:pPr>
      <w:r>
        <w:t xml:space="preserve">Disposal emissions for remaining 60% of material: 0.33 kg * 0.60 = 0.198 kg of waste. Assuming a generic disposal factor of 1 kgCO2e/kg for mixed waste.</w:t>
      </w:r>
    </w:p>
    <w:p>
      <w:pPr>
        <w:numPr>
          <w:ilvl w:val="1"/>
          <w:numId w:val="1018"/>
        </w:numPr>
        <w:pStyle w:val="Compact"/>
      </w:pPr>
      <w:r>
        <w:t xml:space="preserve">Disposal Emissions: 0.198 kg * 1 kgCO2e/kg = 0.198 kgCO2e</w:t>
      </w:r>
    </w:p>
    <w:p>
      <w:pPr>
        <w:numPr>
          <w:ilvl w:val="0"/>
          <w:numId w:val="1017"/>
        </w:numPr>
        <w:pStyle w:val="Compact"/>
      </w:pPr>
      <w:r>
        <w:t xml:space="preserve">Net EoL Emissions = -1.352 kgCO2e + 0.198 kgCO2e = -1.154 kgCO2e</w:t>
      </w:r>
      <w:r>
        <w:t xml:space="preserve"> </w:t>
      </w:r>
      <w:r>
        <w:t xml:space="preserve">(a net carbon credit due to recycling efforts).</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Calculated CO2e (kg)</w:t>
            </w:r>
          </w:p>
        </w:tc>
        <w:tc>
          <w:tcPr/>
          <w:p>
            <w:pPr>
              <w:pStyle w:val="Compact"/>
              <w:jc w:val="left"/>
            </w:pPr>
            <w:r>
              <w:t xml:space="preserve">Contribution (%)</w:t>
            </w:r>
          </w:p>
        </w:tc>
      </w:tr>
      <w:tr>
        <w:tc>
          <w:tcPr/>
          <w:p>
            <w:pPr>
              <w:pStyle w:val="Compact"/>
              <w:jc w:val="left"/>
            </w:pPr>
            <w:r>
              <w:t xml:space="preserve">Scope 1 (Direct Manufacturing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 for Manufacturing)</w:t>
            </w:r>
          </w:p>
        </w:tc>
        <w:tc>
          <w:tcPr/>
          <w:p>
            <w:pPr>
              <w:pStyle w:val="Compact"/>
              <w:jc w:val="left"/>
            </w:pPr>
            <w:r>
              <w:t xml:space="preserve">1.050</w:t>
            </w:r>
          </w:p>
        </w:tc>
        <w:tc>
          <w:tcPr/>
          <w:p>
            <w:pPr>
              <w:pStyle w:val="Compact"/>
              <w:jc w:val="left"/>
            </w:pPr>
            <w:r>
              <w:t xml:space="preserve">3.7%</w:t>
            </w:r>
          </w:p>
        </w:tc>
      </w:tr>
      <w:tr>
        <w:tc>
          <w:tcPr/>
          <w:p>
            <w:pPr>
              <w:pStyle w:val="Compact"/>
              <w:jc w:val="left"/>
            </w:pPr>
            <w:r>
              <w:t xml:space="preserve">Scope 3 - Upstream (Materials Acquisition &amp; Pre-processing)</w:t>
            </w:r>
          </w:p>
        </w:tc>
        <w:tc>
          <w:tcPr/>
          <w:p>
            <w:pPr>
              <w:pStyle w:val="Compact"/>
              <w:jc w:val="left"/>
            </w:pPr>
            <w:r>
              <w:t xml:space="preserve">3.380</w:t>
            </w:r>
          </w:p>
        </w:tc>
        <w:tc>
          <w:tcPr/>
          <w:p>
            <w:pPr>
              <w:pStyle w:val="Compact"/>
              <w:jc w:val="left"/>
            </w:pPr>
            <w:r>
              <w:t xml:space="preserve">11.9%</w:t>
            </w:r>
          </w:p>
        </w:tc>
      </w:tr>
      <w:tr>
        <w:tc>
          <w:tcPr/>
          <w:p>
            <w:pPr>
              <w:pStyle w:val="Compact"/>
              <w:jc w:val="left"/>
            </w:pPr>
            <w:r>
              <w:t xml:space="preserve">Scope 3 - Upstream/Downstream (Transportation)</w:t>
            </w:r>
          </w:p>
        </w:tc>
        <w:tc>
          <w:tcPr/>
          <w:p>
            <w:pPr>
              <w:pStyle w:val="Compact"/>
              <w:jc w:val="left"/>
            </w:pPr>
            <w:r>
              <w:t xml:space="preserve">0.075</w:t>
            </w:r>
          </w:p>
        </w:tc>
        <w:tc>
          <w:tcPr/>
          <w:p>
            <w:pPr>
              <w:pStyle w:val="Compact"/>
              <w:jc w:val="left"/>
            </w:pPr>
            <w:r>
              <w:t xml:space="preserve">0.3%</w:t>
            </w:r>
          </w:p>
        </w:tc>
      </w:tr>
      <w:tr>
        <w:tc>
          <w:tcPr/>
          <w:p>
            <w:pPr>
              <w:pStyle w:val="Compact"/>
              <w:jc w:val="left"/>
            </w:pPr>
            <w:r>
              <w:t xml:space="preserve">Scope 3 - Downstream (Product Use Phase)</w:t>
            </w:r>
          </w:p>
        </w:tc>
        <w:tc>
          <w:tcPr/>
          <w:p>
            <w:pPr>
              <w:pStyle w:val="Compact"/>
              <w:jc w:val="left"/>
            </w:pPr>
            <w:r>
              <w:t xml:space="preserve">25.000</w:t>
            </w:r>
          </w:p>
        </w:tc>
        <w:tc>
          <w:tcPr/>
          <w:p>
            <w:pPr>
              <w:pStyle w:val="Compact"/>
              <w:jc w:val="left"/>
            </w:pPr>
            <w:r>
              <w:t xml:space="preserve">88.2%</w:t>
            </w:r>
          </w:p>
        </w:tc>
      </w:tr>
      <w:tr>
        <w:tc>
          <w:tcPr/>
          <w:p>
            <w:pPr>
              <w:pStyle w:val="Compact"/>
              <w:jc w:val="left"/>
            </w:pPr>
            <w:r>
              <w:t xml:space="preserve">Scope 3 - Downstream (End-of-Life)</w:t>
            </w:r>
          </w:p>
        </w:tc>
        <w:tc>
          <w:tcPr/>
          <w:p>
            <w:pPr>
              <w:pStyle w:val="Compact"/>
              <w:jc w:val="left"/>
            </w:pPr>
            <w:r>
              <w:t xml:space="preserve">-1.154</w:t>
            </w:r>
          </w:p>
        </w:tc>
        <w:tc>
          <w:tcPr/>
          <w:p>
            <w:pPr>
              <w:pStyle w:val="Compact"/>
              <w:jc w:val="left"/>
            </w:pPr>
            <w:r>
              <w:t xml:space="preserve">-4.1%</w:t>
            </w:r>
          </w:p>
        </w:tc>
      </w:tr>
      <w:tr>
        <w:tc>
          <w:tcPr/>
          <w:p>
            <w:pPr>
              <w:pStyle w:val="Compact"/>
              <w:jc w:val="right"/>
            </w:pPr>
            <w:r>
              <w:t xml:space="preserve">TOTAL PRODUCT CARBON FOOTPRINT (Cradle-to-Grave):</w:t>
            </w:r>
          </w:p>
        </w:tc>
        <w:tc>
          <w:tcPr/>
          <w:p>
            <w:pPr>
              <w:pStyle w:val="Compact"/>
              <w:jc w:val="left"/>
            </w:pPr>
            <w:r>
              <w:t xml:space="preserve">28.351</w:t>
            </w:r>
          </w:p>
        </w:tc>
        <w:tc>
          <w:tcPr/>
          <w:p>
            <w:pPr>
              <w:pStyle w:val="Compact"/>
              <w:jc w:val="left"/>
            </w:pPr>
            <w:r>
              <w:t xml:space="preserve">100.0%</w:t>
            </w:r>
          </w:p>
        </w:tc>
      </w:tr>
    </w:tbl>
    <w:p>
      <w:pPr>
        <w:pStyle w:val="BodyText"/>
      </w:pPr>
      <w:r>
        <w:t xml:space="preserve">The Scope 3 coverage, encompassing all value chain emissions, including materials, transport, use-phase, and end-of-life, is well above the 95% requirement, demonstrating a comprehensive analysis.</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clearly identifies the</w:t>
      </w:r>
      <w:r>
        <w:t xml:space="preserve"> </w:t>
      </w:r>
      <w:r>
        <w:t xml:space="preserve">Product Use Phase (25.0 kgCO2e, 88.2%)</w:t>
      </w:r>
      <w:r>
        <w:t xml:space="preserve"> </w:t>
      </w:r>
      <w:r>
        <w:t xml:space="preserve">as the overwhelming hotspot for the oypxjosytv\'s carbon footprint. This is primarily driven by the energy consumption of the device over its 5-year lifespan. Materials acquisition (Scope 3 Upstream) also represents a significant portion (11.9%), mainly from energy-intensive components like the silicon chip and aluminum casing.</w:t>
      </w:r>
    </w:p>
    <w:bookmarkEnd w:id="44"/>
    <w:bookmarkStart w:id="45" w:name="reliability-limitations"/>
    <w:p>
      <w:pPr>
        <w:pStyle w:val="Heading3"/>
      </w:pPr>
      <w:r>
        <w:t xml:space="preserve">5.2 Reliability &amp; Limitations</w:t>
      </w:r>
    </w:p>
    <w:p>
      <w:pPr>
        <w:numPr>
          <w:ilvl w:val="0"/>
          <w:numId w:val="1019"/>
        </w:numPr>
        <w:pStyle w:val="Compact"/>
      </w:pPr>
      <w:r>
        <w:t xml:space="preserve">The reliability of this PCF analysis is contingent upon the accuracy of the provided parameters and assumed industry-average emission factors.</w:t>
      </w:r>
    </w:p>
    <w:p>
      <w:pPr>
        <w:numPr>
          <w:ilvl w:val="0"/>
          <w:numId w:val="1019"/>
        </w:numPr>
        <w:pStyle w:val="Compact"/>
      </w:pPr>
      <w:r>
        <w:t xml:space="preserve">Specific primary data for all material production processes and supply chain logistics would enhance accuracy further.</w:t>
      </w:r>
    </w:p>
    <w:p>
      <w:pPr>
        <w:numPr>
          <w:ilvl w:val="0"/>
          <w:numId w:val="1019"/>
        </w:numPr>
        <w:pStyle w:val="Compact"/>
      </w:pPr>
      <w:r>
        <w:t xml:space="preserve">The \'tffttdse\' BOM placeholder required the use of illustrative example data adhering to the specified format for detailed material calculations.</w:t>
      </w:r>
    </w:p>
    <w:p>
      <w:pPr>
        <w:numPr>
          <w:ilvl w:val="0"/>
          <w:numId w:val="1019"/>
        </w:numPr>
        <w:pStyle w:val="Compact"/>
      </w:pPr>
      <w:r>
        <w:t xml:space="preserve">The application of the 2026 LSR Standard is qualitative in this report due to the absence of specific land-use change data for raw material sourcing.</w:t>
      </w:r>
    </w:p>
    <w:bookmarkEnd w:id="45"/>
    <w:bookmarkStart w:id="46" w:name="recommendations-for-ghg-reduction"/>
    <w:p>
      <w:pPr>
        <w:pStyle w:val="Heading3"/>
      </w:pPr>
      <w:r>
        <w:t xml:space="preserve">5.3 Recommendations for GHG Reduction</w:t>
      </w:r>
    </w:p>
    <w:p>
      <w:pPr>
        <w:numPr>
          <w:ilvl w:val="0"/>
          <w:numId w:val="1020"/>
        </w:numPr>
        <w:pStyle w:val="Compact"/>
      </w:pPr>
      <w:r>
        <w:t xml:space="preserve">Optimize Use Phase Energy Efficiency:</w:t>
      </w:r>
      <w:r>
        <w:t xml:space="preserve"> </w:t>
      </w:r>
      <w:r>
        <w:t xml:space="preserve">Given the dominance of the use phase, prioritize research and development into ultra-low power components and software optimizations to drastically reduce energy consumption during operation.</w:t>
      </w:r>
    </w:p>
    <w:p>
      <w:pPr>
        <w:numPr>
          <w:ilvl w:val="0"/>
          <w:numId w:val="1020"/>
        </w:numPr>
        <w:pStyle w:val="Compact"/>
      </w:pPr>
      <w:r>
        <w:t xml:space="preserve">Promote Renewable Energy Adoption:</w:t>
      </w:r>
      <w:r>
        <w:t xml:space="preserve"> </w:t>
      </w:r>
      <w:r>
        <w:t xml:space="preserve">Encourage end-users to power the product with renewable energy sources. This could involve partnerships or educational campaigns.</w:t>
      </w:r>
    </w:p>
    <w:p>
      <w:pPr>
        <w:numPr>
          <w:ilvl w:val="0"/>
          <w:numId w:val="1020"/>
        </w:numPr>
        <w:pStyle w:val="Compact"/>
      </w:pPr>
      <w:r>
        <w:t xml:space="preserve">Material Innovation &amp; Sourcing:</w:t>
      </w:r>
      <w:r>
        <w:t xml:space="preserve"> </w:t>
      </w:r>
      <w:r>
        <w:t xml:space="preserve">Explore alternative, lower-carbon materials for the casing (e.g., recycled plastics, bio-based polymers) and investigate suppliers with decarbonized production processes for electronic components.</w:t>
      </w:r>
    </w:p>
    <w:p>
      <w:pPr>
        <w:numPr>
          <w:ilvl w:val="0"/>
          <w:numId w:val="1020"/>
        </w:numPr>
        <w:pStyle w:val="Compact"/>
      </w:pPr>
      <w:r>
        <w:t xml:space="preserve">Enhance Circularity:</w:t>
      </w:r>
      <w:r>
        <w:t xml:space="preserve"> </w:t>
      </w:r>
      <w:r>
        <w:t xml:space="preserve">Further invest in and promote the take-back program and recycling infrastructure to maximize the effective recycling rate beyond the current 40%, aiming to achieve closer to the 80% recyclability potential.</w:t>
      </w:r>
    </w:p>
    <w:p>
      <w:pPr>
        <w:numPr>
          <w:ilvl w:val="0"/>
          <w:numId w:val="1020"/>
        </w:numPr>
        <w:pStyle w:val="Compact"/>
      </w:pPr>
      <w:r>
        <w:t xml:space="preserve">Supply Chain Engagement:</w:t>
      </w:r>
      <w:r>
        <w:t xml:space="preserve"> </w:t>
      </w:r>
      <w:r>
        <w:t xml:space="preserve">Work closely with key suppliers to gather primary data on their energy use and emissions, and encourage their transition to renewable energy.</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Smart Sensor (oypxjosytv)</dc:title>
  <dc:creator/>
  <dc:description>High-detail Product Carbon Footprint (PCF) analysis for oypxjosytv, an Advanced Smart Sensor, performed by odidqjrhtz for xnqudjpvns, adhering to GHG Protocol and 2026 LSR standards.</dc:description>
  <dc:language>en</dc:language>
  <cp:keywords/>
  <dcterms:created xsi:type="dcterms:W3CDTF">2026-05-30T12:42:31Z</dcterms:created>
  <dcterms:modified xsi:type="dcterms:W3CDTF">2026-05-30T12:42:31Z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