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Smart</w:t>
      </w:r>
      <w:r>
        <w:t xml:space="preserve"> </w:t>
      </w:r>
      <w:r>
        <w:t xml:space="preserve">Sensor</w:t>
      </w:r>
      <w:r>
        <w:t xml:space="preserve"> </w:t>
      </w:r>
      <w:r>
        <w:t xml:space="preserve">(lsxffnxnhq)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lsxffnxnhq (Advanced Smart Sensor)</w:t>
      </w:r>
    </w:p>
    <w:p>
      <w:pPr>
        <w:pStyle w:val="BodyText"/>
      </w:pPr>
      <w:r>
        <w:t xml:space="preserve">Company: ksgfxxpokw</w:t>
      </w:r>
    </w:p>
    <w:p>
      <w:pPr>
        <w:pStyle w:val="BodyText"/>
      </w:pPr>
      <w:r>
        <w:t xml:space="preserve">Senior Sustainability Consultant: gomfmwqpru</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actual impacts may vary depending on real-world conditions and primary data availability.</w:t>
      </w:r>
    </w:p>
    <w:p>
      <w:pPr>
        <w:pStyle w:val="BodyText"/>
      </w:pPr>
      <w:r>
        <w:t xml:space="preserve">Generated Date: May 16, 2026</w:t>
      </w:r>
    </w:p>
    <w:bookmarkEnd w:id="20"/>
    <w:bookmarkStart w:id="45" w:name="X802d2729895f44295f4070c0583875f391d6a3c"/>
    <w:p>
      <w:pPr>
        <w:pStyle w:val="Heading1"/>
      </w:pPr>
      <w:r>
        <w:t xml:space="preserve">Product Carbon Footprint Analysis: lsxffnxnhq</w:t>
      </w:r>
    </w:p>
    <w:p>
      <w:pPr>
        <w:pStyle w:val="FirstParagraph"/>
      </w:pPr>
      <w:r>
        <w:rPr>
          <w:bCs/>
          <w:b/>
        </w:rPr>
        <w:t xml:space="preserve">Company Name:</w:t>
      </w:r>
      <w:r>
        <w:t xml:space="preserve"> </w:t>
      </w:r>
      <w:r>
        <w:t xml:space="preserve">ksgfxxpokw</w:t>
      </w:r>
    </w:p>
    <w:p>
      <w:pPr>
        <w:pStyle w:val="BodyText"/>
      </w:pPr>
      <w:r>
        <w:rPr>
          <w:bCs/>
          <w:b/>
        </w:rPr>
        <w:t xml:space="preserve">Senior Sustainability Consultant:</w:t>
      </w:r>
      <w:r>
        <w:t xml:space="preserve"> </w:t>
      </w:r>
      <w:r>
        <w:t xml:space="preserve">gomfmwqpru</w:t>
      </w:r>
    </w:p>
    <w:p>
      <w:pPr>
        <w:pStyle w:val="BodyText"/>
      </w:pPr>
      <w:r>
        <w:rPr>
          <w:bCs/>
          <w:b/>
        </w:rPr>
        <w:t xml:space="preserve">Product Name:</w:t>
      </w:r>
      <w:r>
        <w:t xml:space="preserve"> </w:t>
      </w:r>
      <w:r>
        <w:t xml:space="preserve">lsxffnxnhq (Assumed as "Advanced Smart Sensor" for illustrative purposes)</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16,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ksgfxxpokw\'s product, the Advanced Smart Sensor (lsxffnxnhq), conducted by Senior Sustainability Consultant gomfmwqpru. Adhering to the GHG Protocol Product Standard and incorporating the latest 2026 Land Sector and Removals (LSR) Standard updates, this analysis quantifies greenhouse gas (GHG) emissions across the product\'s lifecycle up to the factory gate (Cradle-to-Gate), with an extended view into the use and end-of-life phases. The primary goal is to identify emission hotspots, ensure compliance with evolving sustainability standards, and provide actionable insights for decarbonization efforts within ksgfxxpokw\'s value chain. This analysis emphasizes high data coverage for Scope 3 emissions, targeting at least 95% as per 2026 requirements.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the Advanced Smart Sensor (lsxffnxnhq)</w:t>
      </w:r>
      <w:r>
        <w:t xml:space="preserve">. This unit serves as the reference basis for all quantified environmental flows and impacts throughout the product\'s lifecycle.</w:t>
      </w:r>
    </w:p>
    <w:bookmarkEnd w:id="22"/>
    <w:bookmarkStart w:id="23" w:name="system-boundary"/>
    <w:p>
      <w:pPr>
        <w:pStyle w:val="Heading3"/>
      </w:pPr>
      <w:r>
        <w:t xml:space="preserve">System Boundary:</w:t>
      </w:r>
    </w:p>
    <w:p>
      <w:pPr>
        <w:pStyle w:val="FirstParagraph"/>
      </w:pPr>
      <w:r>
        <w:t xml:space="preserve">The primary system boundary for this assessment is</w:t>
      </w:r>
      <w:r>
        <w:t xml:space="preserve"> </w:t>
      </w:r>
      <w:r>
        <w:rPr>
          <w:bCs/>
          <w:b/>
        </w:rPr>
        <w:t xml:space="preserve">"factory_gate" (Cradle-to-Gate)</w:t>
      </w:r>
      <w:r>
        <w:t xml:space="preserve">, meaning all emissions from raw material extraction, processing, component manufacturing, and transport to ksgfxxpokw\'s production facility, as well as the manufacturing processes within the facility, are included. For a holistic understanding, selected downstream impacts, specifically the use phase and end-of-life scenarios, are also analyzed and reported, extending the boundary for specific categories.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(representing the primary market for raw material sourcing and component manufacturing before final assembly in China).</w:t>
      </w:r>
    </w:p>
    <w:p>
      <w:pPr>
        <w:numPr>
          <w:ilvl w:val="0"/>
          <w:numId w:val="1001"/>
        </w:numPr>
        <w:pStyle w:val="Compact"/>
      </w:pPr>
      <w:r>
        <w:rPr>
          <w:bCs/>
          <w:b/>
        </w:rPr>
        <w:t xml:space="preserve">Use Phase Geographic Assumption:</w:t>
      </w:r>
      <w:r>
        <w:t xml:space="preserve"> </w:t>
      </w:r>
      <w:r>
        <w:t xml:space="preserve">For the use phase, a generic European average electricity mix is assumed due to the lack of specific end-user location data.</w:t>
      </w:r>
    </w:p>
    <w:bookmarkEnd w:id="24"/>
    <w:bookmarkStart w:id="25" w:name="allocation"/>
    <w:p>
      <w:pPr>
        <w:pStyle w:val="Heading3"/>
      </w:pPr>
      <w:r>
        <w:t xml:space="preserve">Allocation:</w:t>
      </w:r>
    </w:p>
    <w:p>
      <w:pPr>
        <w:pStyle w:val="FirstParagraph"/>
      </w:pPr>
      <w:r>
        <w:t xml:space="preserve">Where co-products or multi-functional processes occur, allocation has been performed based on physical relationships (e.g., mass) or economic value, in line with ISO 14044 principles and GHG Protocol guidance. For end-of-life, a combination of cut-off and substitution approaches is considered, with credits for recycled materials reflecting their displacement of virgin production.</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 the Advanced Smart Sensor (lsxffnxnhq) is mapped across several stages, for which primary and secondary data have been collected. Emission factors are sourced from industry-standard databases such as Ecoinvent and DEFRA, reflecting average production conditions and geographical specificities where possible.</w:t>
      </w:r>
    </w:p>
    <w:bookmarkStart w:id="27" w:name="X05b3e896ef09fca31c81432312018427c68f52d"/>
    <w:p>
      <w:pPr>
        <w:pStyle w:val="Heading3"/>
      </w:pPr>
      <w:r>
        <w:t xml:space="preserve">Detailed Bill of Materials (BOM) - gholkgli (Illustrative Data based on expected format)</w:t>
      </w:r>
    </w:p>
    <w:p>
      <w:pPr>
        <w:pStyle w:val="FirstParagraph"/>
      </w:pPr>
      <w:r>
        <w:t xml:space="preserve">The provided Detailed Bill of Materials (gholkgli) is used for high-accuracy material impact calculation. The following table provides an illustrative breakdown based on the expected format (ID, Description, Category, Process, Qty, Unit, Emission Factor (kgCO2e/unit), Total Carbon (kgCO2e)). The Emission Factors are generalized averages for illustrative purposes, consistent with industry databases like Ecoinvent.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8.50</w:t>
            </w:r>
          </w:p>
        </w:tc>
        <w:tc>
          <w:tcPr/>
          <w:p>
            <w:pPr>
              <w:pStyle w:val="Compact"/>
              <w:jc w:val="left"/>
            </w:pPr>
            <w:r>
              <w:t xml:space="preserve">1.275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5.000</w:t>
            </w:r>
          </w:p>
        </w:tc>
      </w:tr>
      <w:tr>
        <w:tc>
          <w:tcPr/>
          <w:p>
            <w:pPr>
              <w:pStyle w:val="Compact"/>
              <w:jc w:val="left"/>
            </w:pPr>
            <w:r>
              <w:t xml:space="preserve">M004</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ABS Polymerization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0.280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Sensors &amp; Chips</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bl>
    <w:p>
      <w:pPr>
        <w:pStyle w:val="BodyText"/>
      </w:pPr>
      <w:r>
        <w:rPr>
          <w:bCs/>
          <w:b/>
        </w:rPr>
        <w:t xml:space="preserve">Total Material Emissions (Illustrative): 33.665 kgCO2e</w:t>
      </w:r>
    </w:p>
    <w:bookmarkEnd w:id="27"/>
    <w:bookmarkStart w:id="28" w:name="Xd16efa2be3f4775ec82be5b6659e83aad1a45e3"/>
    <w:p>
      <w:pPr>
        <w:pStyle w:val="Heading3"/>
      </w:pPr>
      <w:r>
        <w:t xml:space="preserve">Energy Inputs for Production (kggfxxpokw facility in China):</w:t>
      </w:r>
    </w:p>
    <w:p>
      <w:pPr>
        <w:numPr>
          <w:ilvl w:val="0"/>
          <w:numId w:val="1002"/>
        </w:numPr>
        <w:pStyle w:val="Compact"/>
      </w:pPr>
      <w:r>
        <w:rPr>
          <w:bCs/>
          <w:b/>
        </w:rPr>
        <w:t xml:space="preserve">Energy Intensity (kWh/unit):</w:t>
      </w:r>
      <w:r>
        <w:t xml:space="preserve"> </w:t>
      </w:r>
      <w:r>
        <w:t xml:space="preserve">ntnnzoqmxz (15 kWh/unit)</w:t>
      </w:r>
    </w:p>
    <w:p>
      <w:pPr>
        <w:numPr>
          <w:ilvl w:val="0"/>
          <w:numId w:val="1002"/>
        </w:numPr>
        <w:pStyle w:val="Compact"/>
      </w:pPr>
      <w:r>
        <w:rPr>
          <w:bCs/>
          <w:b/>
        </w:rPr>
        <w:t xml:space="preserve">Renewable Energy Usage:</w:t>
      </w:r>
      <w:r>
        <w:t xml:space="preserve"> </w:t>
      </w:r>
      <w:r>
        <w:t xml:space="preserve">jpjgztrjgh (65%)</w:t>
      </w:r>
    </w:p>
    <w:p>
      <w:pPr>
        <w:numPr>
          <w:ilvl w:val="0"/>
          <w:numId w:val="1002"/>
        </w:numPr>
        <w:pStyle w:val="Compact"/>
      </w:pPr>
      <w:r>
        <w:rPr>
          <w:bCs/>
          <w:b/>
        </w:rPr>
        <w:t xml:space="preserve">Grid Electricity Mix (China):</w:t>
      </w:r>
      <w:r>
        <w:t xml:space="preserve"> </w:t>
      </w:r>
      <w:r>
        <w:t xml:space="preserve">An illustrative emission factor for China\'s grid electricity is assumed to be 0.6 kgCO2e/kWh for comprehensive GHG reporting (general CO2 factors are around 0.556 kgCO2/kWh).</w:t>
      </w:r>
    </w:p>
    <w:bookmarkEnd w:id="28"/>
    <w:bookmarkStart w:id="29" w:name="logistics-data"/>
    <w:p>
      <w:pPr>
        <w:pStyle w:val="Heading3"/>
      </w:pPr>
      <w:r>
        <w:t xml:space="preserve">Logistics Data:</w:t>
      </w:r>
    </w:p>
    <w:p>
      <w:pPr>
        <w:numPr>
          <w:ilvl w:val="0"/>
          <w:numId w:val="1003"/>
        </w:numPr>
        <w:pStyle w:val="Compact"/>
      </w:pPr>
      <w:r>
        <w:rPr>
          <w:bCs/>
          <w:b/>
        </w:rPr>
        <w:t xml:space="preserve">Main Transport Mode:</w:t>
      </w:r>
      <w:r>
        <w:t xml:space="preserve"> </w:t>
      </w:r>
      <w:r>
        <w:t xml:space="preserve">Select Mode (Assumed as Road freight - Heavy Goods Vehicle, HGV &gt; 32t).</w:t>
      </w:r>
    </w:p>
    <w:p>
      <w:pPr>
        <w:numPr>
          <w:ilvl w:val="0"/>
          <w:numId w:val="1003"/>
        </w:numPr>
        <w:pStyle w:val="Compact"/>
      </w:pPr>
      <w:r>
        <w:rPr>
          <w:bCs/>
          <w:b/>
        </w:rPr>
        <w:t xml:space="preserve">Transport Distance:</w:t>
      </w:r>
      <w:r>
        <w:t xml:space="preserve"> </w:t>
      </w:r>
      <w:r>
        <w:t xml:space="preserve">xjpvgioynq (Assumed as 2,500 km for raw materials/components to China production facility).</w:t>
      </w:r>
    </w:p>
    <w:p>
      <w:pPr>
        <w:numPr>
          <w:ilvl w:val="0"/>
          <w:numId w:val="1003"/>
        </w:numPr>
        <w:pStyle w:val="Compact"/>
      </w:pPr>
      <w:r>
        <w:rPr>
          <w:bCs/>
          <w:b/>
        </w:rPr>
        <w:t xml:space="preserve">Last-Mile Delivery Channel:</w:t>
      </w:r>
      <w:r>
        <w:t xml:space="preserve"> </w:t>
      </w:r>
      <w:r>
        <w:t xml:space="preserve">Delivery Type (Assumed as Light Commercial Vehicle (LCV) for final distribution).</w:t>
      </w:r>
    </w:p>
    <w:bookmarkEnd w:id="29"/>
    <w:bookmarkStart w:id="30"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jhqsvzgmde (5 years)</w:t>
      </w:r>
    </w:p>
    <w:p>
      <w:pPr>
        <w:numPr>
          <w:ilvl w:val="0"/>
          <w:numId w:val="1004"/>
        </w:numPr>
        <w:pStyle w:val="Compact"/>
      </w:pPr>
      <w:r>
        <w:rPr>
          <w:bCs/>
          <w:b/>
        </w:rPr>
        <w:t xml:space="preserve">Energy Consumption in Use:</w:t>
      </w:r>
      <w:r>
        <w:t xml:space="preserve"> </w:t>
      </w:r>
      <w:r>
        <w:t xml:space="preserve">kqhdzkente (20 kWh/year)</w:t>
      </w:r>
    </w:p>
    <w:bookmarkEnd w:id="30"/>
    <w:bookmarkStart w:id="31"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rjildqplqi (85%)</w:t>
      </w:r>
    </w:p>
    <w:p>
      <w:pPr>
        <w:numPr>
          <w:ilvl w:val="0"/>
          <w:numId w:val="1005"/>
        </w:numPr>
        <w:pStyle w:val="Compact"/>
      </w:pPr>
      <w:r>
        <w:rPr>
          <w:bCs/>
          <w:b/>
        </w:rPr>
        <w:t xml:space="preserve">Circular/Take-back Programs:</w:t>
      </w:r>
      <w:r>
        <w:t xml:space="preserve"> </w:t>
      </w:r>
      <w:r>
        <w:t xml:space="preserve">gtpdjvoqsx (Established Product Take-back Program with Advanced Recycling Facilities)</w:t>
      </w:r>
    </w:p>
    <w:p>
      <w:r>
        <w:pict>
          <v:rect style="width:0;height:1.5pt" o:hralign="center" o:hrstd="t" o:hr="t"/>
        </w:pict>
      </w:r>
    </w:p>
    <w:bookmarkEnd w:id="31"/>
    <w:bookmarkEnd w:id="32"/>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classifications. Calculations use the provided parameters and illustrative emission factors from industry-standard databases (e.g., Ecoinvent, DEFRA).</w:t>
      </w:r>
    </w:p>
    <w:bookmarkStart w:id="33" w:name="scope-1-emissions-direct-emissions"/>
    <w:p>
      <w:pPr>
        <w:pStyle w:val="Heading3"/>
      </w:pPr>
      <w:r>
        <w:t xml:space="preserve">Scope 1 Emissions (Direct Emissions):</w:t>
      </w:r>
    </w:p>
    <w:p>
      <w:pPr>
        <w:pStyle w:val="FirstParagraph"/>
      </w:pPr>
      <w:r>
        <w:t xml:space="preserve">These are direct GHG emissions from sources owned or controlled by ksgfxxpokw. For a product-level PCF with a \'factory_gate\' boundary, direct operational emissions from the manufacturing facility (e.g., fuel combustion for on-site heating or company-owned vehicles on site) are relevant. As no specific direct combustion data for lsxffnxnhq\'s production is provided, and the focus is product-level, these are assumed to be negligible or allocated to corporate-level reporting, but would typically include:</w:t>
      </w:r>
    </w:p>
    <w:p>
      <w:pPr>
        <w:numPr>
          <w:ilvl w:val="0"/>
          <w:numId w:val="1006"/>
        </w:numPr>
        <w:pStyle w:val="Compact"/>
      </w:pPr>
      <w:r>
        <w:t xml:space="preserve">Direct fuel combustion (e.g., natural gas for heating, company fleet vehicles).</w:t>
      </w:r>
    </w:p>
    <w:p>
      <w:pPr>
        <w:numPr>
          <w:ilvl w:val="0"/>
          <w:numId w:val="1006"/>
        </w:numPr>
        <w:pStyle w:val="Compact"/>
      </w:pPr>
      <w:r>
        <w:t xml:space="preserve">Process emissions (e.g., from specific chemical reactions, if applicable).</w:t>
      </w:r>
    </w:p>
    <w:p>
      <w:pPr>
        <w:numPr>
          <w:ilvl w:val="0"/>
          <w:numId w:val="1006"/>
        </w:numPr>
        <w:pStyle w:val="Compact"/>
      </w:pPr>
      <w:r>
        <w:t xml:space="preserve">Fugitive emissions (e.g., refrigerants in AC units).</w:t>
      </w:r>
    </w:p>
    <w:p>
      <w:pPr>
        <w:pStyle w:val="FirstParagraph"/>
      </w:pPr>
      <w:r>
        <w:rPr>
          <w:bCs/>
          <w:b/>
        </w:rPr>
        <w:t xml:space="preserve">Illustrative Scope 1 Emissions: 0.00 kgCO2e (Assumed negligible for product-specific direct process emissions, typically covered at corporate level).</w:t>
      </w:r>
    </w:p>
    <w:bookmarkEnd w:id="33"/>
    <w:bookmarkStart w:id="34" w:name="X1bd5ed5ba51603fe7fc5fd46de6dc3081dfffbb"/>
    <w:p>
      <w:pPr>
        <w:pStyle w:val="Heading3"/>
      </w:pPr>
      <w:r>
        <w:t xml:space="preserve">Scope 2 Emissions (Indirect Emissions from Purchased Energy):</w:t>
      </w:r>
    </w:p>
    <w:p>
      <w:pPr>
        <w:pStyle w:val="FirstParagraph"/>
      </w:pPr>
      <w:r>
        <w:t xml:space="preserve">These are indirect GHG emissions from the generation of purchased electricity, heat, or steam consumed by ksgfxxpokw\'s manufacturing facility for lsxffnxnhq.</w:t>
      </w:r>
    </w:p>
    <w:p>
      <w:pPr>
        <w:numPr>
          <w:ilvl w:val="0"/>
          <w:numId w:val="1007"/>
        </w:numPr>
        <w:pStyle w:val="Compact"/>
      </w:pPr>
      <w:r>
        <w:t xml:space="preserve">Total Energy Intensity: 15 kWh/unit (ntnnzoqmxz)</w:t>
      </w:r>
    </w:p>
    <w:p>
      <w:pPr>
        <w:numPr>
          <w:ilvl w:val="0"/>
          <w:numId w:val="1007"/>
        </w:numPr>
        <w:pStyle w:val="Compact"/>
      </w:pPr>
      <w:r>
        <w:t xml:space="preserve">Renewable Energy Usage: 65% (jpjgztrjgh)</w:t>
      </w:r>
    </w:p>
    <w:p>
      <w:pPr>
        <w:numPr>
          <w:ilvl w:val="0"/>
          <w:numId w:val="1007"/>
        </w:numPr>
        <w:pStyle w:val="Compact"/>
      </w:pPr>
      <w:r>
        <w:t xml:space="preserve">Non-renewable Electricity: 15 kWh/unit * (1 - 0.65) = 5.25 kWh/unit</w:t>
      </w:r>
    </w:p>
    <w:p>
      <w:pPr>
        <w:numPr>
          <w:ilvl w:val="0"/>
          <w:numId w:val="1007"/>
        </w:numPr>
        <w:pStyle w:val="Compact"/>
      </w:pPr>
      <w:r>
        <w:t xml:space="preserve">China Grid Emission Factor (illustrative): 0.6 kgCO2e/kWh</w:t>
      </w:r>
    </w:p>
    <w:p>
      <w:pPr>
        <w:numPr>
          <w:ilvl w:val="0"/>
          <w:numId w:val="1007"/>
        </w:numPr>
        <w:pStyle w:val="Compact"/>
      </w:pPr>
      <w:r>
        <w:rPr>
          <w:bCs/>
          <w:b/>
        </w:rPr>
        <w:t xml:space="preserve">Calculation:</w:t>
      </w:r>
      <w:r>
        <w:t xml:space="preserve"> </w:t>
      </w:r>
      <w:r>
        <w:t xml:space="preserve">5.25 kWh/unit * 0.6 kgCO2e/kWh = 3.15 kgCO2e/unit</w:t>
      </w:r>
    </w:p>
    <w:p>
      <w:pPr>
        <w:pStyle w:val="FirstParagraph"/>
      </w:pPr>
      <w:r>
        <w:rPr>
          <w:bCs/>
          <w:b/>
        </w:rPr>
        <w:t xml:space="preserve">Illustrative Scope 2 Emissions: 3.15 kgCO2e/unit</w:t>
      </w:r>
    </w:p>
    <w:bookmarkEnd w:id="34"/>
    <w:bookmarkStart w:id="37" w:name="Xa4ae47cf428664338de6136b1752768d982738f"/>
    <w:p>
      <w:pPr>
        <w:pStyle w:val="Heading3"/>
      </w:pPr>
      <w:r>
        <w:t xml:space="preserve">Scope 3 Emissions (Other Indirect Emissions - Value Chain):</w:t>
      </w:r>
    </w:p>
    <w:p>
      <w:pPr>
        <w:pStyle w:val="FirstParagraph"/>
      </w:pPr>
      <w:r>
        <w:t xml:space="preserve">Scope 3 emissions encompass all other indirect emissions occurring in the value chain, both upstream and downstream. The GHG Protocol requires at least 95% coverage for Scope 3 reporting in 2026.</w:t>
      </w:r>
    </w:p>
    <w:bookmarkStart w:id="35" w:name="a.-upstream-emissions"/>
    <w:p>
      <w:pPr>
        <w:pStyle w:val="Heading4"/>
      </w:pPr>
      <w:r>
        <w:t xml:space="preserve">a. Upstream Emissions:</w:t>
      </w:r>
    </w:p>
    <w:p>
      <w:pPr>
        <w:numPr>
          <w:ilvl w:val="0"/>
          <w:numId w:val="1008"/>
        </w:numPr>
        <w:pStyle w:val="Compact"/>
      </w:pPr>
      <w:r>
        <w:rPr>
          <w:bCs/>
          <w:b/>
        </w:rPr>
        <w:t xml:space="preserve">Purchased Goods and Services (Materials):</w:t>
      </w:r>
      <w:r>
        <w:t xml:space="preserve"> </w:t>
      </w:r>
      <w:r>
        <w:t xml:space="preserve">Based on the illustrative BOM.</w:t>
      </w:r>
    </w:p>
    <w:p>
      <w:pPr>
        <w:numPr>
          <w:ilvl w:val="1"/>
          <w:numId w:val="1009"/>
        </w:numPr>
        <w:pStyle w:val="Compact"/>
      </w:pPr>
      <w:r>
        <w:rPr>
          <w:bCs/>
          <w:b/>
        </w:rPr>
        <w:t xml:space="preserve">Total Material Emissions (from table above):</w:t>
      </w:r>
      <w:r>
        <w:t xml:space="preserve"> </w:t>
      </w:r>
      <w:r>
        <w:t xml:space="preserve">33.665 kgCO2e/unit</w:t>
      </w:r>
    </w:p>
    <w:p>
      <w:pPr>
        <w:numPr>
          <w:ilvl w:val="0"/>
          <w:numId w:val="1008"/>
        </w:numPr>
        <w:pStyle w:val="Compact"/>
      </w:pPr>
      <w:r>
        <w:rPr>
          <w:bCs/>
          <w:b/>
        </w:rPr>
        <w:t xml:space="preserve">Upstream Transportation and Distribution:</w:t>
      </w:r>
      <w:r>
        <w:t xml:space="preserve"> </w:t>
      </w:r>
      <w:r>
        <w:t xml:space="preserve">Transport of raw materials and components to the final production country (China).</w:t>
      </w:r>
    </w:p>
    <w:p>
      <w:pPr>
        <w:numPr>
          <w:ilvl w:val="1"/>
          <w:numId w:val="1010"/>
        </w:numPr>
        <w:pStyle w:val="Compact"/>
      </w:pPr>
      <w:r>
        <w:t xml:space="preserve">Product Weight (illustrative average): 0.5 kg (assuming finished product weight to calculate material transport, distinct from individual component weight in BOM)</w:t>
      </w:r>
    </w:p>
    <w:p>
      <w:pPr>
        <w:numPr>
          <w:ilvl w:val="1"/>
          <w:numId w:val="1010"/>
        </w:numPr>
        <w:pStyle w:val="Compact"/>
      </w:pPr>
      <w:r>
        <w:t xml:space="preserve">Transport Distance: 2,500 km (xjpvgioynq)</w:t>
      </w:r>
    </w:p>
    <w:p>
      <w:pPr>
        <w:numPr>
          <w:ilvl w:val="1"/>
          <w:numId w:val="1010"/>
        </w:numPr>
        <w:pStyle w:val="Compact"/>
      </w:pPr>
      <w:r>
        <w:t xml:space="preserve">Transport Mode: Road freight (HGV &gt; 32t) (Select Mode)</w:t>
      </w:r>
    </w:p>
    <w:p>
      <w:pPr>
        <w:numPr>
          <w:ilvl w:val="1"/>
          <w:numId w:val="1010"/>
        </w:numPr>
        <w:pStyle w:val="Compact"/>
      </w:pPr>
      <w:r>
        <w:t xml:space="preserve">Emission Factor (illustrative): 0.062 kgCO2e/tonne-km (average for road freight).</w:t>
      </w:r>
    </w:p>
    <w:p>
      <w:pPr>
        <w:numPr>
          <w:ilvl w:val="1"/>
          <w:numId w:val="1010"/>
        </w:numPr>
        <w:pStyle w:val="Compact"/>
      </w:pPr>
      <w:r>
        <w:rPr>
          <w:bCs/>
          <w:b/>
        </w:rPr>
        <w:t xml:space="preserve">Calculation:</w:t>
      </w:r>
      <w:r>
        <w:t xml:space="preserve"> </w:t>
      </w:r>
      <w:r>
        <w:t xml:space="preserve">(0.5 kg / 1000 kg/tonne) * 2,500 km * 0.062 kgCO2e/tkm = 0.0775 kgCO2e/unit</w:t>
      </w:r>
    </w:p>
    <w:bookmarkEnd w:id="35"/>
    <w:bookmarkStart w:id="36" w:name="b.-downstream-emissions"/>
    <w:p>
      <w:pPr>
        <w:pStyle w:val="Heading4"/>
      </w:pPr>
      <w:r>
        <w:t xml:space="preserve">b. Downstream Emissions:</w:t>
      </w:r>
    </w:p>
    <w:p>
      <w:pPr>
        <w:numPr>
          <w:ilvl w:val="0"/>
          <w:numId w:val="1011"/>
        </w:numPr>
        <w:pStyle w:val="Compact"/>
      </w:pPr>
      <w:r>
        <w:rPr>
          <w:bCs/>
          <w:b/>
        </w:rPr>
        <w:t xml:space="preserve">Downstream Transportation and Distribution (Last-Mile Delivery):</w:t>
      </w:r>
      <w:r>
        <w:t xml:space="preserve"> </w:t>
      </w:r>
      <w:r>
        <w:t xml:space="preserve">Delivery of the finished product to the end-customer market (e.g., Europe).</w:t>
      </w:r>
    </w:p>
    <w:p>
      <w:pPr>
        <w:numPr>
          <w:ilvl w:val="1"/>
          <w:numId w:val="1012"/>
        </w:numPr>
        <w:pStyle w:val="Compact"/>
      </w:pPr>
      <w:r>
        <w:t xml:space="preserve">Product Weight: 0.5 kg</w:t>
      </w:r>
    </w:p>
    <w:p>
      <w:pPr>
        <w:numPr>
          <w:ilvl w:val="1"/>
          <w:numId w:val="1012"/>
        </w:numPr>
        <w:pStyle w:val="Compact"/>
      </w:pPr>
      <w:r>
        <w:t xml:space="preserve">Average Last-Mile Distance (illustrative): 100 km</w:t>
      </w:r>
    </w:p>
    <w:p>
      <w:pPr>
        <w:numPr>
          <w:ilvl w:val="1"/>
          <w:numId w:val="1012"/>
        </w:numPr>
        <w:pStyle w:val="Compact"/>
      </w:pPr>
      <w:r>
        <w:t xml:space="preserve">Delivery Channel: Light Commercial Vehicle (LCV) (Delivery Type)</w:t>
      </w:r>
    </w:p>
    <w:p>
      <w:pPr>
        <w:numPr>
          <w:ilvl w:val="1"/>
          <w:numId w:val="1012"/>
        </w:numPr>
        <w:pStyle w:val="Compact"/>
      </w:pPr>
      <w:r>
        <w:t xml:space="preserve">Emission Factor (illustrative): 0.15 kgCO2e/km (for LCV, adjusted for product weight). Assuming multiple units per LCV, and average load. For a single unit, this would be significantly higher. Let\'s assume a share of LCV emissions based on cargo capacity (e.g., 50 units per LCV for a 0.5kg product).</w:t>
      </w:r>
    </w:p>
    <w:p>
      <w:pPr>
        <w:numPr>
          <w:ilvl w:val="2"/>
          <w:numId w:val="1013"/>
        </w:numPr>
        <w:pStyle w:val="Compact"/>
      </w:pPr>
      <w:r>
        <w:t xml:space="preserve">(0.15 kgCO2e/km * 100 km) / 50 units = 0.3 kgCO2e/unit</w:t>
      </w:r>
    </w:p>
    <w:p>
      <w:pPr>
        <w:numPr>
          <w:ilvl w:val="0"/>
          <w:numId w:val="1011"/>
        </w:numPr>
        <w:pStyle w:val="Compact"/>
      </w:pPr>
      <w:r>
        <w:rPr>
          <w:bCs/>
          <w:b/>
        </w:rPr>
        <w:t xml:space="preserve">Use of Sold Products:</w:t>
      </w:r>
      <w:r>
        <w:t xml:space="preserve"> </w:t>
      </w:r>
      <w:r>
        <w:t xml:space="preserve">Energy consumption during the product\'s operational lifespan.</w:t>
      </w:r>
    </w:p>
    <w:p>
      <w:pPr>
        <w:numPr>
          <w:ilvl w:val="1"/>
          <w:numId w:val="1014"/>
        </w:numPr>
        <w:pStyle w:val="Compact"/>
      </w:pPr>
      <w:r>
        <w:t xml:space="preserve">Product Lifespan: 5 years (jhqsvzgmde)</w:t>
      </w:r>
    </w:p>
    <w:p>
      <w:pPr>
        <w:numPr>
          <w:ilvl w:val="1"/>
          <w:numId w:val="1014"/>
        </w:numPr>
        <w:pStyle w:val="Compact"/>
      </w:pPr>
      <w:r>
        <w:t xml:space="preserve">Energy Consumption in Use: 20 kWh/year (kqhdzkente)</w:t>
      </w:r>
    </w:p>
    <w:p>
      <w:pPr>
        <w:numPr>
          <w:ilvl w:val="1"/>
          <w:numId w:val="1014"/>
        </w:numPr>
        <w:pStyle w:val="Compact"/>
      </w:pPr>
      <w:r>
        <w:t xml:space="preserve">Total Energy Consumption: 20 kWh/year * 5 years = 100 kWh/unit</w:t>
      </w:r>
    </w:p>
    <w:p>
      <w:pPr>
        <w:numPr>
          <w:ilvl w:val="1"/>
          <w:numId w:val="1014"/>
        </w:numPr>
        <w:pStyle w:val="Compact"/>
      </w:pPr>
      <w:r>
        <w:t xml:space="preserve">Electricity Grid Mix (Generic EU average, illustrative): 0.25 kgCO2e/kWh (e.g., 0.207 kgCO2e/kWh for UK, using a slightly higher general EU average for conservativeness).</w:t>
      </w:r>
    </w:p>
    <w:p>
      <w:pPr>
        <w:numPr>
          <w:ilvl w:val="1"/>
          <w:numId w:val="1014"/>
        </w:numPr>
        <w:pStyle w:val="Compact"/>
      </w:pPr>
      <w:r>
        <w:rPr>
          <w:bCs/>
          <w:b/>
        </w:rPr>
        <w:t xml:space="preserve">Calculation:</w:t>
      </w:r>
      <w:r>
        <w:t xml:space="preserve"> </w:t>
      </w:r>
      <w:r>
        <w:t xml:space="preserve">100 kWh/unit * 0.25 kgCO2e/kWh = 25.00 kgCO2e/unit</w:t>
      </w:r>
    </w:p>
    <w:p>
      <w:pPr>
        <w:numPr>
          <w:ilvl w:val="0"/>
          <w:numId w:val="1011"/>
        </w:numPr>
        <w:pStyle w:val="Compact"/>
      </w:pPr>
      <w:r>
        <w:rPr>
          <w:bCs/>
          <w:b/>
        </w:rPr>
        <w:t xml:space="preserve">End-of-Life Treatment of Sold Products:</w:t>
      </w:r>
      <w:r>
        <w:t xml:space="preserve"> </w:t>
      </w:r>
      <w:r>
        <w:t xml:space="preserve">Emissions from disposal or recycling at the end of the product\'s life.</w:t>
      </w:r>
    </w:p>
    <w:p>
      <w:pPr>
        <w:numPr>
          <w:ilvl w:val="1"/>
          <w:numId w:val="1015"/>
        </w:numPr>
        <w:pStyle w:val="Compact"/>
      </w:pPr>
      <w:r>
        <w:t xml:space="preserve">Recyclability Percentage: 85% (rjildqplqi)</w:t>
      </w:r>
    </w:p>
    <w:p>
      <w:pPr>
        <w:numPr>
          <w:ilvl w:val="1"/>
          <w:numId w:val="1015"/>
        </w:numPr>
        <w:pStyle w:val="Compact"/>
      </w:pPr>
      <w:r>
        <w:t xml:space="preserve">Circular Programs: Product Take-back Program (gtpdjvoqsx) - this enables a high recycling rate and potential for material credits.</w:t>
      </w:r>
    </w:p>
    <w:p>
      <w:pPr>
        <w:numPr>
          <w:ilvl w:val="1"/>
          <w:numId w:val="1015"/>
        </w:numPr>
        <w:pStyle w:val="Compact"/>
      </w:pPr>
      <w:r>
        <w:t xml:space="preserve">Product Weight: 0.5 kg</w:t>
      </w:r>
    </w:p>
    <w:p>
      <w:pPr>
        <w:numPr>
          <w:ilvl w:val="1"/>
          <w:numId w:val="1015"/>
        </w:numPr>
        <w:pStyle w:val="Compact"/>
      </w:pPr>
      <w:r>
        <w:t xml:space="preserve">Recycled Portion: 0.5 kg * 0.85 = 0.425 kg</w:t>
      </w:r>
    </w:p>
    <w:p>
      <w:pPr>
        <w:numPr>
          <w:ilvl w:val="1"/>
          <w:numId w:val="1015"/>
        </w:numPr>
        <w:pStyle w:val="Compact"/>
      </w:pPr>
      <w:r>
        <w:t xml:space="preserve">Disposed Portion (Landfill/Incineration): 0.5 kg * 0.15 = 0.075 kg</w:t>
      </w:r>
    </w:p>
    <w:p>
      <w:pPr>
        <w:numPr>
          <w:ilvl w:val="1"/>
          <w:numId w:val="1015"/>
        </w:numPr>
        <w:pStyle w:val="Compact"/>
      </w:pPr>
      <w:r>
        <w:rPr>
          <w:bCs/>
          <w:b/>
        </w:rPr>
        <w:t xml:space="preserve">Emissions from Disposal (illustrative for landfill):</w:t>
      </w:r>
      <w:r>
        <w:t xml:space="preserve"> </w:t>
      </w:r>
      <w:r>
        <w:t xml:space="preserve">0.075 kg * 3.5 kgCO2e/kg (general waste landfill) = 0.2625 kgCO2e/unit.</w:t>
      </w:r>
    </w:p>
    <w:p>
      <w:pPr>
        <w:numPr>
          <w:ilvl w:val="1"/>
          <w:numId w:val="1015"/>
        </w:numPr>
        <w:pStyle w:val="Compact"/>
      </w:pPr>
      <w:r>
        <w:rPr>
          <w:bCs/>
          <w:b/>
        </w:rPr>
        <w:t xml:space="preserve">Credit for Recycling:</w:t>
      </w:r>
      <w:r>
        <w:t xml:space="preserve"> </w:t>
      </w:r>
      <w:r>
        <w:t xml:space="preserve">Assuming a substitution approach for the recycled portion, where virgin material production is avoided. For simplification, we will calculate a credit for the materials\' initial impact. For example, if the average emission factor for the recycled materials was ~4 kgCO2e/kg (an illustrative average of the materials in BOM), then the credit would be: 0.425 kg * 4 kgCO2e/kg = -1.70 kgCO2e/unit.</w:t>
      </w:r>
      <w:r>
        <w:t xml:space="preserve"> </w:t>
      </w:r>
      <w:r>
        <w:t xml:space="preserve">* *Note on EoL Credits:* The precise calculation of EoL credits is complex and depends on the specific methodology (e.g., cut-off vs. substitution). For this report, an illustrative credit is applied, acknowledging the circular program\'s impact.</w:t>
      </w:r>
    </w:p>
    <w:p>
      <w:pPr>
        <w:numPr>
          <w:ilvl w:val="1"/>
          <w:numId w:val="1015"/>
        </w:numPr>
        <w:pStyle w:val="Compact"/>
      </w:pPr>
      <w:r>
        <w:rPr>
          <w:bCs/>
          <w:b/>
        </w:rPr>
        <w:t xml:space="preserve">Net End-of-Life Emissions:</w:t>
      </w:r>
      <w:r>
        <w:t xml:space="preserve"> </w:t>
      </w:r>
      <w:r>
        <w:t xml:space="preserve">0.2625 kgCO2e/unit (disposal) - 1.70 kgCO2e/unit (recycling credit) = -1.4375 kgCO2e/unit</w:t>
      </w:r>
    </w:p>
    <w:bookmarkEnd w:id="36"/>
    <w:bookmarkEnd w:id="37"/>
    <w:bookmarkStart w:id="38" w:name="Xc5ae98b2397d513414cd6ba5d0390d27a603571"/>
    <w:p>
      <w:pPr>
        <w:pStyle w:val="Heading3"/>
      </w:pPr>
      <w:r>
        <w:t xml:space="preserve">Total Product Carbon Footprint (Illustrative Summary per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Illustrative Emissions (kgCO2e/unit)</w:t>
            </w:r>
          </w:p>
        </w:tc>
        <w:tc>
          <w:tcPr/>
          <w:p>
            <w:pPr>
              <w:pStyle w:val="Compact"/>
              <w:jc w:val="left"/>
            </w:pPr>
            <w:r>
              <w:t xml:space="preserve">GHG Scope</w:t>
            </w:r>
          </w:p>
        </w:tc>
        <w:tc>
          <w:tcPr/>
          <w:p>
            <w:pPr>
              <w:pStyle w:val="Compact"/>
              <w:jc w:val="left"/>
            </w:pPr>
            <w:r>
              <w:t xml:space="preserve">Category (Scope 3)</w:t>
            </w:r>
          </w:p>
        </w:tc>
      </w:tr>
      <w:tr>
        <w:tc>
          <w:tcPr/>
          <w:p>
            <w:pPr>
              <w:pStyle w:val="Compact"/>
              <w:jc w:val="left"/>
            </w:pPr>
            <w:r>
              <w:t xml:space="preserve">Materials Acquisition &amp; Processing</w:t>
            </w:r>
          </w:p>
        </w:tc>
        <w:tc>
          <w:tcPr/>
          <w:p>
            <w:pPr>
              <w:pStyle w:val="Compact"/>
              <w:jc w:val="left"/>
            </w:pPr>
            <w:r>
              <w:t xml:space="preserve">33.665</w:t>
            </w:r>
          </w:p>
        </w:tc>
        <w:tc>
          <w:tcPr/>
          <w:p>
            <w:pPr>
              <w:pStyle w:val="Compact"/>
              <w:jc w:val="left"/>
            </w:pPr>
            <w:r>
              <w:t xml:space="preserve">Scope 3</w:t>
            </w:r>
          </w:p>
        </w:tc>
        <w:tc>
          <w:tcPr/>
          <w:p>
            <w:pPr>
              <w:pStyle w:val="Compact"/>
              <w:jc w:val="left"/>
            </w:pPr>
            <w:r>
              <w:t xml:space="preserve">Purchased Goods &amp; Services</w:t>
            </w:r>
          </w:p>
        </w:tc>
      </w:tr>
      <w:tr>
        <w:tc>
          <w:tcPr/>
          <w:p>
            <w:pPr>
              <w:pStyle w:val="Compact"/>
              <w:jc w:val="left"/>
            </w:pPr>
            <w:r>
              <w:t xml:space="preserve">Manufacturing (Energy Use)</w:t>
            </w:r>
          </w:p>
        </w:tc>
        <w:tc>
          <w:tcPr/>
          <w:p>
            <w:pPr>
              <w:pStyle w:val="Compact"/>
              <w:jc w:val="left"/>
            </w:pPr>
            <w:r>
              <w:t xml:space="preserve">3.150</w:t>
            </w:r>
          </w:p>
        </w:tc>
        <w:tc>
          <w:tcPr/>
          <w:p>
            <w:pPr>
              <w:pStyle w:val="Compact"/>
              <w:jc w:val="left"/>
            </w:pPr>
            <w:r>
              <w:t xml:space="preserve">Scope 2</w:t>
            </w:r>
          </w:p>
        </w:tc>
        <w:tc>
          <w:tcPr/>
          <w:p>
            <w:pPr>
              <w:pStyle w:val="Compact"/>
            </w:pPr>
          </w:p>
        </w:tc>
      </w:tr>
      <w:tr>
        <w:tc>
          <w:tcPr/>
          <w:p>
            <w:pPr>
              <w:pStyle w:val="Compact"/>
              <w:jc w:val="left"/>
            </w:pPr>
            <w:r>
              <w:t xml:space="preserve">Upstream Transportation</w:t>
            </w:r>
          </w:p>
        </w:tc>
        <w:tc>
          <w:tcPr/>
          <w:p>
            <w:pPr>
              <w:pStyle w:val="Compact"/>
              <w:jc w:val="left"/>
            </w:pPr>
            <w:r>
              <w:t xml:space="preserve">0.0775</w:t>
            </w:r>
          </w:p>
        </w:tc>
        <w:tc>
          <w:tcPr/>
          <w:p>
            <w:pPr>
              <w:pStyle w:val="Compact"/>
              <w:jc w:val="left"/>
            </w:pPr>
            <w:r>
              <w:t xml:space="preserve">Scope 3</w:t>
            </w:r>
          </w:p>
        </w:tc>
        <w:tc>
          <w:tcPr/>
          <w:p>
            <w:pPr>
              <w:pStyle w:val="Compact"/>
              <w:jc w:val="left"/>
            </w:pPr>
            <w:r>
              <w:t xml:space="preserve">Upstream Transportation &amp; Distribution</w:t>
            </w:r>
          </w:p>
        </w:tc>
      </w:tr>
      <w:tr>
        <w:tc>
          <w:tcPr/>
          <w:p>
            <w:pPr>
              <w:pStyle w:val="Compact"/>
              <w:jc w:val="left"/>
            </w:pPr>
            <w:r>
              <w:t xml:space="preserve">Downstream Transportation (Last-Mile)</w:t>
            </w:r>
          </w:p>
        </w:tc>
        <w:tc>
          <w:tcPr/>
          <w:p>
            <w:pPr>
              <w:pStyle w:val="Compact"/>
              <w:jc w:val="left"/>
            </w:pPr>
            <w:r>
              <w:t xml:space="preserve">0.300</w:t>
            </w:r>
          </w:p>
        </w:tc>
        <w:tc>
          <w:tcPr/>
          <w:p>
            <w:pPr>
              <w:pStyle w:val="Compact"/>
              <w:jc w:val="left"/>
            </w:pPr>
            <w:r>
              <w:t xml:space="preserve">Scope 3</w:t>
            </w:r>
          </w:p>
        </w:tc>
        <w:tc>
          <w:tcPr/>
          <w:p>
            <w:pPr>
              <w:pStyle w:val="Compact"/>
              <w:jc w:val="left"/>
            </w:pPr>
            <w:r>
              <w:t xml:space="preserve">Downstream Transportation &amp; Distribution</w:t>
            </w:r>
          </w:p>
        </w:tc>
      </w:tr>
      <w:tr>
        <w:tc>
          <w:tcPr/>
          <w:p>
            <w:pPr>
              <w:pStyle w:val="Compact"/>
              <w:jc w:val="left"/>
            </w:pPr>
            <w:r>
              <w:t xml:space="preserve">Use Phase</w:t>
            </w:r>
          </w:p>
        </w:tc>
        <w:tc>
          <w:tcPr/>
          <w:p>
            <w:pPr>
              <w:pStyle w:val="Compact"/>
              <w:jc w:val="left"/>
            </w:pPr>
            <w:r>
              <w:t xml:space="preserve">25.000</w:t>
            </w:r>
          </w:p>
        </w:tc>
        <w:tc>
          <w:tcPr/>
          <w:p>
            <w:pPr>
              <w:pStyle w:val="Compact"/>
              <w:jc w:val="left"/>
            </w:pPr>
            <w:r>
              <w:t xml:space="preserve">Scope 3</w:t>
            </w:r>
          </w:p>
        </w:tc>
        <w:tc>
          <w:tcPr/>
          <w:p>
            <w:pPr>
              <w:pStyle w:val="Compact"/>
              <w:jc w:val="left"/>
            </w:pPr>
            <w:r>
              <w:t xml:space="preserve">Use of Sold Products</w:t>
            </w:r>
          </w:p>
        </w:tc>
      </w:tr>
      <w:tr>
        <w:tc>
          <w:tcPr/>
          <w:p>
            <w:pPr>
              <w:pStyle w:val="Compact"/>
              <w:jc w:val="left"/>
            </w:pPr>
            <w:r>
              <w:t xml:space="preserve">End-of-Life (Net)</w:t>
            </w:r>
          </w:p>
        </w:tc>
        <w:tc>
          <w:tcPr/>
          <w:p>
            <w:pPr>
              <w:pStyle w:val="Compact"/>
              <w:jc w:val="left"/>
            </w:pPr>
            <w:r>
              <w:t xml:space="preserve">-1.4375</w:t>
            </w:r>
          </w:p>
        </w:tc>
        <w:tc>
          <w:tcPr/>
          <w:p>
            <w:pPr>
              <w:pStyle w:val="Compact"/>
              <w:jc w:val="left"/>
            </w:pPr>
            <w:r>
              <w:t xml:space="preserve">Scope 3</w:t>
            </w:r>
          </w:p>
        </w:tc>
        <w:tc>
          <w:tcPr/>
          <w:p>
            <w:pPr>
              <w:pStyle w:val="Compact"/>
              <w:jc w:val="left"/>
            </w:pPr>
            <w:r>
              <w:t xml:space="preserve">End-of-Life Treatment of Sold Products</w:t>
            </w:r>
          </w:p>
        </w:tc>
      </w:tr>
      <w:tr>
        <w:tc>
          <w:tcPr/>
          <w:p>
            <w:pPr>
              <w:pStyle w:val="Compact"/>
              <w:jc w:val="left"/>
            </w:pPr>
            <w:r>
              <w:rPr>
                <w:bCs/>
                <w:b/>
              </w:rPr>
              <w:t xml:space="preserve">TOTAL PCF (Illustrative)</w:t>
            </w:r>
          </w:p>
        </w:tc>
        <w:tc>
          <w:tcPr/>
          <w:p>
            <w:pPr>
              <w:pStyle w:val="Compact"/>
              <w:jc w:val="left"/>
            </w:pPr>
            <w:r>
              <w:rPr>
                <w:bCs/>
                <w:b/>
              </w:rPr>
              <w:t xml:space="preserve">60.755</w:t>
            </w:r>
          </w:p>
        </w:tc>
        <w:tc>
          <w:tcPr/>
          <w:p>
            <w:pPr>
              <w:pStyle w:val="Compact"/>
            </w:pPr>
          </w:p>
        </w:tc>
        <w:tc>
          <w:tcPr/>
          <w:p>
            <w:pPr>
              <w:pStyle w:val="Compact"/>
            </w:pPr>
          </w:p>
        </w:tc>
      </w:tr>
    </w:tbl>
    <w:p>
      <w:pPr>
        <w:pStyle w:val="BodyText"/>
      </w:pPr>
      <w:r>
        <w:rPr>
          <w:bCs/>
          <w:b/>
        </w:rPr>
        <w:t xml:space="preserve">Illustrative Total Product Carbon Footprint for lsxffnxnhq: 60.755 kgCO2e per unit</w:t>
      </w:r>
    </w:p>
    <w:p>
      <w:r>
        <w:pict>
          <v:rect style="width:0;height:1.5pt" o:hralign="center" o:hrstd="t" o:hr="t"/>
        </w:pict>
      </w:r>
    </w:p>
    <w:bookmarkEnd w:id="38"/>
    <w:bookmarkEnd w:id="39"/>
    <w:bookmarkStart w:id="44" w:name="review-report"/>
    <w:p>
      <w:pPr>
        <w:pStyle w:val="Heading2"/>
      </w:pPr>
      <w:r>
        <w:t xml:space="preserve">5. Review &amp; Report</w:t>
      </w:r>
    </w:p>
    <w:bookmarkStart w:id="40" w:name="hotspots-identification"/>
    <w:p>
      <w:pPr>
        <w:pStyle w:val="Heading3"/>
      </w:pPr>
      <w:r>
        <w:t xml:space="preserve">Hotspots Identification:</w:t>
      </w:r>
    </w:p>
    <w:p>
      <w:pPr>
        <w:pStyle w:val="FirstParagraph"/>
      </w:pPr>
      <w:r>
        <w:t xml:space="preserve">Based on this illustrative analysis, the primary emission hotspots for the Advanced Smart Sensor (lsxffnxnhq) are:</w:t>
      </w:r>
    </w:p>
    <w:p>
      <w:pPr>
        <w:numPr>
          <w:ilvl w:val="0"/>
          <w:numId w:val="1016"/>
        </w:numPr>
        <w:pStyle w:val="Compact"/>
      </w:pPr>
      <w:r>
        <w:rPr>
          <w:bCs/>
          <w:b/>
        </w:rPr>
        <w:t xml:space="preserve">Materials Acquisition &amp; Processing (Scope 3, Purchased Goods &amp; Services):</w:t>
      </w:r>
      <w:r>
        <w:t xml:space="preserve"> </w:t>
      </w:r>
      <w:r>
        <w:t xml:space="preserve">This stage contributes significantly, especially due to high-impact components like the PCB Assembly, Lithium-ion Battery, and Semiconductors.</w:t>
      </w:r>
    </w:p>
    <w:p>
      <w:pPr>
        <w:numPr>
          <w:ilvl w:val="0"/>
          <w:numId w:val="1016"/>
        </w:numPr>
        <w:pStyle w:val="Compact"/>
      </w:pPr>
      <w:r>
        <w:rPr>
          <w:bCs/>
          <w:b/>
        </w:rPr>
        <w:t xml:space="preserve">Use Phase (Scope 3, Use of Sold Products):</w:t>
      </w:r>
      <w:r>
        <w:t xml:space="preserve"> </w:t>
      </w:r>
      <w:r>
        <w:t xml:space="preserve">The energy consumption during the product\'s 5-year lifespan contributes substantially to its overall footprint, highlighting the importance of energy efficiency.</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on the quality and representativeness of the input data. This report utilizes a combination of provided parameters and illustrative, generalized secondary emission factors from reputable databases like Ecoinvent and DEFRA. For increased accuracy, primary data directly from ksgfxxpokw\'s suppliers and operations would be ideal, particularly for material production and specific transport modes/distances.</w:t>
      </w:r>
    </w:p>
    <w:bookmarkEnd w:id="41"/>
    <w:bookmarkStart w:id="42" w:name="adherence-to-ghg-protocol"/>
    <w:p>
      <w:pPr>
        <w:pStyle w:val="Heading3"/>
      </w:pPr>
      <w:r>
        <w:t xml:space="preserve">Adherence to GHG Protocol:</w:t>
      </w:r>
    </w:p>
    <w:p>
      <w:pPr>
        <w:numPr>
          <w:ilvl w:val="0"/>
          <w:numId w:val="1017"/>
        </w:numPr>
        <w:pStyle w:val="Compact"/>
      </w:pPr>
      <w:r>
        <w:rPr>
          <w:bCs/>
          <w:b/>
        </w:rPr>
        <w:t xml:space="preserve">Scope 1, 2, 3 Categorization:</w:t>
      </w:r>
      <w:r>
        <w:t xml:space="preserve"> </w:t>
      </w:r>
      <w:r>
        <w:t xml:space="preserve">Emissions have been clearly categorized into Scope 1 (direct), Scope 2 (purchased energy), and Scope 3 (value chain) in accordance with the GHG Protocol.</w:t>
      </w:r>
    </w:p>
    <w:p>
      <w:pPr>
        <w:numPr>
          <w:ilvl w:val="0"/>
          <w:numId w:val="1017"/>
        </w:numPr>
        <w:pStyle w:val="Compact"/>
      </w:pPr>
      <w:r>
        <w:rPr>
          <w:bCs/>
          <w:b/>
        </w:rPr>
        <w:t xml:space="preserve">2026 LSR Update:</w:t>
      </w:r>
      <w:r>
        <w:t xml:space="preserve"> </w:t>
      </w:r>
      <w:r>
        <w:t xml:space="preserve">The Land Sector and Removals (LSR) Standard, released in January 2026 and effective January 1, 2027, provides crucial guidance for accounting for land sector emissions and CO2 removals. While specific land-use change data was not provided for lsxffnxnhq\'s components, ksgfxxpokw is committed to integrating these requirements for raw materials and biogenic products as detailed guidance becomes available throughout 2026, ensuring future compliance with this critical standard for science-based target setting.</w:t>
      </w:r>
    </w:p>
    <w:p>
      <w:pPr>
        <w:numPr>
          <w:ilvl w:val="0"/>
          <w:numId w:val="1017"/>
        </w:numPr>
        <w:pStyle w:val="Compact"/>
      </w:pPr>
      <w:r>
        <w:rPr>
          <w:bCs/>
          <w:b/>
        </w:rPr>
        <w:t xml:space="preserve">Scope 3 Compliance (95% Coverage):</w:t>
      </w:r>
      <w:r>
        <w:t xml:space="preserve"> </w:t>
      </w:r>
      <w:r>
        <w:t xml:space="preserve">This report strives for high coverage of Scope 3 emissions by including major categories such as purchased goods and services, transportation (upstream and downstream), use of sold products, and end-of-life treatment. The illustrative data demonstrates a comprehensive approach to meet or exceed the 95% coverage requirement for Scope 3 reporting, aligning with the 2026 mandates.</w:t>
      </w:r>
    </w:p>
    <w:bookmarkEnd w:id="42"/>
    <w:bookmarkStart w:id="43" w:name="recommendations"/>
    <w:p>
      <w:pPr>
        <w:pStyle w:val="Heading3"/>
      </w:pPr>
      <w:r>
        <w:t xml:space="preserve">Recommendations:</w:t>
      </w:r>
    </w:p>
    <w:p>
      <w:pPr>
        <w:numPr>
          <w:ilvl w:val="0"/>
          <w:numId w:val="1018"/>
        </w:numPr>
        <w:pStyle w:val="Compact"/>
      </w:pPr>
      <w:r>
        <w:rPr>
          <w:bCs/>
          <w:b/>
        </w:rPr>
        <w:t xml:space="preserve">Focus on Material Decarbonization:</w:t>
      </w:r>
      <w:r>
        <w:t xml:space="preserve"> </w:t>
      </w:r>
      <w:r>
        <w:t xml:space="preserve">Engage with suppliers of high-impact components (e.g., PCB, batteries, semiconductors) to explore lower-carbon alternatives, design for material efficiency, and increase recycled content.</w:t>
      </w:r>
    </w:p>
    <w:p>
      <w:pPr>
        <w:numPr>
          <w:ilvl w:val="0"/>
          <w:numId w:val="1018"/>
        </w:numPr>
        <w:pStyle w:val="Compact"/>
      </w:pPr>
      <w:r>
        <w:rPr>
          <w:bCs/>
          <w:b/>
        </w:rPr>
        <w:t xml:space="preserve">Enhance Product Energy Efficiency:</w:t>
      </w:r>
      <w:r>
        <w:t xml:space="preserve"> </w:t>
      </w:r>
      <w:r>
        <w:t xml:space="preserve">Further optimize the design of lsxffnxnhq to reduce energy consumption during its use phase, as this is a significant contributor to its lifetime footprint.</w:t>
      </w:r>
    </w:p>
    <w:p>
      <w:pPr>
        <w:numPr>
          <w:ilvl w:val="0"/>
          <w:numId w:val="1018"/>
        </w:numPr>
        <w:pStyle w:val="Compact"/>
      </w:pPr>
      <w:r>
        <w:rPr>
          <w:bCs/>
          <w:b/>
        </w:rPr>
        <w:t xml:space="preserve">Strengthen Circular Economy Initiatives:</w:t>
      </w:r>
      <w:r>
        <w:t xml:space="preserve"> </w:t>
      </w:r>
      <w:r>
        <w:t xml:space="preserve">Continue to invest in and expand the existing Product Take-back Program, exploring advanced recycling technologies and strategies to maximize material recovery and reuse.</w:t>
      </w:r>
    </w:p>
    <w:p>
      <w:pPr>
        <w:numPr>
          <w:ilvl w:val="0"/>
          <w:numId w:val="1018"/>
        </w:numPr>
        <w:pStyle w:val="Compact"/>
      </w:pPr>
      <w:r>
        <w:rPr>
          <w:bCs/>
          <w:b/>
        </w:rPr>
        <w:t xml:space="preserve">Improve Data Granularity:</w:t>
      </w:r>
      <w:r>
        <w:t xml:space="preserve"> </w:t>
      </w:r>
      <w:r>
        <w:t xml:space="preserve">Prioritize collecting primary data from key suppliers for more accurate emission factors specific to ksgfxxpokw\'s supply chain, particularly for material extraction and processing.</w:t>
      </w:r>
    </w:p>
    <w:p>
      <w:pPr>
        <w:numPr>
          <w:ilvl w:val="0"/>
          <w:numId w:val="1018"/>
        </w:numPr>
        <w:pStyle w:val="Compact"/>
      </w:pPr>
      <w:r>
        <w:rPr>
          <w:bCs/>
          <w:b/>
        </w:rPr>
        <w:t xml:space="preserve">Monitor LSR Standard Guidance:</w:t>
      </w:r>
      <w:r>
        <w:t xml:space="preserve"> </w:t>
      </w:r>
      <w:r>
        <w:t xml:space="preserve">Actively track the release of the accompanying guidance for the GHG Protocol Land Sector and Removals Standard throughout 2026 to prepare for full implementation by January 2027, especially concerning agricultural or bio-based raw materials.</w:t>
      </w:r>
    </w:p>
    <w:p>
      <w:r>
        <w:pict>
          <v:rect style="width:0;height:1.5pt" o:hralign="center" o:hrstd="t" o:hr="t"/>
        </w:pic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Smart Sensor (lsxffnxnhq)</dc:title>
  <dc:creator/>
  <dc:description>High-detail Product Carbon Footprint (PCF) analysis for Advanced Smart Sensor (lsxffnxnhq) by ksgfxxpokw, adhering to GHG Protocol and 2026 LSR Update, performed by Senior Sustainability Consultant gomfmwqpru.</dc:description>
  <dc:language>en</dc:language>
  <cp:keywords/>
  <dcterms:created xsi:type="dcterms:W3CDTF">2026-07-15T19:04:54Z</dcterms:created>
  <dcterms:modified xsi:type="dcterms:W3CDTF">2026-07-15T19:04:54Z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