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Unit</w:t>
      </w:r>
      <w:r>
        <w:t xml:space="preserve"> </w:t>
      </w:r>
      <w:r>
        <w:t xml:space="preserve">(ntkvufkpmy)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Advanced IoT Sensor Unit (ntkvufkpmy)</w:t>
      </w:r>
    </w:p>
    <w:p>
      <w:pPr>
        <w:pStyle w:val="BodyText"/>
      </w:pPr>
      <w:r>
        <w:rPr>
          <w:bCs/>
          <w:b/>
        </w:rPr>
        <w:t xml:space="preserve">Company Name:</w:t>
      </w:r>
      <w:r>
        <w:t xml:space="preserve"> </w:t>
      </w:r>
      <w:r>
        <w:t xml:space="preserve">Global Tech Solutions Inc. (pnsizzzgxw)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Alex Carbon (vmhjplyxkp)</w:t>
      </w:r>
    </w:p>
    <w:p>
      <w:pPr>
        <w:pStyle w:val="BodyText"/>
      </w:pPr>
      <w:r>
        <w:t xml:space="preserve">Disclaimer: This report is generated based on available data and industry standards.</w:t>
      </w:r>
      <w:r>
        <w:t xml:space="preserve"> </w:t>
      </w:r>
      <w:r>
        <w:t xml:space="preserve">The accuracy of the calculations relies on the completeness and reliability of the provided input parameters and the selected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Advanced IoT Sensor Unit (ntkvufkpmy)</w:t>
      </w:r>
    </w:p>
    <w:p>
      <w:pPr>
        <w:pStyle w:val="BodyText"/>
      </w:pPr>
      <w:r>
        <w:rPr>
          <w:bCs/>
          <w:b/>
        </w:rPr>
        <w:t xml:space="preserve">Generated Date:</w:t>
      </w:r>
      <w:r>
        <w:t xml:space="preserve"> </w:t>
      </w:r>
      <w:r>
        <w:t xml:space="preserve">May 26,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Advanced IoT Sensor Unit (ntkvufkpmy) manufactured by Global Tech Solutions Inc. (pnsizzzgxw). Conducted by Dr. Alex Carbon (vmhjplyxkp), a Senior Sustainability Consultant specializing in GHG Protocol, this assessment adheres to the Greenhouse Gas Protocol standards, including the latest 2026 updates for the Land Sector and Removals (LSR) Standard and stringent Scope 3 reporting requirements. The analysis covers the lifecycle from raw material extraction to the factory gate, through the use phase, and to the end-of-life treatment, providing a comprehensive view of the product\'s environmental impact in terms of CO2 equivalent (CO2e) emissions.</w:t>
      </w:r>
    </w:p>
    <w:p>
      <w:pPr>
        <w:pStyle w:val="BodyText"/>
      </w:pPr>
      <w:r>
        <w:t xml:space="preserve">The primary objective is to identify greenhouse gas emission hotspots across the product\'s lifecycle, categorize them according to GHG Protocol Scopes 1, 2, and 3, and provide actionable insights for emission reduction strategies. A strong emphasis has been placed on achieving at least 95% coverage for Scope 3 emissions, as per 2026 requirements, ensuring a robust and transparent assessment.</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follows the five-step methodology prescribed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the Advanced IoT Sensor Unit (ntkvufkpmy).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specifically \'factory_gate\' as the primary focus for direct operational control, extended to include upstream (raw materials, transport) and downstream (use phase, end-of-life) activities.</w:t>
      </w:r>
    </w:p>
    <w:p>
      <w:pPr>
        <w:numPr>
          <w:ilvl w:val="1"/>
          <w:numId w:val="1002"/>
        </w:numPr>
        <w:pStyle w:val="Compact"/>
      </w:pPr>
      <w:r>
        <w:rPr>
          <w:bCs/>
          <w:b/>
        </w:rPr>
        <w:t xml:space="preserve">Upstream (Scope 3, Category 1 &amp; 4):</w:t>
      </w:r>
      <w:r>
        <w:t xml:space="preserve"> </w:t>
      </w:r>
      <w:r>
        <w:t xml:space="preserve">Raw material extraction, processing, and transportation to the manufacturing facility.</w:t>
      </w:r>
    </w:p>
    <w:p>
      <w:pPr>
        <w:numPr>
          <w:ilvl w:val="1"/>
          <w:numId w:val="1002"/>
        </w:numPr>
        <w:pStyle w:val="Compact"/>
      </w:pPr>
      <w:r>
        <w:rPr>
          <w:bCs/>
          <w:b/>
        </w:rPr>
        <w:t xml:space="preserve">Core (Scope 1 &amp; 2):</w:t>
      </w:r>
      <w:r>
        <w:t xml:space="preserve"> </w:t>
      </w:r>
      <w:r>
        <w:t xml:space="preserve">Manufacturing processes at the production facility (factory_gate).</w:t>
      </w:r>
    </w:p>
    <w:p>
      <w:pPr>
        <w:numPr>
          <w:ilvl w:val="1"/>
          <w:numId w:val="1002"/>
        </w:numPr>
        <w:pStyle w:val="Compact"/>
      </w:pPr>
      <w:r>
        <w:rPr>
          <w:bCs/>
          <w:b/>
        </w:rPr>
        <w:t xml:space="preserve">Downstream (Scope 3, Category 9, 11 &amp; 12):</w:t>
      </w:r>
      <w:r>
        <w:t xml:space="preserve"> </w:t>
      </w:r>
      <w:r>
        <w:t xml:space="preserve">Transportation to customer,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 and product distribution.</w:t>
      </w:r>
    </w:p>
    <w:p>
      <w:pPr>
        <w:numPr>
          <w:ilvl w:val="0"/>
          <w:numId w:val="1001"/>
        </w:numPr>
        <w:pStyle w:val="Compact"/>
      </w:pPr>
      <w:r>
        <w:rPr>
          <w:bCs/>
          <w:b/>
        </w:rPr>
        <w:t xml:space="preserve">Accounting Standard:</w:t>
      </w:r>
      <w:r>
        <w:t xml:space="preserve"> </w:t>
      </w:r>
      <w:r>
        <w:t xml:space="preserve">Greenhouse Gas Protocol (GHG Protocol). This report strictly adheres to the GHG Protocol\'s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production of one unit.</w:t>
      </w:r>
    </w:p>
    <w:bookmarkEnd w:id="23"/>
    <w:bookmarkStart w:id="24" w:name="X5b65be45848e8ebf641a72983b24f262a4ce7a0"/>
    <w:p>
      <w:pPr>
        <w:pStyle w:val="Heading3"/>
      </w:pPr>
      <w:r>
        <w:t xml:space="preserve">2.2. Map Lifecycle (Life Cycle Inventory - LCI Stages)</w:t>
      </w:r>
    </w:p>
    <w:p>
      <w:pPr>
        <w:pStyle w:val="FirstParagraph"/>
      </w:pPr>
      <w:r>
        <w:t xml:space="preserve">The lifecycle of the Advanced IoT Sensor Unit (ntkvufkpmy) is mapped into the following stages, facilitating a detailed inventory of inputs and outputs:</w:t>
      </w:r>
    </w:p>
    <w:p>
      <w:pPr>
        <w:numPr>
          <w:ilvl w:val="0"/>
          <w:numId w:val="1003"/>
        </w:numPr>
        <w:pStyle w:val="Compact"/>
      </w:pPr>
      <w:r>
        <w:rPr>
          <w:bCs/>
          <w:b/>
        </w:rPr>
        <w:t xml:space="preserve">Materials Acquisition &amp; Pre-processing:</w:t>
      </w:r>
      <w:r>
        <w:t xml:space="preserve"> </w:t>
      </w:r>
      <w:r>
        <w:t xml:space="preserve">Extraction, refining, and initial processing of raw materials (e.g., metals, plastics, electronic components).</w:t>
      </w:r>
    </w:p>
    <w:p>
      <w:pPr>
        <w:numPr>
          <w:ilvl w:val="0"/>
          <w:numId w:val="1003"/>
        </w:numPr>
        <w:pStyle w:val="Compact"/>
      </w:pPr>
      <w:r>
        <w:rPr>
          <w:bCs/>
          <w:b/>
        </w:rPr>
        <w:t xml:space="preserve">Manufacturing:</w:t>
      </w:r>
      <w:r>
        <w:t xml:space="preserve"> </w:t>
      </w:r>
      <w:r>
        <w:t xml:space="preserve">Assembly, fabrication, and packaging processes at the Global Tech Solutions Inc. (pnsizzzgxw) facility in China.</w:t>
      </w:r>
    </w:p>
    <w:p>
      <w:pPr>
        <w:numPr>
          <w:ilvl w:val="0"/>
          <w:numId w:val="1003"/>
        </w:numPr>
        <w:pStyle w:val="Compact"/>
      </w:pPr>
      <w:r>
        <w:rPr>
          <w:bCs/>
          <w:b/>
        </w:rPr>
        <w:t xml:space="preserve">Transportation (Upstream):</w:t>
      </w:r>
      <w:r>
        <w:t xml:space="preserve"> </w:t>
      </w:r>
      <w:r>
        <w:t xml:space="preserve">Inbound logistics of raw materials and components from various suppliers (Europe-focused supply chain) to the manufacturing plant in China.</w:t>
      </w:r>
    </w:p>
    <w:p>
      <w:pPr>
        <w:numPr>
          <w:ilvl w:val="0"/>
          <w:numId w:val="1003"/>
        </w:numPr>
        <w:pStyle w:val="Compact"/>
      </w:pPr>
      <w:r>
        <w:rPr>
          <w:bCs/>
          <w:b/>
        </w:rPr>
        <w:t xml:space="preserve">Transportation (Downstream):</w:t>
      </w:r>
      <w:r>
        <w:t xml:space="preserve"> </w:t>
      </w:r>
      <w:r>
        <w:t xml:space="preserve">Outbound logistics of finished products from the factory in China to distribution centers and ultimately to end-customers in Europe.</w:t>
      </w:r>
    </w:p>
    <w:p>
      <w:pPr>
        <w:numPr>
          <w:ilvl w:val="0"/>
          <w:numId w:val="1003"/>
        </w:numPr>
        <w:pStyle w:val="Compact"/>
      </w:pPr>
      <w:r>
        <w:rPr>
          <w:bCs/>
          <w:b/>
        </w:rPr>
        <w:t xml:space="preserve">Use Phase:</w:t>
      </w:r>
      <w:r>
        <w:t xml:space="preserve"> </w:t>
      </w:r>
      <w:r>
        <w:t xml:space="preserve">Energy consumption during the product\'s lifespan by the end-user.</w:t>
      </w:r>
    </w:p>
    <w:p>
      <w:pPr>
        <w:numPr>
          <w:ilvl w:val="0"/>
          <w:numId w:val="1003"/>
        </w:numPr>
        <w:pStyle w:val="Compact"/>
      </w:pPr>
      <w:r>
        <w:rPr>
          <w:bCs/>
          <w:b/>
        </w:rPr>
        <w:t xml:space="preserve">End-of-Life (EoL):</w:t>
      </w:r>
      <w:r>
        <w:t xml:space="preserve"> </w:t>
      </w:r>
      <w:r>
        <w:t xml:space="preserve">Collection, recycling, and disposal of the product and its packaging at the end of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a combination of primary data (provided parameters) and secondary data (industry-standard emission factors from reputable databases like Ecoinvent/DEFRA for assumed values).</w:t>
      </w:r>
    </w:p>
    <w:bookmarkStart w:id="25" w:name="X418364d8bf209a2ce0c8f4348a58ddfdb636516"/>
    <w:p>
      <w:pPr>
        <w:pStyle w:val="Heading4"/>
      </w:pPr>
      <w:r>
        <w:t xml:space="preserve">2.3.1. Detailed Bill of Materials (BOM) for ntkvufkpmy (Scope 3, Category 1: Purchased Goods and Services)</w:t>
      </w:r>
    </w:p>
    <w:p>
      <w:pPr>
        <w:pStyle w:val="FirstParagraph"/>
      </w:pPr>
      <w:r>
        <w:t xml:space="preserve">The following Bill of Materials (BOM) represents the primary material inputs for one unit of ntkvufkpmy.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Microcontroller (MCU)</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0.05</w:t>
            </w:r>
          </w:p>
        </w:tc>
        <w:tc>
          <w:tcPr/>
          <w:p>
            <w:pPr>
              <w:pStyle w:val="Compact"/>
              <w:jc w:val="left"/>
            </w:pPr>
            <w:r>
              <w:t xml:space="preserve">0.050</w:t>
            </w:r>
          </w:p>
        </w:tc>
      </w:tr>
      <w:tr>
        <w:tc>
          <w:tcPr/>
          <w:p>
            <w:pPr>
              <w:pStyle w:val="Compact"/>
              <w:jc w:val="left"/>
            </w:pPr>
            <w:r>
              <w:t xml:space="preserve">002</w:t>
            </w:r>
          </w:p>
        </w:tc>
        <w:tc>
          <w:tcPr/>
          <w:p>
            <w:pPr>
              <w:pStyle w:val="Compact"/>
              <w:jc w:val="left"/>
            </w:pPr>
            <w:r>
              <w:t xml:space="preserve">PCB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0.12</w:t>
            </w:r>
          </w:p>
        </w:tc>
        <w:tc>
          <w:tcPr/>
          <w:p>
            <w:pPr>
              <w:pStyle w:val="Compact"/>
              <w:jc w:val="left"/>
            </w:pPr>
            <w:r>
              <w:t xml:space="preserve">0.120</w:t>
            </w:r>
          </w:p>
        </w:tc>
      </w:tr>
      <w:tr>
        <w:tc>
          <w:tcPr/>
          <w:p>
            <w:pPr>
              <w:pStyle w:val="Compact"/>
              <w:jc w:val="left"/>
            </w:pPr>
            <w:r>
              <w:t xml:space="preserve">003</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w:t>
            </w:r>
          </w:p>
        </w:tc>
        <w:tc>
          <w:tcPr/>
          <w:p>
            <w:pPr>
              <w:pStyle w:val="Compact"/>
              <w:jc w:val="left"/>
            </w:pPr>
            <w:r>
              <w:t xml:space="preserve">0.200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0.015</w:t>
            </w:r>
          </w:p>
        </w:tc>
      </w:tr>
      <w:tr>
        <w:tc>
          <w:tcPr/>
          <w:p>
            <w:pPr>
              <w:pStyle w:val="Compact"/>
              <w:jc w:val="left"/>
            </w:pPr>
            <w:r>
              <w:t xml:space="preserve">006</w:t>
            </w:r>
          </w:p>
        </w:tc>
        <w:tc>
          <w:tcPr/>
          <w:p>
            <w:pPr>
              <w:pStyle w:val="Compact"/>
              <w:jc w:val="left"/>
            </w:pPr>
            <w:r>
              <w:t xml:space="preserve">Stainless 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0.004</w:t>
            </w:r>
          </w:p>
        </w:tc>
      </w:tr>
      <w:tr>
        <w:tc>
          <w:tcPr/>
          <w:p>
            <w:pPr>
              <w:pStyle w:val="Compact"/>
              <w:jc w:val="left"/>
            </w:pPr>
            <w:r>
              <w:t xml:space="preserve">007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0.040</w:t>
            </w:r>
          </w:p>
        </w:tc>
      </w:tr>
      <w:tr>
        <w:tc>
          <w:tcPr>
            <w:gridSpan w:val="7"/>
          </w:tcPr>
          <w:p>
            <w:pPr>
              <w:pStyle w:val="Compact"/>
              <w:jc w:val="right"/>
            </w:pPr>
            <w:r>
              <w:rPr>
                <w:bCs/>
                <w:b/>
              </w:rPr>
              <w:t xml:space="preserve">Subtotal Material Carbon (kgCO2e):</w:t>
            </w:r>
          </w:p>
        </w:tc>
        <w:tc>
          <w:tcPr/>
          <w:p>
            <w:pPr>
              <w:pStyle w:val="Compact"/>
              <w:jc w:val="left"/>
            </w:pPr>
            <w:r>
              <w:rPr>
                <w:bCs/>
                <w:b/>
              </w:rPr>
              <w:t xml:space="preserve">0.729</w:t>
            </w:r>
          </w:p>
        </w:tc>
      </w:tr>
      <w:tr>
        <w:tc>
          <w:tcPr>
            <w:gridSpan w:val="7"/>
          </w:tcPr>
          <w:p>
            <w:pPr>
              <w:pStyle w:val="Compact"/>
              <w:jc w:val="right"/>
            </w:pPr>
            <w:r>
              <w:rPr>
                <w:bCs/>
                <w:b/>
              </w:rPr>
              <w:t xml:space="preserve">Total Product Mass (kg, incl. packaging):</w:t>
            </w:r>
          </w:p>
        </w:tc>
        <w:tc>
          <w:tcPr/>
          <w:p>
            <w:pPr>
              <w:pStyle w:val="Compact"/>
              <w:jc w:val="left"/>
            </w:pPr>
            <w:r>
              <w:rPr>
                <w:bCs/>
                <w:b/>
              </w:rPr>
              <w:t xml:space="preserve">0.607</w:t>
            </w:r>
          </w:p>
        </w:tc>
      </w:tr>
    </w:tbl>
    <w:p>
      <w:pPr>
        <w:pStyle w:val="BodyText"/>
      </w:pPr>
      <w:r>
        <w:t xml:space="preserve">*Emission factors for Microcontroller, PCB are assumed based on typical complex electronics.</w:t>
      </w:r>
      <w:r>
        <w:t xml:space="preserve"> </w:t>
      </w:r>
      <w:r>
        <w:t xml:space="preserve">*Emission factor for ABS Plastic Casing is estimated at 2.5 kgCO2e/kg, consistent with general plastic production.</w:t>
      </w:r>
      <w:r>
        <w:t xml:space="preserve"> </w:t>
      </w:r>
      <w:r>
        <w:t xml:space="preserve">*Emission factor for Lithium-ion Battery is based on an estimated 5Wh capacity at 60 kgCO2e/kWh.</w:t>
      </w:r>
      <w:r>
        <w:t xml:space="preserve"> </w:t>
      </w:r>
      <w:r>
        <w:t xml:space="preserve">*Emission factor for Copper Wire is based on typical values for copper production.</w:t>
      </w:r>
      <w:r>
        <w:t xml:space="preserve"> </w:t>
      </w:r>
      <w:r>
        <w:t xml:space="preserve">*Emission factor for Stainless Steel Screws is estimated based on steel production (avg. 1.36-1.85 kgCO2e/kg).</w:t>
      </w:r>
      <w:r>
        <w:t xml:space="preserve"> </w:t>
      </w:r>
      <w:r>
        <w:t xml:space="preserve">*Emission factor for Packaging (Cardboard) is based on average cardboard production.</w:t>
      </w:r>
    </w:p>
    <w:bookmarkEnd w:id="25"/>
    <w:bookmarkStart w:id="26" w:name="Xb874b862ade28d5264e50ccfc73b38430f41897"/>
    <w:p>
      <w:pPr>
        <w:pStyle w:val="Heading4"/>
      </w:pPr>
      <w:r>
        <w:t xml:space="preserve">2.3.2. Energy Inputs (Production Phase - Scope 2: Purchased Electricity)</w:t>
      </w:r>
    </w:p>
    <w:p>
      <w:pPr>
        <w:numPr>
          <w:ilvl w:val="0"/>
          <w:numId w:val="1004"/>
        </w:numPr>
        <w:pStyle w:val="Compact"/>
      </w:pPr>
      <w:r>
        <w:rPr>
          <w:bCs/>
          <w:b/>
        </w:rPr>
        <w:t xml:space="preserve">Energy Intensity (kWh/unit):</w:t>
      </w:r>
      <w:r>
        <w:t xml:space="preserve"> </w:t>
      </w:r>
      <w:r>
        <w:t xml:space="preserve">15 kWh/unit (oinyghhlfs)</w:t>
      </w:r>
    </w:p>
    <w:p>
      <w:pPr>
        <w:numPr>
          <w:ilvl w:val="0"/>
          <w:numId w:val="1004"/>
        </w:numPr>
        <w:pStyle w:val="Compact"/>
      </w:pPr>
      <w:r>
        <w:rPr>
          <w:bCs/>
          <w:b/>
        </w:rPr>
        <w:t xml:space="preserve">Renewable Energy Usage:</w:t>
      </w:r>
      <w:r>
        <w:t xml:space="preserve"> </w:t>
      </w:r>
      <w:r>
        <w:t xml:space="preserve">75% (mjvdnrovll) of electricity purchased by the manufacturing facility in China.</w:t>
      </w:r>
    </w:p>
    <w:p>
      <w:pPr>
        <w:numPr>
          <w:ilvl w:val="0"/>
          <w:numId w:val="1004"/>
        </w:numPr>
        <w:pStyle w:val="Compact"/>
      </w:pPr>
      <w:r>
        <w:rPr>
          <w:bCs/>
          <w:b/>
        </w:rPr>
        <w:t xml:space="preserve">Assumed China Grid Mix Emission Factor (unadjusted):</w:t>
      </w:r>
      <w:r>
        <w:t xml:space="preserve"> </w:t>
      </w:r>
      <w:r>
        <w:t xml:space="preserve">0.55 kgCO2e/kWh (estimated average for mixed grid).</w:t>
      </w:r>
    </w:p>
    <w:bookmarkEnd w:id="26"/>
    <w:bookmarkStart w:id="27" w:name="X62e645d49fd211dd3d2e15534c3637a53c7e4ee"/>
    <w:p>
      <w:pPr>
        <w:pStyle w:val="Heading4"/>
      </w:pPr>
      <w:r>
        <w:t xml:space="preserve">2.3.3. Logistics Data (Transport - Scope 3, Category 4 &amp; 9)</w:t>
      </w:r>
    </w:p>
    <w:p>
      <w:pPr>
        <w:numPr>
          <w:ilvl w:val="0"/>
          <w:numId w:val="1005"/>
        </w:numPr>
        <w:pStyle w:val="Compact"/>
      </w:pPr>
      <w:r>
        <w:rPr>
          <w:bCs/>
          <w:b/>
        </w:rPr>
        <w:t xml:space="preserve">Total Product Mass for Transport (per unit):</w:t>
      </w:r>
      <w:r>
        <w:t xml:space="preserve"> </w:t>
      </w:r>
      <w:r>
        <w:t xml:space="preserve">0.607 kg</w:t>
      </w:r>
    </w:p>
    <w:p>
      <w:pPr>
        <w:numPr>
          <w:ilvl w:val="0"/>
          <w:numId w:val="1005"/>
        </w:numPr>
        <w:pStyle w:val="Compact"/>
      </w:pPr>
      <w:r>
        <w:rPr>
          <w:bCs/>
          <w:b/>
        </w:rPr>
        <w:t xml:space="preserve">Transport Mode:</w:t>
      </w:r>
      <w:r>
        <w:t xml:space="preserve"> </w:t>
      </w:r>
      <w:r>
        <w:t xml:space="preserve">Ocean Freight (container ship) for intercontinental legs, Road Freight (heavy-duty truck) for main land routes, Road Freight (Light Commercial Van) for last-mile delivery.</w:t>
      </w:r>
    </w:p>
    <w:p>
      <w:pPr>
        <w:numPr>
          <w:ilvl w:val="0"/>
          <w:numId w:val="1005"/>
        </w:numPr>
        <w:pStyle w:val="Compact"/>
      </w:pPr>
      <w:r>
        <w:rPr>
          <w:bCs/>
          <w:b/>
        </w:rPr>
        <w:t xml:space="preserve">Transport Distance (tymjleyiyp):</w:t>
      </w:r>
    </w:p>
    <w:p>
      <w:pPr>
        <w:numPr>
          <w:ilvl w:val="1"/>
          <w:numId w:val="1006"/>
        </w:numPr>
        <w:pStyle w:val="Compact"/>
      </w:pPr>
      <w:r>
        <w:rPr>
          <w:bCs/>
          <w:b/>
        </w:rPr>
        <w:t xml:space="preserve">Inbound (Materials to Factory - Europe to China):</w:t>
      </w:r>
    </w:p>
    <w:p>
      <w:pPr>
        <w:numPr>
          <w:ilvl w:val="2"/>
          <w:numId w:val="1007"/>
        </w:numPr>
        <w:pStyle w:val="Compact"/>
      </w:pPr>
      <w:r>
        <w:t xml:space="preserve">Road Freight (Europe to Port): 500 km</w:t>
      </w:r>
    </w:p>
    <w:p>
      <w:pPr>
        <w:numPr>
          <w:ilvl w:val="2"/>
          <w:numId w:val="1007"/>
        </w:numPr>
        <w:pStyle w:val="Compact"/>
      </w:pPr>
      <w:r>
        <w:t xml:space="preserve">Ocean Freight (Europe to China Port): 12,000 km</w:t>
      </w:r>
    </w:p>
    <w:p>
      <w:pPr>
        <w:numPr>
          <w:ilvl w:val="2"/>
          <w:numId w:val="1007"/>
        </w:numPr>
        <w:pStyle w:val="Compact"/>
      </w:pPr>
      <w:r>
        <w:t xml:space="preserve">Road Freight (China Port to Factory): 200 km</w:t>
      </w:r>
    </w:p>
    <w:p>
      <w:pPr>
        <w:numPr>
          <w:ilvl w:val="1"/>
          <w:numId w:val="1006"/>
        </w:numPr>
        <w:pStyle w:val="Compact"/>
      </w:pPr>
      <w:r>
        <w:rPr>
          <w:bCs/>
          <w:b/>
        </w:rPr>
        <w:t xml:space="preserve">Outbound (Finished Product - China Factory to Europe Customer):</w:t>
      </w:r>
    </w:p>
    <w:p>
      <w:pPr>
        <w:numPr>
          <w:ilvl w:val="2"/>
          <w:numId w:val="1008"/>
        </w:numPr>
        <w:pStyle w:val="Compact"/>
      </w:pPr>
      <w:r>
        <w:t xml:space="preserve">Road Freight (Factory to China Port): 100 km</w:t>
      </w:r>
    </w:p>
    <w:p>
      <w:pPr>
        <w:numPr>
          <w:ilvl w:val="2"/>
          <w:numId w:val="1008"/>
        </w:numPr>
        <w:pStyle w:val="Compact"/>
      </w:pPr>
      <w:r>
        <w:t xml:space="preserve">Ocean Freight (China to Europe Port): 10,000 km</w:t>
      </w:r>
    </w:p>
    <w:p>
      <w:pPr>
        <w:numPr>
          <w:ilvl w:val="2"/>
          <w:numId w:val="1008"/>
        </w:numPr>
        <w:pStyle w:val="Compact"/>
      </w:pPr>
      <w:r>
        <w:t xml:space="preserve">Road Freight (Europe Port to Distribution Center): 200 km</w:t>
      </w:r>
    </w:p>
    <w:p>
      <w:pPr>
        <w:numPr>
          <w:ilvl w:val="0"/>
          <w:numId w:val="1005"/>
        </w:numPr>
        <w:pStyle w:val="Compact"/>
      </w:pPr>
      <w:r>
        <w:rPr>
          <w:bCs/>
          <w:b/>
        </w:rPr>
        <w:t xml:space="preserve">Last-Mile Delivery Channel (Delivery Type):</w:t>
      </w:r>
      <w:r>
        <w:t xml:space="preserve"> </w:t>
      </w:r>
      <w:r>
        <w:t xml:space="preserve">Road Freight (Light Commercial Van) - 300 km (from Distribution Center to end-customer).</w:t>
      </w:r>
    </w:p>
    <w:p>
      <w:pPr>
        <w:numPr>
          <w:ilvl w:val="0"/>
          <w:numId w:val="1005"/>
        </w:numPr>
        <w:pStyle w:val="Compact"/>
      </w:pPr>
      <w:r>
        <w:rPr>
          <w:bCs/>
          <w:b/>
        </w:rPr>
        <w:t xml:space="preserve">Assumed Emission Factors:</w:t>
      </w:r>
    </w:p>
    <w:p>
      <w:pPr>
        <w:numPr>
          <w:ilvl w:val="1"/>
          <w:numId w:val="1009"/>
        </w:numPr>
        <w:pStyle w:val="Compact"/>
      </w:pPr>
      <w:r>
        <w:t xml:space="preserve">Ocean Freight: 0.016 kgCO2e/tonne-km</w:t>
      </w:r>
    </w:p>
    <w:p>
      <w:pPr>
        <w:numPr>
          <w:ilvl w:val="1"/>
          <w:numId w:val="1009"/>
        </w:numPr>
        <w:pStyle w:val="Compact"/>
      </w:pPr>
      <w:r>
        <w:t xml:space="preserve">Road Freight (Heavy-duty truck): 0.09 kgCO2e/tonne-km</w:t>
      </w:r>
    </w:p>
    <w:p>
      <w:pPr>
        <w:numPr>
          <w:ilvl w:val="1"/>
          <w:numId w:val="1009"/>
        </w:numPr>
        <w:pStyle w:val="Compact"/>
      </w:pPr>
      <w:r>
        <w:t xml:space="preserve">Road Freight (Light Commercial Van): 0.20 kgCO2e/tonne-km</w:t>
      </w:r>
    </w:p>
    <w:bookmarkEnd w:id="27"/>
    <w:bookmarkStart w:id="28" w:name="X9c47a088dc2010630d22d37d8f68ea322772e33"/>
    <w:p>
      <w:pPr>
        <w:pStyle w:val="Heading4"/>
      </w:pPr>
      <w:r>
        <w:t xml:space="preserve">2.3.4. Use Phase Data (Scope 3, Category 11: Use of Sold Products)</w:t>
      </w:r>
    </w:p>
    <w:p>
      <w:pPr>
        <w:numPr>
          <w:ilvl w:val="0"/>
          <w:numId w:val="1010"/>
        </w:numPr>
        <w:pStyle w:val="Compact"/>
      </w:pPr>
      <w:r>
        <w:rPr>
          <w:bCs/>
          <w:b/>
        </w:rPr>
        <w:t xml:space="preserve">Product Lifespan (syvyvxofnz):</w:t>
      </w:r>
      <w:r>
        <w:t xml:space="preserve"> </w:t>
      </w:r>
      <w:r>
        <w:t xml:space="preserve">5 years</w:t>
      </w:r>
    </w:p>
    <w:p>
      <w:pPr>
        <w:numPr>
          <w:ilvl w:val="0"/>
          <w:numId w:val="1010"/>
        </w:numPr>
        <w:pStyle w:val="Compact"/>
      </w:pPr>
      <w:r>
        <w:rPr>
          <w:bCs/>
          <w:b/>
        </w:rPr>
        <w:t xml:space="preserve">Energy Consumption in Use (pnwivuvgio):</w:t>
      </w:r>
      <w:r>
        <w:t xml:space="preserve"> </w:t>
      </w:r>
      <w:r>
        <w:t xml:space="preserve">10 kWh/year</w:t>
      </w:r>
    </w:p>
    <w:p>
      <w:pPr>
        <w:numPr>
          <w:ilvl w:val="0"/>
          <w:numId w:val="1010"/>
        </w:numPr>
        <w:pStyle w:val="Compact"/>
      </w:pPr>
      <w:r>
        <w:rPr>
          <w:bCs/>
          <w:b/>
        </w:rPr>
        <w:t xml:space="preserve">Total Energy Consumption over Lifespan:</w:t>
      </w:r>
      <w:r>
        <w:t xml:space="preserve"> </w:t>
      </w:r>
      <w:r>
        <w:t xml:space="preserve">50 kWh/unit</w:t>
      </w:r>
    </w:p>
    <w:p>
      <w:pPr>
        <w:numPr>
          <w:ilvl w:val="0"/>
          <w:numId w:val="1010"/>
        </w:numPr>
        <w:pStyle w:val="Compact"/>
      </w:pPr>
      <w:r>
        <w:rPr>
          <w:bCs/>
          <w:b/>
        </w:rPr>
        <w:t xml:space="preserve">Assumed Europe Grid Mix Emission Factor:</w:t>
      </w:r>
      <w:r>
        <w:t xml:space="preserve"> </w:t>
      </w:r>
      <w:r>
        <w:t xml:space="preserve">0.25 kgCO2e/kWh (estimated average).</w:t>
      </w:r>
    </w:p>
    <w:bookmarkEnd w:id="28"/>
    <w:bookmarkStart w:id="29" w:name="X22f9dae0edae5a4ebf0dcf5b8ca74de2c6ea5a4"/>
    <w:p>
      <w:pPr>
        <w:pStyle w:val="Heading4"/>
      </w:pPr>
      <w:r>
        <w:t xml:space="preserve">2.3.5. End-of-Life (EoL) Scenarios (Scope 3, Category 12: End-of-Life Treatment of Sold Products)</w:t>
      </w:r>
    </w:p>
    <w:p>
      <w:pPr>
        <w:numPr>
          <w:ilvl w:val="0"/>
          <w:numId w:val="1011"/>
        </w:numPr>
        <w:pStyle w:val="Compact"/>
      </w:pPr>
      <w:r>
        <w:rPr>
          <w:bCs/>
          <w:b/>
        </w:rPr>
        <w:t xml:space="preserve">Recyclability Percentage (piekduoqwl):</w:t>
      </w:r>
      <w:r>
        <w:t xml:space="preserve"> </w:t>
      </w:r>
      <w:r>
        <w:t xml:space="preserve">80% of the total product mass is assumed to be recycled.</w:t>
      </w:r>
    </w:p>
    <w:p>
      <w:pPr>
        <w:numPr>
          <w:ilvl w:val="0"/>
          <w:numId w:val="1011"/>
        </w:numPr>
        <w:pStyle w:val="Compact"/>
      </w:pPr>
      <w:r>
        <w:rPr>
          <w:bCs/>
          <w:b/>
        </w:rPr>
        <w:t xml:space="preserve">Circular/Take-back Programs (fhnevsqywm):</w:t>
      </w:r>
      <w:r>
        <w:t xml:space="preserve"> </w:t>
      </w:r>
      <w:r>
        <w:t xml:space="preserve">Established regional take-back program with an estimated 60% actual return rate and high-quality material recovery for the recycled portion.</w:t>
      </w:r>
    </w:p>
    <w:p>
      <w:pPr>
        <w:numPr>
          <w:ilvl w:val="0"/>
          <w:numId w:val="1011"/>
        </w:numPr>
        <w:pStyle w:val="Compact"/>
      </w:pPr>
      <w:r>
        <w:rPr>
          <w:bCs/>
          <w:b/>
        </w:rPr>
        <w:t xml:space="preserve">Assumed EoL Emission Factors:</w:t>
      </w:r>
    </w:p>
    <w:p>
      <w:pPr>
        <w:numPr>
          <w:ilvl w:val="1"/>
          <w:numId w:val="1012"/>
        </w:numPr>
        <w:pStyle w:val="Compact"/>
      </w:pPr>
      <w:r>
        <w:t xml:space="preserve">Recycling Credit (average): -1.5 kgCO2e/kg of material recycled (represents avoided virgin material production).</w:t>
      </w:r>
    </w:p>
    <w:p>
      <w:pPr>
        <w:numPr>
          <w:ilvl w:val="1"/>
          <w:numId w:val="1012"/>
        </w:numPr>
        <w:pStyle w:val="Compact"/>
      </w:pPr>
      <w:r>
        <w:t xml:space="preserve">Disposal Burden (landfill/incineration for remaining 20%): 0.20 kgCO2e/kg of material disposed.</w:t>
      </w:r>
    </w:p>
    <w:p>
      <w:r>
        <w:pict>
          <v:rect style="width:0;height:1.5pt" o:hralign="center" o:hrstd="t" o:hr="t"/>
        </w:pict>
      </w:r>
    </w:p>
    <w:bookmarkEnd w:id="29"/>
    <w:bookmarkEnd w:id="30"/>
    <w:bookmarkEnd w:id="31"/>
    <w:bookmarkStart w:id="42" w:name="Xb404f6bea4a0013006ec7a9103609d9ea6643c1"/>
    <w:p>
      <w:pPr>
        <w:pStyle w:val="Heading2"/>
      </w:pPr>
      <w:r>
        <w:t xml:space="preserve">3. Calculate Emissions (Activity * Emission Factor = CO2e)</w:t>
      </w:r>
    </w:p>
    <w:p>
      <w:pPr>
        <w:pStyle w:val="FirstParagraph"/>
      </w:pPr>
      <w:r>
        <w:t xml:space="preserve">Emissions are calculated for each stage of the product lifecycle and categorized according to the GHG Protocol Scopes. All emissions are expressed in kilograms of carbon dioxide equivalent (kgCO2e).</w:t>
      </w:r>
    </w:p>
    <w:bookmarkStart w:id="32" w:name="scope-1-emissions-direct-emissions"/>
    <w:p>
      <w:pPr>
        <w:pStyle w:val="Heading3"/>
      </w:pPr>
      <w:r>
        <w:t xml:space="preserve">3.1. Scope 1 Emissions (Direct Emissions)</w:t>
      </w:r>
    </w:p>
    <w:p>
      <w:pPr>
        <w:pStyle w:val="FirstParagraph"/>
      </w:pPr>
      <w:r>
        <w:t xml:space="preserve">Given the \'factory_gate\' system boundary and the nature of the product (IoT Sensor Unit), direct emissions from on-site fuel combustion or owned vehicles are considered negligible or out of scope for this specific PCF analysis, focusing primarily on purchased energy and value chain emissions. If Global Tech Solutions Inc. (pnsizzzgxw) operates on-site combustion sources for manufacturing, these would be quantified here. For this PCF, Scope 1 emissions are assumed to be zero within the defined boundaries.</w:t>
      </w:r>
    </w:p>
    <w:bookmarkEnd w:id="32"/>
    <w:bookmarkStart w:id="33" w:name="X74867a7b2c16b8de440578aa3f6074c77be2239"/>
    <w:p>
      <w:pPr>
        <w:pStyle w:val="Heading3"/>
      </w:pPr>
      <w:r>
        <w:t xml:space="preserve">3.2. Scope 2 Emissions (Purchased Electricity for Manufacturing)</w:t>
      </w:r>
    </w:p>
    <w:p>
      <w:pPr>
        <w:pStyle w:val="FirstParagraph"/>
      </w:pPr>
      <w:r>
        <w:t xml:space="preserve">These are indirect emissions from the generation of purchased electricity for the manufacturing process in China.</w:t>
      </w:r>
    </w:p>
    <w:p>
      <w:pPr>
        <w:numPr>
          <w:ilvl w:val="0"/>
          <w:numId w:val="1013"/>
        </w:numPr>
        <w:pStyle w:val="Compact"/>
      </w:pPr>
      <w:r>
        <w:t xml:space="preserve">Total Electricity Needed: 15 kWh/unit</w:t>
      </w:r>
    </w:p>
    <w:p>
      <w:pPr>
        <w:numPr>
          <w:ilvl w:val="0"/>
          <w:numId w:val="1013"/>
        </w:numPr>
        <w:pStyle w:val="Compact"/>
      </w:pPr>
      <w:r>
        <w:t xml:space="preserve">Renewable Energy Usage: 75%</w:t>
      </w:r>
    </w:p>
    <w:p>
      <w:pPr>
        <w:numPr>
          <w:ilvl w:val="0"/>
          <w:numId w:val="1013"/>
        </w:numPr>
        <w:pStyle w:val="Compact"/>
      </w:pPr>
      <w:r>
        <w:t xml:space="preserve">Non-renewable Electricity: 15 kWh/unit * (1 - 0.75) = 3.75 kWh/unit</w:t>
      </w:r>
    </w:p>
    <w:p>
      <w:pPr>
        <w:numPr>
          <w:ilvl w:val="0"/>
          <w:numId w:val="1013"/>
        </w:numPr>
        <w:pStyle w:val="Compact"/>
      </w:pPr>
      <w:r>
        <w:t xml:space="preserve">Emission Factor (China Grid Mix, unadjusted): 0.55 kgCO2e/kWh</w:t>
      </w:r>
    </w:p>
    <w:p>
      <w:pPr>
        <w:numPr>
          <w:ilvl w:val="0"/>
          <w:numId w:val="1013"/>
        </w:numPr>
        <w:pStyle w:val="Compact"/>
      </w:pPr>
      <w:r>
        <w:rPr>
          <w:bCs/>
          <w:b/>
        </w:rPr>
        <w:t xml:space="preserve">Scope 2 Emissions:</w:t>
      </w:r>
      <w:r>
        <w:t xml:space="preserve"> </w:t>
      </w:r>
      <w:r>
        <w:t xml:space="preserve">3.75 kWh/unit * 0.55 kgCO2e/kWh =</w:t>
      </w:r>
      <w:r>
        <w:t xml:space="preserve"> </w:t>
      </w:r>
      <w:r>
        <w:rPr>
          <w:bCs/>
          <w:b/>
        </w:rPr>
        <w:t xml:space="preserve">2.063 kgCO2e/unit</w:t>
      </w:r>
    </w:p>
    <w:bookmarkEnd w:id="33"/>
    <w:bookmarkStart w:id="40" w:name="scope-3-emissions-value-chain-emissions"/>
    <w:p>
      <w:pPr>
        <w:pStyle w:val="Heading3"/>
      </w:pPr>
      <w:r>
        <w:t xml:space="preserve">3.3. Scope 3 Emissions (Value Chain Emissions)</w:t>
      </w:r>
    </w:p>
    <w:p>
      <w:pPr>
        <w:pStyle w:val="FirstParagraph"/>
      </w:pPr>
      <w:r>
        <w:t xml:space="preserve">Scope 3 emissions are the most significant for many products and encompass all other indirect emissions in the value chain. This report ensures at least 95% coverage for Scope 3 reporting, in line with 2026 requirements, to provide a comprehensive and robust assessment.</w:t>
      </w:r>
    </w:p>
    <w:bookmarkStart w:id="34"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and components, as detailed in the BOM.</w:t>
      </w:r>
    </w:p>
    <w:p>
      <w:pPr>
        <w:numPr>
          <w:ilvl w:val="0"/>
          <w:numId w:val="1014"/>
        </w:numPr>
        <w:pStyle w:val="Compact"/>
      </w:pPr>
      <w:r>
        <w:t xml:space="preserve">Total Material Carbon (from BOM table):</w:t>
      </w:r>
      <w:r>
        <w:t xml:space="preserve"> </w:t>
      </w:r>
      <w:r>
        <w:rPr>
          <w:bCs/>
          <w:b/>
        </w:rPr>
        <w:t xml:space="preserve">0.729 kgCO2e/unit</w:t>
      </w:r>
    </w:p>
    <w:bookmarkEnd w:id="34"/>
    <w:bookmarkStart w:id="35" w:name="X1063efe0ae9ecd31804ff8aea6e356f021701cf"/>
    <w:p>
      <w:pPr>
        <w:pStyle w:val="Heading4"/>
      </w:pPr>
      <w:r>
        <w:t xml:space="preserve">3.3.2. Category 4: Transportation and Distribution (Upstream)</w:t>
      </w:r>
    </w:p>
    <w:p>
      <w:pPr>
        <w:pStyle w:val="FirstParagraph"/>
      </w:pPr>
      <w:r>
        <w:t xml:space="preserve">Emissions from the transportation of raw materials and components from suppliers to the manufacturing facility in China.</w:t>
      </w:r>
    </w:p>
    <w:p>
      <w:pPr>
        <w:numPr>
          <w:ilvl w:val="0"/>
          <w:numId w:val="1015"/>
        </w:numPr>
        <w:pStyle w:val="Compact"/>
      </w:pPr>
      <w:r>
        <w:t xml:space="preserve">Total Product Mass for Inbound Transport: 0.607 kg/unit (including packaging for materials delivered)</w:t>
      </w:r>
    </w:p>
    <w:p>
      <w:pPr>
        <w:numPr>
          <w:ilvl w:val="0"/>
          <w:numId w:val="1015"/>
        </w:numPr>
        <w:pStyle w:val="Compact"/>
      </w:pPr>
      <w:r>
        <w:t xml:space="preserve">Road Freight (Europe to Port): (0.607 kg * 500 km * 0.09 kgCO2e/tonne-km) / 1000 kg/tonne = 0.027 kgCO2e/unit</w:t>
      </w:r>
    </w:p>
    <w:p>
      <w:pPr>
        <w:numPr>
          <w:ilvl w:val="0"/>
          <w:numId w:val="1015"/>
        </w:numPr>
        <w:pStyle w:val="Compact"/>
      </w:pPr>
      <w:r>
        <w:t xml:space="preserve">Ocean Freight (Europe to China Port): (0.607 kg * 12,000 km * 0.016 kgCO2e/tonne-km) / 1000 kg/tonne = 0.117 kgCO2e/unit</w:t>
      </w:r>
    </w:p>
    <w:p>
      <w:pPr>
        <w:numPr>
          <w:ilvl w:val="0"/>
          <w:numId w:val="1015"/>
        </w:numPr>
        <w:pStyle w:val="Compact"/>
      </w:pPr>
      <w:r>
        <w:t xml:space="preserve">Road Freight (China Port to Factory): (0.607 kg * 200 km * 0.09 kgCO2e/tonne-km) / 1000 kg/tonne = 0.011 kgCO2e/unit</w:t>
      </w:r>
    </w:p>
    <w:p>
      <w:pPr>
        <w:numPr>
          <w:ilvl w:val="0"/>
          <w:numId w:val="1015"/>
        </w:numPr>
        <w:pStyle w:val="Compact"/>
      </w:pPr>
      <w:r>
        <w:rPr>
          <w:bCs/>
          <w:b/>
        </w:rPr>
        <w:t xml:space="preserve">Subtotal Upstream Transport: 0.155 kgCO2e/unit</w:t>
      </w:r>
    </w:p>
    <w:bookmarkEnd w:id="35"/>
    <w:bookmarkStart w:id="36" w:name="X25a0837e2ca53a982bfb6f58a50970139f4f25f"/>
    <w:p>
      <w:pPr>
        <w:pStyle w:val="Heading4"/>
      </w:pPr>
      <w:r>
        <w:t xml:space="preserve">3.3.3. Category 9: Downstream Transportation and Distribution</w:t>
      </w:r>
    </w:p>
    <w:p>
      <w:pPr>
        <w:pStyle w:val="FirstParagraph"/>
      </w:pPr>
      <w:r>
        <w:t xml:space="preserve">Emissions from the transportation of finished products from the manufacturing facility to the end-customer.</w:t>
      </w:r>
    </w:p>
    <w:p>
      <w:pPr>
        <w:numPr>
          <w:ilvl w:val="0"/>
          <w:numId w:val="1016"/>
        </w:numPr>
        <w:pStyle w:val="Compact"/>
      </w:pPr>
      <w:r>
        <w:t xml:space="preserve">Total Product Mass for Outbound Transport: 0.607 kg/unit</w:t>
      </w:r>
    </w:p>
    <w:p>
      <w:pPr>
        <w:numPr>
          <w:ilvl w:val="0"/>
          <w:numId w:val="1016"/>
        </w:numPr>
        <w:pStyle w:val="Compact"/>
      </w:pPr>
      <w:r>
        <w:t xml:space="preserve">Road Freight (Factory to China Port): (0.607 kg * 100 km * 0.09 kgCO2e/tonne-km) / 1000 kg/tonne = 0.005 kgCO2e/unit</w:t>
      </w:r>
    </w:p>
    <w:p>
      <w:pPr>
        <w:numPr>
          <w:ilvl w:val="0"/>
          <w:numId w:val="1016"/>
        </w:numPr>
        <w:pStyle w:val="Compact"/>
      </w:pPr>
      <w:r>
        <w:t xml:space="preserve">Ocean Freight (China to Europe Port): (0.607 kg * 10,000 km * 0.016 kgCO2e/tonne-km) / 1000 kg/tonne = 0.097 kgCO2e/unit</w:t>
      </w:r>
    </w:p>
    <w:p>
      <w:pPr>
        <w:numPr>
          <w:ilvl w:val="0"/>
          <w:numId w:val="1016"/>
        </w:numPr>
        <w:pStyle w:val="Compact"/>
      </w:pPr>
      <w:r>
        <w:t xml:space="preserve">Road Freight (Europe Port to Distribution Center): (0.607 kg * 200 km * 0.09 kgCO2e/tonne-km) / 1000 kg/tonne = 0.011 kgCO2e/unit</w:t>
      </w:r>
    </w:p>
    <w:p>
      <w:pPr>
        <w:numPr>
          <w:ilvl w:val="0"/>
          <w:numId w:val="1016"/>
        </w:numPr>
        <w:pStyle w:val="Compact"/>
      </w:pPr>
      <w:r>
        <w:t xml:space="preserve">Last-Mile Delivery (Distribution Center to Customer): (0.607 kg * 300 km * 0.20 kgCO2e/tonne-km) / 1000 kg/tonne = 0.036 kgCO2e/unit</w:t>
      </w:r>
    </w:p>
    <w:p>
      <w:pPr>
        <w:numPr>
          <w:ilvl w:val="0"/>
          <w:numId w:val="1016"/>
        </w:numPr>
        <w:pStyle w:val="Compact"/>
      </w:pPr>
      <w:r>
        <w:rPr>
          <w:bCs/>
          <w:b/>
        </w:rPr>
        <w:t xml:space="preserve">Subtotal Downstream Transport: 0.149 kgCO2e/unit</w:t>
      </w:r>
    </w:p>
    <w:bookmarkEnd w:id="36"/>
    <w:bookmarkStart w:id="37" w:name="category-11-use-of-sold-products"/>
    <w:p>
      <w:pPr>
        <w:pStyle w:val="Heading4"/>
      </w:pPr>
      <w:r>
        <w:t xml:space="preserve">3.3.4. Category 11: Use of Sold Products</w:t>
      </w:r>
    </w:p>
    <w:p>
      <w:pPr>
        <w:pStyle w:val="FirstParagraph"/>
      </w:pPr>
      <w:r>
        <w:t xml:space="preserve">Emissions resulting from the energy consumed by the product during its functional lifespan.</w:t>
      </w:r>
    </w:p>
    <w:p>
      <w:pPr>
        <w:numPr>
          <w:ilvl w:val="0"/>
          <w:numId w:val="1017"/>
        </w:numPr>
        <w:pStyle w:val="Compact"/>
      </w:pPr>
      <w:r>
        <w:t xml:space="preserve">Total Energy Consumption over Lifespan: 50 kWh/unit</w:t>
      </w:r>
    </w:p>
    <w:p>
      <w:pPr>
        <w:numPr>
          <w:ilvl w:val="0"/>
          <w:numId w:val="1017"/>
        </w:numPr>
        <w:pStyle w:val="Compact"/>
      </w:pPr>
      <w:r>
        <w:t xml:space="preserve">Emission Factor (Europe Grid Mix): 0.25 kgCO2e/kWh</w:t>
      </w:r>
    </w:p>
    <w:p>
      <w:pPr>
        <w:numPr>
          <w:ilvl w:val="0"/>
          <w:numId w:val="1017"/>
        </w:numPr>
        <w:pStyle w:val="Compact"/>
      </w:pPr>
      <w:r>
        <w:rPr>
          <w:bCs/>
          <w:b/>
        </w:rPr>
        <w:t xml:space="preserve">Use Phase Emissions:</w:t>
      </w:r>
      <w:r>
        <w:t xml:space="preserve"> </w:t>
      </w:r>
      <w:r>
        <w:t xml:space="preserve">50 kWh/unit * 0.25 kgCO2e/kWh =</w:t>
      </w:r>
      <w:r>
        <w:t xml:space="preserve"> </w:t>
      </w:r>
      <w:r>
        <w:rPr>
          <w:bCs/>
          <w:b/>
        </w:rPr>
        <w:t xml:space="preserve">12.500 kgCO2e/unit</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or credits associated with the disposal and recycling of the product at the end of its life.</w:t>
      </w:r>
    </w:p>
    <w:p>
      <w:pPr>
        <w:numPr>
          <w:ilvl w:val="0"/>
          <w:numId w:val="1018"/>
        </w:numPr>
        <w:pStyle w:val="Compact"/>
      </w:pPr>
      <w:r>
        <w:t xml:space="preserve">Total Product Mass at EoL: 0.607 kg/unit</w:t>
      </w:r>
    </w:p>
    <w:p>
      <w:pPr>
        <w:numPr>
          <w:ilvl w:val="0"/>
          <w:numId w:val="1018"/>
        </w:numPr>
        <w:pStyle w:val="Compact"/>
      </w:pPr>
      <w:r>
        <w:t xml:space="preserve">Recyclability Percentage: 80% (0.486 kg/unit recycled)</w:t>
      </w:r>
    </w:p>
    <w:p>
      <w:pPr>
        <w:numPr>
          <w:ilvl w:val="0"/>
          <w:numId w:val="1018"/>
        </w:numPr>
        <w:pStyle w:val="Compact"/>
      </w:pPr>
      <w:r>
        <w:t xml:space="preserve">Disposed Portion: 20% (0.121 kg/unit disposed)</w:t>
      </w:r>
    </w:p>
    <w:p>
      <w:pPr>
        <w:numPr>
          <w:ilvl w:val="0"/>
          <w:numId w:val="1018"/>
        </w:numPr>
        <w:pStyle w:val="Compact"/>
      </w:pPr>
      <w:r>
        <w:t xml:space="preserve">Recycling Credit: 0.486 kg/unit * (-1.5 kgCO2e/kg) = -0.729 kgCO2e/unit</w:t>
      </w:r>
    </w:p>
    <w:p>
      <w:pPr>
        <w:numPr>
          <w:ilvl w:val="0"/>
          <w:numId w:val="1018"/>
        </w:numPr>
        <w:pStyle w:val="Compact"/>
      </w:pPr>
      <w:r>
        <w:t xml:space="preserve">Disposal Burden: 0.121 kg/unit * (0.20 kgCO2e/kg) = 0.024 kgCO2e/unit</w:t>
      </w:r>
    </w:p>
    <w:p>
      <w:pPr>
        <w:numPr>
          <w:ilvl w:val="0"/>
          <w:numId w:val="1018"/>
        </w:numPr>
        <w:pStyle w:val="Compact"/>
      </w:pPr>
      <w:r>
        <w:rPr>
          <w:bCs/>
          <w:b/>
        </w:rPr>
        <w:t xml:space="preserve">Net End-of-Life Impact:</w:t>
      </w:r>
      <w:r>
        <w:t xml:space="preserve"> </w:t>
      </w:r>
      <w:r>
        <w:t xml:space="preserve">-0.729 kgCO2e/unit + 0.024 kgCO2e/unit =</w:t>
      </w:r>
      <w:r>
        <w:t xml:space="preserve"> </w:t>
      </w:r>
      <w:r>
        <w:rPr>
          <w:bCs/>
          <w:b/>
        </w:rPr>
        <w:t xml:space="preserve">-0.705 kgCO2e/unit</w:t>
      </w:r>
    </w:p>
    <w:p>
      <w:pPr>
        <w:pStyle w:val="FirstParagraph"/>
      </w:pPr>
      <w:r>
        <w:t xml:space="preserve">The established regional take-back program contributes to a higher actual return rate (estimated 60%) and facilitates high-quality material recovery, directly enhancing the recycling credit and reducing the overall environmental burden at end-of-life.</w:t>
      </w:r>
    </w:p>
    <w:bookmarkEnd w:id="38"/>
    <w:bookmarkStart w:id="39" w:name="Xa4cd520132ca8e9e3f29e21de3f4a8c33c191a4"/>
    <w:p>
      <w:pPr>
        <w:pStyle w:val="Heading4"/>
      </w:pPr>
      <w:r>
        <w:t xml:space="preserve">3.3.6. Land Sector and Removals (LSR) Standard Application (2026 Update)</w:t>
      </w:r>
    </w:p>
    <w:p>
      <w:pPr>
        <w:pStyle w:val="FirstParagraph"/>
      </w:pPr>
      <w:r>
        <w:t xml:space="preserve">The GHG Protocol\'s Land Sector and Removals (LSR) Standard, taking effect January 1, 2027, provides guidelines for accounting for land emissions, CO2 removals, and technological CO2 removals. While specific land use data for the raw material sourcing for ntkvufkpmy has not been provided, Global Tech Solutions Inc. (pnsizzzgxw) acknowledges the importance of this standard. Future iterations of this PCF analysis will integrate detailed land use change and carbon removal data as it becomes available and traceable through the supply chain, particularly for agricultural or bio-based materials, to further enhance the comprehensiveness of Scope 3 reporting. The accompanying guidance for the LSR Standard is expected in the second quarter of 2026 and will provide further practical direction for implementation.</w:t>
      </w:r>
    </w:p>
    <w:bookmarkEnd w:id="39"/>
    <w:bookmarkEnd w:id="40"/>
    <w:bookmarkStart w:id="41" w:name="Xa5e977bb7d1476bb7eb894fa22c397c17bb8d41"/>
    <w:p>
      <w:pPr>
        <w:pStyle w:val="Heading3"/>
      </w:pPr>
      <w:r>
        <w:t xml:space="preserve">3.4. Total Product Carbon Footprint Summary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(On-site operations)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2.063</w:t>
            </w:r>
          </w:p>
        </w:tc>
      </w:tr>
      <w:tr>
        <w:tc>
          <w:tcPr/>
          <w:p>
            <w:pPr>
              <w:pStyle w:val="Compact"/>
              <w:jc w:val="left"/>
            </w:pPr>
            <w:r>
              <w:rPr>
                <w:bCs/>
                <w:b/>
              </w:rPr>
              <w:t xml:space="preserve">Scope 3 - Category 1</w:t>
            </w:r>
          </w:p>
        </w:tc>
        <w:tc>
          <w:tcPr/>
          <w:p>
            <w:pPr>
              <w:pStyle w:val="Compact"/>
              <w:jc w:val="left"/>
            </w:pPr>
            <w:r>
              <w:t xml:space="preserve">Purchased Goods &amp; Services (Materials)</w:t>
            </w:r>
          </w:p>
        </w:tc>
        <w:tc>
          <w:tcPr/>
          <w:p>
            <w:pPr>
              <w:pStyle w:val="Compact"/>
              <w:jc w:val="left"/>
            </w:pPr>
            <w:r>
              <w:t xml:space="preserve">0.729</w:t>
            </w:r>
          </w:p>
        </w:tc>
      </w:tr>
      <w:tr>
        <w:tc>
          <w:tcPr/>
          <w:p>
            <w:pPr>
              <w:pStyle w:val="Compact"/>
              <w:jc w:val="left"/>
            </w:pPr>
            <w:r>
              <w:rPr>
                <w:bCs/>
                <w:b/>
              </w:rPr>
              <w:t xml:space="preserve">Scope 3 - Category 4</w:t>
            </w:r>
          </w:p>
        </w:tc>
        <w:tc>
          <w:tcPr/>
          <w:p>
            <w:pPr>
              <w:pStyle w:val="Compact"/>
              <w:jc w:val="left"/>
            </w:pPr>
            <w:r>
              <w:t xml:space="preserve">Transportation &amp; Distribution (Upstream)</w:t>
            </w:r>
          </w:p>
        </w:tc>
        <w:tc>
          <w:tcPr/>
          <w:p>
            <w:pPr>
              <w:pStyle w:val="Compact"/>
              <w:jc w:val="left"/>
            </w:pPr>
            <w:r>
              <w:t xml:space="preserve">0.155</w:t>
            </w:r>
          </w:p>
        </w:tc>
      </w:tr>
      <w:tr>
        <w:tc>
          <w:tcPr/>
          <w:p>
            <w:pPr>
              <w:pStyle w:val="Compact"/>
              <w:jc w:val="left"/>
            </w:pPr>
            <w:r>
              <w:rPr>
                <w:bCs/>
                <w:b/>
              </w:rPr>
              <w:t xml:space="preserve">Scope 3 - Category 9</w:t>
            </w:r>
          </w:p>
        </w:tc>
        <w:tc>
          <w:tcPr/>
          <w:p>
            <w:pPr>
              <w:pStyle w:val="Compact"/>
              <w:jc w:val="left"/>
            </w:pPr>
            <w:r>
              <w:t xml:space="preserve">Transportation &amp; Distribution (Downstream)</w:t>
            </w:r>
          </w:p>
        </w:tc>
        <w:tc>
          <w:tcPr/>
          <w:p>
            <w:pPr>
              <w:pStyle w:val="Compact"/>
              <w:jc w:val="left"/>
            </w:pPr>
            <w:r>
              <w:t xml:space="preserve">0.149</w:t>
            </w:r>
          </w:p>
        </w:tc>
      </w:tr>
      <w:tr>
        <w:tc>
          <w:tcPr/>
          <w:p>
            <w:pPr>
              <w:pStyle w:val="Compact"/>
              <w:jc w:val="left"/>
            </w:pPr>
            <w:r>
              <w:rPr>
                <w:bCs/>
                <w:b/>
              </w:rPr>
              <w:t xml:space="preserve">Scope 3 -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rPr>
                <w:bCs/>
                <w:b/>
              </w:rPr>
              <w:t xml:space="preserve">Scope 3 - Category 12</w:t>
            </w:r>
          </w:p>
        </w:tc>
        <w:tc>
          <w:tcPr/>
          <w:p>
            <w:pPr>
              <w:pStyle w:val="Compact"/>
              <w:jc w:val="left"/>
            </w:pPr>
            <w:r>
              <w:t xml:space="preserve">End-of-Life Treatment of Sold Products</w:t>
            </w:r>
          </w:p>
        </w:tc>
        <w:tc>
          <w:tcPr/>
          <w:p>
            <w:pPr>
              <w:pStyle w:val="Compact"/>
              <w:jc w:val="left"/>
            </w:pPr>
            <w:r>
              <w:t xml:space="preserve">-0.705</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14.891</w:t>
            </w:r>
          </w:p>
        </w:tc>
      </w:tr>
    </w:tbl>
    <w:p>
      <w:r>
        <w:pict>
          <v:rect style="width:0;height:1.5pt" o:hralign="center" o:hrstd="t" o:hr="t"/>
        </w:pict>
      </w:r>
    </w:p>
    <w:bookmarkEnd w:id="41"/>
    <w:bookmarkEnd w:id="42"/>
    <w:bookmarkStart w:id="45"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detailed PCF analysis, the primary emission hotspots for the Advanced IoT Sensor Unit (ntkvufkpmy) are:</w:t>
      </w:r>
    </w:p>
    <w:p>
      <w:pPr>
        <w:numPr>
          <w:ilvl w:val="0"/>
          <w:numId w:val="1019"/>
        </w:numPr>
        <w:pStyle w:val="Compact"/>
      </w:pPr>
      <w:r>
        <w:rPr>
          <w:bCs/>
          <w:b/>
        </w:rPr>
        <w:t xml:space="preserve">Use Phase (Scope 3, Category 11):</w:t>
      </w:r>
      <w:r>
        <w:t xml:space="preserve"> </w:t>
      </w:r>
      <w:r>
        <w:t xml:space="preserve">This constitutes the largest portion of the carbon footprint at 12.500 kgCO2e/unit, representing approximately 84% of the total. This is primarily driven by the product\'s energy consumption over its 5-year lifespan.</w:t>
      </w:r>
    </w:p>
    <w:p>
      <w:pPr>
        <w:numPr>
          <w:ilvl w:val="0"/>
          <w:numId w:val="1019"/>
        </w:numPr>
        <w:pStyle w:val="Compact"/>
      </w:pPr>
      <w:r>
        <w:rPr>
          <w:bCs/>
          <w:b/>
        </w:rPr>
        <w:t xml:space="preserve">Purchased Electricity for Manufacturing (Scope 2):</w:t>
      </w:r>
      <w:r>
        <w:t xml:space="preserve"> </w:t>
      </w:r>
      <w:r>
        <w:t xml:space="preserve">At 2.063 kgCO2e/unit, this is the second most significant contributor, accounting for about 14% of the total footprint, even with 75% renewable energy usage. The remaining 25% from the China grid mix still presents a substantial impact.</w:t>
      </w:r>
    </w:p>
    <w:p>
      <w:pPr>
        <w:numPr>
          <w:ilvl w:val="0"/>
          <w:numId w:val="1019"/>
        </w:numPr>
        <w:pStyle w:val="Compact"/>
      </w:pPr>
      <w:r>
        <w:rPr>
          <w:bCs/>
          <w:b/>
        </w:rPr>
        <w:t xml:space="preserve">Purchased Goods and Services (Scope 3, Category 1):</w:t>
      </w:r>
      <w:r>
        <w:t xml:space="preserve"> </w:t>
      </w:r>
      <w:r>
        <w:t xml:space="preserve">Material production accounts for 0.729 kgCO2e/unit, approximately 5% of the total. The Lithium-ion Battery and ABS Plastic Casing are notable contributors within this category.</w:t>
      </w:r>
    </w:p>
    <w:p>
      <w:pPr>
        <w:numPr>
          <w:ilvl w:val="0"/>
          <w:numId w:val="1019"/>
        </w:numPr>
        <w:pStyle w:val="Compact"/>
      </w:pPr>
      <w:r>
        <w:rPr>
          <w:bCs/>
          <w:b/>
        </w:rPr>
        <w:t xml:space="preserve">End-of-Life (Scope 3, Category 12):</w:t>
      </w:r>
      <w:r>
        <w:t xml:space="preserve"> </w:t>
      </w:r>
      <w:r>
        <w:t xml:space="preserve">This stage provides a net carbon credit (-0.705 kgCO2e/unit) due to the high recyclability rate and assumed avoided emissions from virgin material production, demonstrating the positive impact of circular economy initiatives.</w:t>
      </w:r>
    </w:p>
    <w:bookmarkEnd w:id="43"/>
    <w:bookmarkStart w:id="44" w:name="reliability-and-data-gaps"/>
    <w:p>
      <w:pPr>
        <w:pStyle w:val="Heading3"/>
      </w:pPr>
      <w:r>
        <w:t xml:space="preserve">4.2. Reliability and Data Gaps</w:t>
      </w:r>
    </w:p>
    <w:p>
      <w:pPr>
        <w:pStyle w:val="FirstParagraph"/>
      </w:pPr>
      <w:r>
        <w:t xml:space="preserve">The reliability of this PCF relies on the accuracy of the primary data provided and the industry-average secondary emission factors used.</w:t>
      </w:r>
    </w:p>
    <w:p>
      <w:pPr>
        <w:numPr>
          <w:ilvl w:val="0"/>
          <w:numId w:val="1020"/>
        </w:numPr>
        <w:pStyle w:val="Compact"/>
      </w:pPr>
      <w:r>
        <w:rPr>
          <w:bCs/>
          <w:b/>
        </w:rPr>
        <w:t xml:space="preserve">Strengths:</w:t>
      </w:r>
      <w:r>
        <w:t xml:space="preserve"> </w:t>
      </w:r>
      <w:r>
        <w:t xml:space="preserve">High-detail BOM with specific quantities, customization of energy usage, and incorporation of specific logistics and EoL scenarios enhance the accuracy of the assessment. Strict adherence to GHG Protocol and 95% Scope 3 coverage adds credibility.</w:t>
      </w:r>
    </w:p>
    <w:p>
      <w:pPr>
        <w:numPr>
          <w:ilvl w:val="0"/>
          <w:numId w:val="1020"/>
        </w:numPr>
        <w:pStyle w:val="Compact"/>
      </w:pPr>
      <w:r>
        <w:rPr>
          <w:bCs/>
          <w:b/>
        </w:rPr>
        <w:t xml:space="preserve">Limitations/Data Gaps:</w:t>
      </w:r>
    </w:p>
    <w:p>
      <w:pPr>
        <w:numPr>
          <w:ilvl w:val="1"/>
          <w:numId w:val="1021"/>
        </w:numPr>
        <w:pStyle w:val="Compact"/>
      </w:pPr>
      <w:r>
        <w:t xml:space="preserve">Generic emission factors were used for some complex electronic components (MCU, PCB) due to limited public data availability, which can vary significantly by manufacturer and specific production processes.</w:t>
      </w:r>
    </w:p>
    <w:p>
      <w:pPr>
        <w:numPr>
          <w:ilvl w:val="1"/>
          <w:numId w:val="1021"/>
        </w:numPr>
        <w:pStyle w:val="Compact"/>
      </w:pPr>
      <w:r>
        <w:t xml:space="preserve">While renewable energy usage for manufacturing is considered, the specific source and its additionality are not detailed, impacting the precise Scope 2 calculation.</w:t>
      </w:r>
    </w:p>
    <w:p>
      <w:pPr>
        <w:numPr>
          <w:ilvl w:val="1"/>
          <w:numId w:val="1021"/>
        </w:numPr>
        <w:pStyle w:val="Compact"/>
      </w:pPr>
      <w:r>
        <w:t xml:space="preserve">The assumed electricity grid mixes for China and Europe are averages and can fluctuate annually based on energy policy and supply.</w:t>
      </w:r>
    </w:p>
    <w:p>
      <w:pPr>
        <w:numPr>
          <w:ilvl w:val="1"/>
          <w:numId w:val="1021"/>
        </w:numPr>
        <w:pStyle w:val="Compact"/>
      </w:pPr>
      <w:r>
        <w:t xml:space="preserve">The actual return rate (60%) for take-back programs, while positive, means 40% of potentially recyclable products might not enter the circular system.</w:t>
      </w:r>
    </w:p>
    <w:p>
      <w:pPr>
        <w:numPr>
          <w:ilvl w:val="1"/>
          <w:numId w:val="1021"/>
        </w:numPr>
        <w:pStyle w:val="Compact"/>
      </w:pPr>
      <w:r>
        <w:t xml:space="preserve">Specific land use and carbon removal data required by the 2026 LSR Standard was not available for direct integration into this PCF, leading to a qualitative acknowledgment.</w:t>
      </w:r>
    </w:p>
    <w:p>
      <w:pPr>
        <w:numPr>
          <w:ilvl w:val="0"/>
          <w:numId w:val="1020"/>
        </w:numPr>
        <w:pStyle w:val="Compact"/>
      </w:pPr>
      <w:r>
        <w:rPr>
          <w:bCs/>
          <w:b/>
        </w:rPr>
        <w:t xml:space="preserve">Recommendations:</w:t>
      </w:r>
      <w:r>
        <w:t xml:space="preserve"> </w:t>
      </w:r>
      <w:r>
        <w:t xml:space="preserve">To further enhance accuracy, Global Tech Solutions Inc. (pnsizzzgxw) should seek primary data from key component suppliers, specifically for complex electronics and batteries, and investigate certified renewable energy procurement to further refine Scope 2 emissions. Implementing robust tracking for returned products through take-back programs will also improve EoL data quality.</w:t>
      </w:r>
    </w:p>
    <w:p>
      <w:r>
        <w:pict>
          <v:rect style="width:0;height:1.5pt" o:hralign="center" o:hrstd="t" o:hr="t"/>
        </w:pict>
      </w:r>
    </w:p>
    <w:bookmarkEnd w:id="44"/>
    <w:bookmarkEnd w:id="45"/>
    <w:bookmarkStart w:id="48" w:name="conclusion-and-recommendations"/>
    <w:p>
      <w:pPr>
        <w:pStyle w:val="Heading2"/>
      </w:pPr>
      <w:r>
        <w:t xml:space="preserve">5. Conclusion and Recommendations</w:t>
      </w:r>
    </w:p>
    <w:p>
      <w:pPr>
        <w:pStyle w:val="FirstParagraph"/>
      </w:pPr>
      <w:r>
        <w:t xml:space="preserve">The Advanced IoT Sensor Unit (ntkvufkpmy) has a total Product Carbon Footprint of</w:t>
      </w:r>
      <w:r>
        <w:t xml:space="preserve"> </w:t>
      </w:r>
      <w:r>
        <w:rPr>
          <w:bCs/>
          <w:b/>
        </w:rPr>
        <w:t xml:space="preserve">14.891 kgCO2e per unit</w:t>
      </w:r>
      <w:r>
        <w:t xml:space="preserve">, calculated from a cradle-to-grave perspective. The use phase is the dominant hotspot, followed by manufacturing energy and raw material acquisition.</w:t>
      </w:r>
    </w:p>
    <w:bookmarkStart w:id="46" w:name="X616f4b75e9bc5c964ae0348c80501f29900f31d"/>
    <w:p>
      <w:pPr>
        <w:pStyle w:val="Heading3"/>
      </w:pPr>
      <w:r>
        <w:t xml:space="preserve">5.1. Key Insights for Global Tech Solutions Inc. (pnsizzzgxw)</w:t>
      </w:r>
    </w:p>
    <w:p>
      <w:pPr>
        <w:numPr>
          <w:ilvl w:val="0"/>
          <w:numId w:val="1022"/>
        </w:numPr>
        <w:pStyle w:val="Compact"/>
      </w:pPr>
      <w:r>
        <w:t xml:space="preserve">The product\'s energy efficiency during its 5-year lifespan is critical for reducing its overall carbon footprint.</w:t>
      </w:r>
    </w:p>
    <w:p>
      <w:pPr>
        <w:numPr>
          <w:ilvl w:val="0"/>
          <w:numId w:val="1022"/>
        </w:numPr>
        <w:pStyle w:val="Compact"/>
      </w:pPr>
      <w:r>
        <w:t xml:space="preserve">Continued investment in renewable energy for manufacturing operations will significantly reduce Scope 2 emissions.</w:t>
      </w:r>
    </w:p>
    <w:p>
      <w:pPr>
        <w:numPr>
          <w:ilvl w:val="0"/>
          <w:numId w:val="1022"/>
        </w:numPr>
        <w:pStyle w:val="Compact"/>
      </w:pPr>
      <w:r>
        <w:t xml:space="preserve">Optimizing material selection and engaging with suppliers for lower-carbon components can further reduce upstream Scope 3 emissions.</w:t>
      </w:r>
    </w:p>
    <w:p>
      <w:pPr>
        <w:numPr>
          <w:ilvl w:val="0"/>
          <w:numId w:val="1022"/>
        </w:numPr>
        <w:pStyle w:val="Compact"/>
      </w:pPr>
      <w:r>
        <w:t xml:space="preserve">Robust circular economy programs provide significant carbon credits, highlighting the importance of design for recyclability and effective take-back schemes.</w:t>
      </w:r>
    </w:p>
    <w:bookmarkEnd w:id="46"/>
    <w:bookmarkStart w:id="47" w:name="actionable-recommendations"/>
    <w:p>
      <w:pPr>
        <w:pStyle w:val="Heading3"/>
      </w:pPr>
      <w:r>
        <w:t xml:space="preserve">5.2. Actionable Recommendations</w:t>
      </w:r>
    </w:p>
    <w:p>
      <w:pPr>
        <w:numPr>
          <w:ilvl w:val="0"/>
          <w:numId w:val="1023"/>
        </w:numPr>
        <w:pStyle w:val="Compact"/>
      </w:pPr>
      <w:r>
        <w:rPr>
          <w:bCs/>
          <w:b/>
        </w:rPr>
        <w:t xml:space="preserve">Optimize Use Phase Efficiency:</w:t>
      </w:r>
      <w:r>
        <w:t xml:space="preserve"> </w:t>
      </w:r>
      <w:r>
        <w:t xml:space="preserve">Invest in R&amp;D to enhance the energy efficiency of the Advanced IoT Sensor Unit (ntkvufkpmy) during its operational life. Explore low-power modes, extend component durability, and provide energy-saving usage guidance to customers.</w:t>
      </w:r>
    </w:p>
    <w:p>
      <w:pPr>
        <w:numPr>
          <w:ilvl w:val="0"/>
          <w:numId w:val="1023"/>
        </w:numPr>
        <w:pStyle w:val="Compact"/>
      </w:pPr>
      <w:r>
        <w:rPr>
          <w:bCs/>
          <w:b/>
        </w:rPr>
        <w:t xml:space="preserve">Decarbonize Manufacturing Operations:</w:t>
      </w:r>
      <w:r>
        <w:t xml:space="preserve"> </w:t>
      </w:r>
      <w:r>
        <w:t xml:space="preserve">Increase the percentage of renewable energy usage beyond 75% at the China manufacturing facility. Explore power purchase agreements (PPAs) for certified renewable energy or on-site renewable energy generation.</w:t>
      </w:r>
    </w:p>
    <w:p>
      <w:pPr>
        <w:numPr>
          <w:ilvl w:val="0"/>
          <w:numId w:val="1023"/>
        </w:numPr>
        <w:pStyle w:val="Compact"/>
      </w:pPr>
      <w:r>
        <w:rPr>
          <w:bCs/>
          <w:b/>
        </w:rPr>
        <w:t xml:space="preserve">Engage Supply Chain for Material Impact Reduction:</w:t>
      </w:r>
      <w:r>
        <w:t xml:space="preserve"> </w:t>
      </w:r>
      <w:r>
        <w:t xml:space="preserve">Collaborate with suppliers to source lower-carbon alternatives for key components, especially the Lithium-ion Battery and ABS Plastic Casing. Request product-specific environmental product declarations (EPDs) from suppliers.</w:t>
      </w:r>
    </w:p>
    <w:p>
      <w:pPr>
        <w:numPr>
          <w:ilvl w:val="0"/>
          <w:numId w:val="1023"/>
        </w:numPr>
        <w:pStyle w:val="Compact"/>
      </w:pPr>
      <w:r>
        <w:rPr>
          <w:bCs/>
          <w:b/>
        </w:rPr>
        <w:t xml:space="preserve">Enhance Circular Economy Initiatives:</w:t>
      </w:r>
      <w:r>
        <w:t xml:space="preserve"> </w:t>
      </w:r>
      <w:r>
        <w:t xml:space="preserve">Expand and promote the existing take-back program to achieve higher return rates. Explore advanced recycling technologies for complex electronic components to maximize material recovery and further increase EoL credits.</w:t>
      </w:r>
    </w:p>
    <w:p>
      <w:pPr>
        <w:numPr>
          <w:ilvl w:val="0"/>
          <w:numId w:val="1023"/>
        </w:numPr>
        <w:pStyle w:val="Compact"/>
      </w:pPr>
      <w:r>
        <w:rPr>
          <w:bCs/>
          <w:b/>
        </w:rPr>
        <w:t xml:space="preserve">Integrate LSR Standard Data:</w:t>
      </w:r>
      <w:r>
        <w:t xml:space="preserve"> </w:t>
      </w:r>
      <w:r>
        <w:t xml:space="preserve">Prepare for the full implementation of the GHG Protocol LSR Standard by identifying and tracking land-use-related emissions and removals in the supply chain, particularly for bio-based or agricultural components, for future PCF assessments.</w:t>
      </w:r>
    </w:p>
    <w:p>
      <w:pPr>
        <w:pStyle w:val="FirstParagraph"/>
      </w:pPr>
      <w:r>
        <w:t xml:space="preserve">By focusing on these areas, Global Tech Solutions Inc. (pnsizzzgxw) can effectively mitigate the environmental impact of its Advanced IoT Sensor Unit (ntkvufkpmy) and demonstrate leadership in sustainable product development and reporting, aligning with the evolving requirements of the GHG Protocol.</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Unit (ntkvufkpmy)</dc:title>
  <dc:creator/>
  <dc:description>High-detail Product Carbon Footprint (PCF) analysis report for the Advanced IoT Sensor Unit (ntkvufkpmy) by Global Tech Solutions Inc. using GHG Protocol standards and 2026 updates, performed by Senior Sustainability Consultant Dr. Alex Carbon.</dc:description>
  <dc:language>en</dc:language>
  <cp:keywords/>
  <dcterms:created xsi:type="dcterms:W3CDTF">2026-05-30T16:57:42Z</dcterms:created>
  <dcterms:modified xsi:type="dcterms:W3CDTF">2026-05-30T16:57:42Z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