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Advanced</w:t>
      </w:r>
      <w:r>
        <w:t xml:space="preserve"> </w:t>
      </w:r>
      <w:r>
        <w:t xml:space="preserve">IoT</w:t>
      </w:r>
      <w:r>
        <w:t xml:space="preserve"> </w:t>
      </w:r>
      <w:r>
        <w:t xml:space="preserve">Sensor</w:t>
      </w:r>
      <w:r>
        <w:t xml:space="preserve"> </w:t>
      </w:r>
      <w:r>
        <w:t xml:space="preserve">(fwkijeeoyw)</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Advanced IoT Sensor (fwkijeeoyw)</w:t>
      </w:r>
    </w:p>
    <w:p>
      <w:pPr>
        <w:pStyle w:val="BodyText"/>
      </w:pPr>
      <w:r>
        <w:rPr>
          <w:bCs/>
          <w:b/>
        </w:rPr>
        <w:t xml:space="preserve">Company Name:</w:t>
      </w:r>
      <w:r>
        <w:t xml:space="preserve"> </w:t>
      </w:r>
      <w:r>
        <w:t xml:space="preserve">llxkprtekw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efivtxtkjt</w:t>
      </w:r>
    </w:p>
    <w:p>
      <w:pPr>
        <w:pStyle w:val="BodyText"/>
      </w:pPr>
      <w:r>
        <w:t xml:space="preserve">This report is generated based on available data and industry standards. While efforts have been made to ensure accuracy, the actual environmental impacts may vary depending on specific operational details and evolving data. This analysis provides a high-level estimate for strategic decision-making.</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19, 2026</w:t>
      </w:r>
    </w:p>
    <w:p>
      <w:pPr>
        <w:pStyle w:val="BodyText"/>
      </w:pPr>
      <w:r>
        <w:t xml:space="preserve">Product: Advanced IoT Sensor (fwkijeeoyw)</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Advanced IoT Sensor (fwkijeeoyw), manufactured by llxkprtekw. As Senior Sustainability Consultant efivtxtkjt, I have conducted this analysis in accordance with the GHG Protocol, incorporating the latest 2026 Land Sector and Removals (LSR) update and ensuring comprehensive Scope 3 coverage. The primary objective is to quantify the greenhouse gas emissions associated with the product across its lifecycle, from raw material extraction to end-of-life, identifying key emission hotspots and informing sustainability strategies.</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scope of this Product Carbon Footprint (PCF) analysis for the Advanced IoT Sensor (fwkijeeoyw) is defined as follows:</w:t>
      </w:r>
    </w:p>
    <w:p>
      <w:pPr>
        <w:numPr>
          <w:ilvl w:val="0"/>
          <w:numId w:val="1001"/>
        </w:numPr>
        <w:pStyle w:val="Compact"/>
      </w:pPr>
      <w:r>
        <w:rPr>
          <w:bCs/>
          <w:b/>
        </w:rPr>
        <w:t xml:space="preserve">Functional Unit:</w:t>
      </w:r>
      <w:r>
        <w:t xml:space="preserve"> </w:t>
      </w:r>
      <w:r>
        <w:t xml:space="preserve">The functional unit is defined as 1.0 unit of the Advanced IoT Sensor, providing its intended function over its lifespan.</w:t>
      </w:r>
    </w:p>
    <w:p>
      <w:pPr>
        <w:numPr>
          <w:ilvl w:val="0"/>
          <w:numId w:val="1001"/>
        </w:numPr>
        <w:pStyle w:val="Compact"/>
      </w:pPr>
      <w:r>
        <w:rPr>
          <w:bCs/>
          <w:b/>
        </w:rPr>
        <w:t xml:space="preserve">System Boundary:</w:t>
      </w:r>
      <w:r>
        <w:t xml:space="preserve"> </w:t>
      </w:r>
      <w:r>
        <w:t xml:space="preserve">The system boundary for this PCF is \'factory_gate\', meaning the analysis primarily covers emissions up to the point the finished product leaves the manufacturing facility. However, in line with GHG Protocol requirements for comprehensive Scope 3 reporting, upstream (e.g., raw materials, transportation to factory) and downstream (e.g., distribution from factory, use phase, end-of-life) impacts are also included to provide a full lifecycle perspective.</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initial processing in Europe before transport to China for final production).</w:t>
      </w:r>
    </w:p>
    <w:p>
      <w:pPr>
        <w:numPr>
          <w:ilvl w:val="0"/>
          <w:numId w:val="1001"/>
        </w:numPr>
        <w:pStyle w:val="Compact"/>
      </w:pPr>
      <w:r>
        <w:rPr>
          <w:bCs/>
          <w:b/>
        </w:rPr>
        <w:t xml:space="preserve">Accounting Standard:</w:t>
      </w:r>
      <w:r>
        <w:t xml:space="preserve"> </w:t>
      </w:r>
      <w:r>
        <w:t xml:space="preserve">This analysis strictly adheres to the Greenhouse Gas (GHG) Protocol Product Standard (A Life Cycle Approach to Assessing GHG Emissions). Emissions are categorized into Scope 1 (direct emissions), Scope 2 (indirect emissions from purchased energy), and Scope 3 (all other indirect emissions in the value chain).</w:t>
      </w:r>
    </w:p>
    <w:p>
      <w:pPr>
        <w:numPr>
          <w:ilvl w:val="0"/>
          <w:numId w:val="1001"/>
        </w:numPr>
        <w:pStyle w:val="Compact"/>
      </w:pPr>
      <w:r>
        <w:rPr>
          <w:bCs/>
          <w:b/>
        </w:rPr>
        <w:t xml:space="preserve">Allocation:</w:t>
      </w:r>
      <w:r>
        <w:t xml:space="preserve"> </w:t>
      </w:r>
      <w:r>
        <w:t xml:space="preserve">Where shared processes or materials are involved, allocation is performed on a mass-based approach for common materials and energy consumption, consistent with GHG Protocol guidance.</w:t>
      </w:r>
    </w:p>
    <w:p>
      <w:r>
        <w:pict>
          <v:rect style="width:0;height:1.5pt" o:hralign="center" o:hrstd="t" o:hr="t"/>
        </w:pict>
      </w:r>
    </w:p>
    <w:bookmarkEnd w:id="23"/>
    <w:bookmarkStart w:id="29" w:name="X668a29dea6996859d52024a913312988ccfa3c9"/>
    <w:p>
      <w:pPr>
        <w:pStyle w:val="Heading2"/>
      </w:pPr>
      <w:r>
        <w:t xml:space="preserve">2. Map Lifecycle (LCI Inventory Stages) &amp; 3. Collect Data</w:t>
      </w:r>
    </w:p>
    <w:p>
      <w:pPr>
        <w:pStyle w:val="FirstParagraph"/>
      </w:pPr>
      <w:r>
        <w:t xml:space="preserve">The lifecycle of the Advanced IoT Sensor (fwkijeeoyw) has been mapped across key stages, and data collected from provided parameters and industry standards.</w:t>
      </w:r>
    </w:p>
    <w:bookmarkStart w:id="24" w:name="X7667e6df2d04d29b49445b1be01dd659c4b85ac"/>
    <w:p>
      <w:pPr>
        <w:pStyle w:val="Heading3"/>
      </w:pPr>
      <w:r>
        <w:t xml:space="preserve">Material Inputs (Scope 3 - Category 1: Purchased Goods &amp; Services)</w:t>
      </w:r>
    </w:p>
    <w:p>
      <w:pPr>
        <w:pStyle w:val="FirstParagraph"/>
      </w:pPr>
      <w:r>
        <w:t xml:space="preserve">The Detailed Bill of Materials (BOM) for fwkijeeoyw (lfjzzhdz) provides specific data for high-accuracy material impact calculation. The total carbon emissions for each material, as provided in the BOM, are directly used.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2.5</w:t>
            </w:r>
          </w:p>
        </w:tc>
        <w:tc>
          <w:tcPr/>
          <w:p>
            <w:pPr>
              <w:pStyle w:val="Compact"/>
              <w:jc w:val="left"/>
            </w:pPr>
            <w:r>
              <w:t xml:space="preserve">0.50</w:t>
            </w:r>
          </w:p>
        </w:tc>
      </w:tr>
      <w:tr>
        <w:tc>
          <w:tcPr/>
          <w:p>
            <w:pPr>
              <w:pStyle w:val="Compact"/>
              <w:jc w:val="left"/>
            </w:pPr>
            <w:r>
              <w:t xml:space="preserve">3</w:t>
            </w:r>
          </w:p>
        </w:tc>
        <w:tc>
          <w:tcPr/>
          <w:p>
            <w:pPr>
              <w:pStyle w:val="Compact"/>
              <w:jc w:val="left"/>
            </w:pPr>
            <w:r>
              <w:t xml:space="preserve">Circuit Board Assembly</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1.0</w:t>
            </w:r>
          </w:p>
        </w:tc>
        <w:tc>
          <w:tcPr/>
          <w:p>
            <w:pPr>
              <w:pStyle w:val="Compact"/>
              <w:jc w:val="left"/>
            </w:pPr>
            <w:r>
              <w:t xml:space="preserve">1.00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Chemical</w:t>
            </w:r>
          </w:p>
        </w:tc>
        <w:tc>
          <w:tcPr/>
          <w:p>
            <w:pPr>
              <w:pStyle w:val="Compact"/>
              <w:jc w:val="left"/>
            </w:pPr>
            <w:r>
              <w:t xml:space="preserve">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0.40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0.8</w:t>
            </w:r>
          </w:p>
        </w:tc>
        <w:tc>
          <w:tcPr/>
          <w:p>
            <w:pPr>
              <w:pStyle w:val="Compact"/>
              <w:jc w:val="left"/>
            </w:pPr>
            <w:r>
              <w:t xml:space="preserve">0.064</w:t>
            </w:r>
          </w:p>
        </w:tc>
      </w:tr>
      <w:tr>
        <w:tc>
          <w:tcPr>
            <w:gridSpan w:val="7"/>
          </w:tcPr>
          <w:p>
            <w:pPr>
              <w:pStyle w:val="Compact"/>
              <w:jc w:val="right"/>
            </w:pPr>
            <w:r>
              <w:rPr>
                <w:bCs/>
                <w:b/>
              </w:rPr>
              <w:t xml:space="preserve">Total Material Emissions:</w:t>
            </w:r>
          </w:p>
        </w:tc>
        <w:tc>
          <w:tcPr/>
          <w:p>
            <w:pPr>
              <w:pStyle w:val="Compact"/>
              <w:jc w:val="left"/>
            </w:pPr>
            <w:r>
              <w:rPr>
                <w:bCs/>
                <w:b/>
              </w:rPr>
              <w:t xml:space="preserve">4.214</w:t>
            </w:r>
          </w:p>
        </w:tc>
      </w:tr>
    </w:tbl>
    <w:bookmarkEnd w:id="24"/>
    <w:bookmarkStart w:id="25" w:name="X116b63706cd11dedcecaed8804d694ed68bdea3"/>
    <w:p>
      <w:pPr>
        <w:pStyle w:val="Heading3"/>
      </w:pPr>
      <w:r>
        <w:t xml:space="preserve">Energy Inputs (Scope 2: Purchased Electricity)</w:t>
      </w:r>
    </w:p>
    <w:p>
      <w:pPr>
        <w:pStyle w:val="FirstParagraph"/>
      </w:pPr>
      <w:r>
        <w:t xml:space="preserve">The energy consumption during the production phase is a critical component of the PCF.</w:t>
      </w:r>
    </w:p>
    <w:p>
      <w:pPr>
        <w:numPr>
          <w:ilvl w:val="0"/>
          <w:numId w:val="1003"/>
        </w:numPr>
        <w:pStyle w:val="Compact"/>
      </w:pPr>
      <w:r>
        <w:rPr>
          <w:bCs/>
          <w:b/>
        </w:rPr>
        <w:t xml:space="preserve">Energy Intensity (kWh/unit):</w:t>
      </w:r>
      <w:r>
        <w:t xml:space="preserve"> </w:t>
      </w:r>
      <w:r>
        <w:t xml:space="preserve">25 kWh/unit [cite: placeholder assumption]</w:t>
      </w:r>
    </w:p>
    <w:p>
      <w:pPr>
        <w:numPr>
          <w:ilvl w:val="0"/>
          <w:numId w:val="1003"/>
        </w:numPr>
        <w:pStyle w:val="Compact"/>
      </w:pPr>
      <w:r>
        <w:rPr>
          <w:bCs/>
          <w:b/>
        </w:rPr>
        <w:t xml:space="preserve">Renewable Energy Usage:</w:t>
      </w:r>
      <w:r>
        <w:t xml:space="preserve"> </w:t>
      </w:r>
      <w:r>
        <w:t xml:space="preserve">50% (dxkzdxziuf) [cite: placeholder assumption]</w:t>
      </w:r>
    </w:p>
    <w:p>
      <w:pPr>
        <w:numPr>
          <w:ilvl w:val="0"/>
          <w:numId w:val="1003"/>
        </w:numPr>
        <w:pStyle w:val="Compact"/>
      </w:pPr>
      <w:r>
        <w:rPr>
          <w:bCs/>
          <w:b/>
        </w:rPr>
        <w:t xml:space="preserve">Assumed China Grid Electricity Emission Factor:</w:t>
      </w:r>
      <w:r>
        <w:t xml:space="preserve"> </w:t>
      </w:r>
      <w:r>
        <w:t xml:space="preserve">0.65 kg CO2e/kWh (based on typical ranges for China\'s grid mix, considering sources like Climate Transparency Report and IPCC,)</w:t>
      </w:r>
    </w:p>
    <w:bookmarkEnd w:id="25"/>
    <w:bookmarkStart w:id="26" w:name="X60c6e850ff09d6af5d81ff422bc28aa7f7012bb"/>
    <w:p>
      <w:pPr>
        <w:pStyle w:val="Heading3"/>
      </w:pPr>
      <w:r>
        <w:t xml:space="preserve">Logistics Data (Scope 3 - Categories 4 &amp; 9: Transportation)</w:t>
      </w:r>
    </w:p>
    <w:p>
      <w:pPr>
        <w:pStyle w:val="FirstParagraph"/>
      </w:pPr>
      <w:r>
        <w:t xml:space="preserve">Transportation emissions are accounted for both upstream (raw materials to factory) and downstream (distribution from factory to customer).</w:t>
      </w:r>
    </w:p>
    <w:p>
      <w:pPr>
        <w:numPr>
          <w:ilvl w:val="0"/>
          <w:numId w:val="1004"/>
        </w:numPr>
        <w:pStyle w:val="Compact"/>
      </w:pPr>
      <w:r>
        <w:rPr>
          <w:bCs/>
          <w:b/>
        </w:rPr>
        <w:t xml:space="preserve">Primary Transport Mode (Upstream):</w:t>
      </w:r>
      <w:r>
        <w:t xml:space="preserve"> </w:t>
      </w:r>
      <w:r>
        <w:t xml:space="preserve">Ocean Freight (assumed for "Select Mode")</w:t>
      </w:r>
    </w:p>
    <w:p>
      <w:pPr>
        <w:numPr>
          <w:ilvl w:val="0"/>
          <w:numId w:val="1004"/>
        </w:numPr>
        <w:pStyle w:val="Compact"/>
      </w:pPr>
      <w:r>
        <w:rPr>
          <w:bCs/>
          <w:b/>
        </w:rPr>
        <w:t xml:space="preserve">Primary Transport Distance (Upstream):</w:t>
      </w:r>
      <w:r>
        <w:t xml:space="preserve"> </w:t>
      </w:r>
      <w:r>
        <w:t xml:space="preserve">10,000 km (yezxjfuwrz - assumed for Europe to China route) [cite: placeholder assumption]</w:t>
      </w:r>
    </w:p>
    <w:p>
      <w:pPr>
        <w:numPr>
          <w:ilvl w:val="0"/>
          <w:numId w:val="1004"/>
        </w:numPr>
        <w:pStyle w:val="Compact"/>
      </w:pPr>
      <w:r>
        <w:rPr>
          <w:bCs/>
          <w:b/>
        </w:rPr>
        <w:t xml:space="preserve">Secondary Transport Mode (Downstream Distribution):</w:t>
      </w:r>
      <w:r>
        <w:t xml:space="preserve"> </w:t>
      </w:r>
      <w:r>
        <w:t xml:space="preserve">Road Freight (assumed for "Select Mode" within China)</w:t>
      </w:r>
    </w:p>
    <w:p>
      <w:pPr>
        <w:numPr>
          <w:ilvl w:val="0"/>
          <w:numId w:val="1004"/>
        </w:numPr>
        <w:pStyle w:val="Compact"/>
      </w:pPr>
      <w:r>
        <w:rPr>
          <w:bCs/>
          <w:b/>
        </w:rPr>
        <w:t xml:space="preserve">Secondary Transport Distance (Downstream Distribution):</w:t>
      </w:r>
      <w:r>
        <w:t xml:space="preserve"> </w:t>
      </w:r>
      <w:r>
        <w:t xml:space="preserve">500 km (assumed for in-country distribution) [cite: placeholder assumption]</w:t>
      </w:r>
    </w:p>
    <w:p>
      <w:pPr>
        <w:numPr>
          <w:ilvl w:val="0"/>
          <w:numId w:val="1004"/>
        </w:numPr>
        <w:pStyle w:val="Compact"/>
      </w:pPr>
      <w:r>
        <w:rPr>
          <w:bCs/>
          <w:b/>
        </w:rPr>
        <w:t xml:space="preserve">Last-Mile Delivery Channel:</w:t>
      </w:r>
      <w:r>
        <w:t xml:space="preserve"> </w:t>
      </w:r>
      <w:r>
        <w:t xml:space="preserve">Light Commercial Vehicle (Delivery Type)</w:t>
      </w:r>
    </w:p>
    <w:p>
      <w:pPr>
        <w:numPr>
          <w:ilvl w:val="0"/>
          <w:numId w:val="1004"/>
        </w:numPr>
        <w:pStyle w:val="Compact"/>
      </w:pPr>
      <w:r>
        <w:rPr>
          <w:bCs/>
          <w:b/>
        </w:rPr>
        <w:t xml:space="preserve">Last-Mile Delivery Distance:</w:t>
      </w:r>
      <w:r>
        <w:t xml:space="preserve"> </w:t>
      </w:r>
      <w:r>
        <w:t xml:space="preserve">50 km (assumed average per unit for final delivery) [cite: placeholder assumption]</w:t>
      </w:r>
    </w:p>
    <w:p>
      <w:pPr>
        <w:numPr>
          <w:ilvl w:val="0"/>
          <w:numId w:val="1004"/>
        </w:numPr>
        <w:pStyle w:val="Compact"/>
      </w:pPr>
      <w:r>
        <w:rPr>
          <w:bCs/>
          <w:b/>
        </w:rPr>
        <w:t xml:space="preserve">Assumed Product Weight for Transport:</w:t>
      </w:r>
      <w:r>
        <w:t xml:space="preserve"> </w:t>
      </w:r>
      <w:r>
        <w:t xml:space="preserve">2 kg (sum of BOM quantities and estimation) [cite: placeholder assumption]</w:t>
      </w:r>
    </w:p>
    <w:p>
      <w:pPr>
        <w:numPr>
          <w:ilvl w:val="0"/>
          <w:numId w:val="1004"/>
        </w:numPr>
        <w:pStyle w:val="Compact"/>
      </w:pPr>
      <w:r>
        <w:rPr>
          <w:bCs/>
          <w:b/>
        </w:rPr>
        <w:t xml:space="preserve">Assumed Emission Factors:</w:t>
      </w:r>
    </w:p>
    <w:p>
      <w:pPr>
        <w:numPr>
          <w:ilvl w:val="1"/>
          <w:numId w:val="1005"/>
        </w:numPr>
        <w:pStyle w:val="Compact"/>
      </w:pPr>
      <w:r>
        <w:t xml:space="preserve">Ocean Freight: 0.01 kg CO2e/tkm (0.00001 kg CO2e/kg.km) [cite: industry standard illustrative factor]</w:t>
      </w:r>
    </w:p>
    <w:p>
      <w:pPr>
        <w:numPr>
          <w:ilvl w:val="1"/>
          <w:numId w:val="1005"/>
        </w:numPr>
        <w:pStyle w:val="Compact"/>
      </w:pPr>
      <w:r>
        <w:t xml:space="preserve">Road Freight: 0.1 kg CO2e/tkm (0.0001 kg CO2e/kg.km) [cite: DEFRA and Ecoinvent data for typical road freight, 1, 5]</w:t>
      </w:r>
    </w:p>
    <w:p>
      <w:pPr>
        <w:numPr>
          <w:ilvl w:val="1"/>
          <w:numId w:val="1005"/>
        </w:numPr>
        <w:pStyle w:val="Compact"/>
      </w:pPr>
      <w:r>
        <w:t xml:space="preserve">Light Commercial Vehicle: 0.2 kg CO2e/km [cite: illustrative factor for small package delivery]</w:t>
      </w:r>
    </w:p>
    <w:bookmarkEnd w:id="26"/>
    <w:bookmarkStart w:id="27" w:name="Xc1220340f65f666a7dfe1562a4214465cd58a13"/>
    <w:p>
      <w:pPr>
        <w:pStyle w:val="Heading3"/>
      </w:pPr>
      <w:r>
        <w:t xml:space="preserve">Use Phase Data (Scope 3 - Category 11: Use of Sold Products)</w:t>
      </w:r>
    </w:p>
    <w:p>
      <w:pPr>
        <w:pStyle w:val="FirstParagraph"/>
      </w:pPr>
      <w:r>
        <w:t xml:space="preserve">Emissions during the product\'s use phase are calculated based on its expected lifespan and energy consumption.</w:t>
      </w:r>
    </w:p>
    <w:p>
      <w:pPr>
        <w:numPr>
          <w:ilvl w:val="0"/>
          <w:numId w:val="1006"/>
        </w:numPr>
        <w:pStyle w:val="Compact"/>
      </w:pPr>
      <w:r>
        <w:rPr>
          <w:bCs/>
          <w:b/>
        </w:rPr>
        <w:t xml:space="preserve">Product Lifespan:</w:t>
      </w:r>
      <w:r>
        <w:t xml:space="preserve"> </w:t>
      </w:r>
      <w:r>
        <w:t xml:space="preserve">5 years (ygjqkfvmih) [cite: placeholder assumption]</w:t>
      </w:r>
    </w:p>
    <w:p>
      <w:pPr>
        <w:numPr>
          <w:ilvl w:val="0"/>
          <w:numId w:val="1006"/>
        </w:numPr>
        <w:pStyle w:val="Compact"/>
      </w:pPr>
      <w:r>
        <w:rPr>
          <w:bCs/>
          <w:b/>
        </w:rPr>
        <w:t xml:space="preserve">Energy Consumption in Use:</w:t>
      </w:r>
      <w:r>
        <w:t xml:space="preserve"> </w:t>
      </w:r>
      <w:r>
        <w:t xml:space="preserve">10 kWh/year (udxnjktrwe) [cite: placeholder assumption]</w:t>
      </w:r>
    </w:p>
    <w:p>
      <w:pPr>
        <w:numPr>
          <w:ilvl w:val="0"/>
          <w:numId w:val="1006"/>
        </w:numPr>
        <w:pStyle w:val="Compact"/>
      </w:pPr>
      <w:r>
        <w:rPr>
          <w:bCs/>
          <w:b/>
        </w:rPr>
        <w:t xml:space="preserve">Assumed Electricity Mix for Use Phase:</w:t>
      </w:r>
      <w:r>
        <w:t xml:space="preserve"> </w:t>
      </w:r>
      <w:r>
        <w:t xml:space="preserve">China Grid Electricity (0.65 kg CO2e/kWh)</w:t>
      </w:r>
    </w:p>
    <w:bookmarkEnd w:id="27"/>
    <w:bookmarkStart w:id="28" w:name="Xd76532c1f17713de2758672ef441ada98b9e144"/>
    <w:p>
      <w:pPr>
        <w:pStyle w:val="Heading3"/>
      </w:pPr>
      <w:r>
        <w:t xml:space="preserve">End-of-Life (EoL) Scenarios (Scope 3 - Category 12: End-of-Life Treatment)</w:t>
      </w:r>
    </w:p>
    <w:p>
      <w:pPr>
        <w:pStyle w:val="FirstParagraph"/>
      </w:pPr>
      <w:r>
        <w:t xml:space="preserve">The end-of-life impacts reflect efforts towards a circular economy.</w:t>
      </w:r>
    </w:p>
    <w:p>
      <w:pPr>
        <w:numPr>
          <w:ilvl w:val="0"/>
          <w:numId w:val="1007"/>
        </w:numPr>
        <w:pStyle w:val="Compact"/>
      </w:pPr>
      <w:r>
        <w:rPr>
          <w:bCs/>
          <w:b/>
        </w:rPr>
        <w:t xml:space="preserve">Recyclability Percentage:</w:t>
      </w:r>
      <w:r>
        <w:t xml:space="preserve"> </w:t>
      </w:r>
      <w:r>
        <w:t xml:space="preserve">80% (znmywriixt) [cite: placeholder assumption]</w:t>
      </w:r>
    </w:p>
    <w:p>
      <w:pPr>
        <w:numPr>
          <w:ilvl w:val="0"/>
          <w:numId w:val="1007"/>
        </w:numPr>
        <w:pStyle w:val="Compact"/>
      </w:pPr>
      <w:r>
        <w:rPr>
          <w:bCs/>
          <w:b/>
        </w:rPr>
        <w:t xml:space="preserve">Circular/Take-back Programs:</w:t>
      </w:r>
      <w:r>
        <w:t xml:space="preserve"> </w:t>
      </w:r>
      <w:r>
        <w:t xml:space="preserve">Yes, active product take-back program for components (pufrzghkne) [cite: placeholder assumption]</w:t>
      </w:r>
    </w:p>
    <w:p>
      <w:pPr>
        <w:numPr>
          <w:ilvl w:val="0"/>
          <w:numId w:val="1007"/>
        </w:numPr>
        <w:pStyle w:val="Compact"/>
      </w:pPr>
      <w:r>
        <w:rPr>
          <w:bCs/>
          <w:b/>
        </w:rPr>
        <w:t xml:space="preserve">Assumed Recycling Credit:</w:t>
      </w:r>
      <w:r>
        <w:t xml:space="preserve"> </w:t>
      </w:r>
      <w:r>
        <w:t xml:space="preserve">50% of material production emissions for recycled portion. [cite: industry standard illustrative factor]</w:t>
      </w:r>
    </w:p>
    <w:p>
      <w:pPr>
        <w:numPr>
          <w:ilvl w:val="0"/>
          <w:numId w:val="1007"/>
        </w:numPr>
        <w:pStyle w:val="Compact"/>
      </w:pPr>
      <w:r>
        <w:rPr>
          <w:bCs/>
          <w:b/>
        </w:rPr>
        <w:t xml:space="preserve">Assumed Disposal Emissions:</w:t>
      </w:r>
      <w:r>
        <w:t xml:space="preserve"> </w:t>
      </w:r>
      <w:r>
        <w:t xml:space="preserve">0.5 kg CO2e/kg for non-recycled waste. [cite: industry standard illustrative factor]</w:t>
      </w:r>
    </w:p>
    <w:p>
      <w:r>
        <w:pict>
          <v:rect style="width:0;height:1.5pt" o:hralign="center" o:hrstd="t" o:hr="t"/>
        </w:pict>
      </w:r>
    </w:p>
    <w:bookmarkEnd w:id="28"/>
    <w:bookmarkEnd w:id="29"/>
    <w:bookmarkStart w:id="39" w:name="calculate-emissions"/>
    <w:p>
      <w:pPr>
        <w:pStyle w:val="Heading2"/>
      </w:pPr>
      <w:r>
        <w:t xml:space="preserve">4. Calculate Emissions</w:t>
      </w:r>
    </w:p>
    <w:p>
      <w:pPr>
        <w:pStyle w:val="FirstParagraph"/>
      </w:pPr>
      <w:r>
        <w:t xml:space="preserve">Emissions are calculated based on the collected activity data and industry-standard emission factors, categorized by GHG Protocol scopes.</w:t>
      </w:r>
    </w:p>
    <w:bookmarkStart w:id="30" w:name="scope-1-direct-emissions"/>
    <w:p>
      <w:pPr>
        <w:pStyle w:val="Heading3"/>
      </w:pPr>
      <w:r>
        <w:t xml:space="preserve">Scope 1: Direct Emissions</w:t>
      </w:r>
    </w:p>
    <w:p>
      <w:pPr>
        <w:pStyle w:val="FirstParagraph"/>
      </w:pPr>
      <w:r>
        <w:t xml:space="preserve">For this Product Carbon Footprint with a \'factory_gate\' system boundary, direct emissions (e.g., from company-owned vehicles or on-site fuel combustion) are assumed to be zero per unit of product. These would typically be covered under the company\'s organizational footprint rather than being directly allocated to each product at this boundary unless specific process emissions occur.</w:t>
      </w:r>
    </w:p>
    <w:p>
      <w:pPr>
        <w:numPr>
          <w:ilvl w:val="0"/>
          <w:numId w:val="1008"/>
        </w:numPr>
        <w:pStyle w:val="Compact"/>
      </w:pPr>
      <w:r>
        <w:rPr>
          <w:bCs/>
          <w:b/>
        </w:rPr>
        <w:t xml:space="preserve">Total Scope 1 Emissions:</w:t>
      </w:r>
      <w:r>
        <w:t xml:space="preserve"> </w:t>
      </w:r>
      <w:r>
        <w:t xml:space="preserve">0.00 kg CO2e</w:t>
      </w:r>
    </w:p>
    <w:bookmarkEnd w:id="30"/>
    <w:bookmarkStart w:id="31" w:name="X940f739cc6425d99b84e128f190b13e064c5cd0"/>
    <w:p>
      <w:pPr>
        <w:pStyle w:val="Heading3"/>
      </w:pPr>
      <w:r>
        <w:t xml:space="preserve">Scope 2: Indirect Emissions from Purchased Energy</w:t>
      </w:r>
    </w:p>
    <w:p>
      <w:pPr>
        <w:pStyle w:val="FirstParagraph"/>
      </w:pPr>
      <w:r>
        <w:t xml:space="preserve">These emissions arise from the generation of purchased electricity consumed during the manufacturing of the Advanced IoT Sensor in China.</w:t>
      </w:r>
    </w:p>
    <w:p>
      <w:pPr>
        <w:numPr>
          <w:ilvl w:val="0"/>
          <w:numId w:val="1009"/>
        </w:numPr>
        <w:pStyle w:val="Compact"/>
      </w:pPr>
      <w:r>
        <w:t xml:space="preserve">Energy Intensity: 25 kWh/unit [cite: placeholder assumption]</w:t>
      </w:r>
    </w:p>
    <w:p>
      <w:pPr>
        <w:numPr>
          <w:ilvl w:val="0"/>
          <w:numId w:val="1009"/>
        </w:numPr>
        <w:pStyle w:val="Compact"/>
      </w:pPr>
      <w:r>
        <w:t xml:space="preserve">Non-renewable Energy Share: 50% (1 - 0.50 renewable usage) [cite: placeholder assumption]</w:t>
      </w:r>
    </w:p>
    <w:p>
      <w:pPr>
        <w:numPr>
          <w:ilvl w:val="0"/>
          <w:numId w:val="1009"/>
        </w:numPr>
        <w:pStyle w:val="Compact"/>
      </w:pPr>
      <w:r>
        <w:t xml:space="preserve">Electricity from non-renewable sources: 25 kWh/unit * 0.50 = 12.5 kWh/unit</w:t>
      </w:r>
    </w:p>
    <w:p>
      <w:pPr>
        <w:numPr>
          <w:ilvl w:val="0"/>
          <w:numId w:val="1009"/>
        </w:numPr>
        <w:pStyle w:val="Compact"/>
      </w:pPr>
      <w:r>
        <w:t xml:space="preserve">China Grid Electricity Emission Factor: 0.65 kg CO2e/kWh</w:t>
      </w:r>
    </w:p>
    <w:p>
      <w:pPr>
        <w:numPr>
          <w:ilvl w:val="0"/>
          <w:numId w:val="1009"/>
        </w:numPr>
        <w:pStyle w:val="Compact"/>
      </w:pPr>
      <w:r>
        <w:rPr>
          <w:bCs/>
          <w:b/>
        </w:rPr>
        <w:t xml:space="preserve">Scope 2 Emissions:</w:t>
      </w:r>
      <w:r>
        <w:t xml:space="preserve"> </w:t>
      </w:r>
      <w:r>
        <w:t xml:space="preserve">12.5 kWh/unit * 0.65 kg CO2e/kWh = 8.125 kg CO2e</w:t>
      </w:r>
    </w:p>
    <w:bookmarkEnd w:id="31"/>
    <w:bookmarkStart w:id="37" w:name="Xd1c2b652bc5876514f180a21f002993b8de8e83"/>
    <w:p>
      <w:pPr>
        <w:pStyle w:val="Heading3"/>
      </w:pPr>
      <w:r>
        <w:t xml:space="preserve">Scope 3: Other Indirect Emissions (Value Chain)</w:t>
      </w:r>
    </w:p>
    <w:p>
      <w:pPr>
        <w:pStyle w:val="FirstParagraph"/>
      </w:pPr>
      <w:r>
        <w:t xml:space="preserve">Scope 3 emissions encompass all other indirect emissions upstream and downstream of the manufacturing process.</w:t>
      </w:r>
    </w:p>
    <w:bookmarkStart w:id="32" w:name="Xe24919c85d1b499ff7717d5369536b1c2dbb8f9"/>
    <w:p>
      <w:pPr>
        <w:pStyle w:val="Heading4"/>
      </w:pPr>
      <w:r>
        <w:t xml:space="preserve">Category 1: Purchased Goods &amp; Services (Materials)</w:t>
      </w:r>
    </w:p>
    <w:p>
      <w:pPr>
        <w:pStyle w:val="FirstParagraph"/>
      </w:pPr>
      <w:r>
        <w:t xml:space="preserve">This includes the emissions associated with the extraction, production, and processing of all raw materials and components listed in the Bill of Materials.</w:t>
      </w:r>
    </w:p>
    <w:p>
      <w:pPr>
        <w:numPr>
          <w:ilvl w:val="0"/>
          <w:numId w:val="1010"/>
        </w:numPr>
        <w:pStyle w:val="Compact"/>
      </w:pPr>
      <w:r>
        <w:t xml:space="preserve">Total Carbon from BOM: 4.214 kg CO2e</w:t>
      </w:r>
    </w:p>
    <w:p>
      <w:pPr>
        <w:numPr>
          <w:ilvl w:val="0"/>
          <w:numId w:val="1010"/>
        </w:numPr>
        <w:pStyle w:val="Compact"/>
      </w:pPr>
      <w:r>
        <w:rPr>
          <w:bCs/>
          <w:b/>
        </w:rPr>
        <w:t xml:space="preserve">Scope 3, Category 1 Emissions:</w:t>
      </w:r>
      <w:r>
        <w:t xml:space="preserve"> </w:t>
      </w:r>
      <w:r>
        <w:t xml:space="preserve">4.214 kg CO2e</w:t>
      </w:r>
    </w:p>
    <w:bookmarkEnd w:id="32"/>
    <w:bookmarkStart w:id="33" w:name="X1c0b23e2cf64b4c1f894a7cec827431244b2696"/>
    <w:p>
      <w:pPr>
        <w:pStyle w:val="Heading4"/>
      </w:pPr>
      <w:r>
        <w:t xml:space="preserve">Category 4: Upstream Transportation &amp; Distribution</w:t>
      </w:r>
    </w:p>
    <w:p>
      <w:pPr>
        <w:pStyle w:val="FirstParagraph"/>
      </w:pPr>
      <w:r>
        <w:t xml:space="preserve">This covers the transportation of raw materials and components from suppliers (Europe Focused) to the manufacturing facility (China).</w:t>
      </w:r>
    </w:p>
    <w:p>
      <w:pPr>
        <w:numPr>
          <w:ilvl w:val="0"/>
          <w:numId w:val="1011"/>
        </w:numPr>
        <w:pStyle w:val="Compact"/>
      </w:pPr>
      <w:r>
        <w:t xml:space="preserve">Product Weight: 2 kg [cite: placeholder assumption]</w:t>
      </w:r>
    </w:p>
    <w:p>
      <w:pPr>
        <w:numPr>
          <w:ilvl w:val="0"/>
          <w:numId w:val="1011"/>
        </w:numPr>
        <w:pStyle w:val="Compact"/>
      </w:pPr>
      <w:r>
        <w:t xml:space="preserve">Primary Transport (Ocean Freight - Europe to China): 10,000 km * 2 kg * 0.00001 kg CO2e/kg.km = 0.2 kg CO2e</w:t>
      </w:r>
    </w:p>
    <w:p>
      <w:pPr>
        <w:numPr>
          <w:ilvl w:val="0"/>
          <w:numId w:val="1011"/>
        </w:numPr>
        <w:pStyle w:val="Compact"/>
      </w:pPr>
      <w:r>
        <w:t xml:space="preserve">Secondary Transport (Road Freight - within China, assumed): 500 km * 2 kg * 0.0001 kg CO2e/kg.km = 0.1 kg CO2e</w:t>
      </w:r>
    </w:p>
    <w:p>
      <w:pPr>
        <w:numPr>
          <w:ilvl w:val="0"/>
          <w:numId w:val="1011"/>
        </w:numPr>
        <w:pStyle w:val="Compact"/>
      </w:pPr>
      <w:r>
        <w:rPr>
          <w:bCs/>
          <w:b/>
        </w:rPr>
        <w:t xml:space="preserve">Scope 3, Category 4 Emissions:</w:t>
      </w:r>
      <w:r>
        <w:t xml:space="preserve"> </w:t>
      </w:r>
      <w:r>
        <w:t xml:space="preserve">0.2 + 0.1 = 0.3 kg CO2e</w:t>
      </w:r>
    </w:p>
    <w:bookmarkEnd w:id="33"/>
    <w:bookmarkStart w:id="34" w:name="X6273ef0b20b5084e24b8939374571a36e67ab8e"/>
    <w:p>
      <w:pPr>
        <w:pStyle w:val="Heading4"/>
      </w:pPr>
      <w:r>
        <w:t xml:space="preserve">Category 9: Downstream Transportation &amp; Distribution</w:t>
      </w:r>
    </w:p>
    <w:p>
      <w:pPr>
        <w:pStyle w:val="FirstParagraph"/>
      </w:pPr>
      <w:r>
        <w:t xml:space="preserve">This accounts for the transportation of the finished product from the factory gate to the end-consumer, including last-mile delivery.</w:t>
      </w:r>
    </w:p>
    <w:p>
      <w:pPr>
        <w:numPr>
          <w:ilvl w:val="0"/>
          <w:numId w:val="1012"/>
        </w:numPr>
        <w:pStyle w:val="Compact"/>
      </w:pPr>
      <w:r>
        <w:t xml:space="preserve">Last-Mile Delivery (Light Commercial Vehicle): 50 km/unit * 0.2 kg CO2e/km = 10.0 kg CO2e</w:t>
      </w:r>
    </w:p>
    <w:p>
      <w:pPr>
        <w:numPr>
          <w:ilvl w:val="0"/>
          <w:numId w:val="1012"/>
        </w:numPr>
        <w:pStyle w:val="Compact"/>
      </w:pPr>
      <w:r>
        <w:rPr>
          <w:bCs/>
          <w:b/>
        </w:rPr>
        <w:t xml:space="preserve">Scope 3, Category 9 Emissions:</w:t>
      </w:r>
      <w:r>
        <w:t xml:space="preserve"> </w:t>
      </w:r>
      <w:r>
        <w:t xml:space="preserve">10.0 kg CO2e</w:t>
      </w:r>
    </w:p>
    <w:bookmarkEnd w:id="34"/>
    <w:bookmarkStart w:id="35" w:name="category-11-use-of-sold-products"/>
    <w:p>
      <w:pPr>
        <w:pStyle w:val="Heading4"/>
      </w:pPr>
      <w:r>
        <w:t xml:space="preserve">Category 11: Use of Sold Products</w:t>
      </w:r>
    </w:p>
    <w:p>
      <w:pPr>
        <w:pStyle w:val="FirstParagraph"/>
      </w:pPr>
      <w:r>
        <w:t xml:space="preserve">Emissions from the energy consumed by the product during its intended use phase over its lifespan.</w:t>
      </w:r>
    </w:p>
    <w:p>
      <w:pPr>
        <w:numPr>
          <w:ilvl w:val="0"/>
          <w:numId w:val="1013"/>
        </w:numPr>
        <w:pStyle w:val="Compact"/>
      </w:pPr>
      <w:r>
        <w:t xml:space="preserve">Total Energy in Use: 10 kWh/year * 5 years = 50 kWh</w:t>
      </w:r>
    </w:p>
    <w:p>
      <w:pPr>
        <w:numPr>
          <w:ilvl w:val="0"/>
          <w:numId w:val="1013"/>
        </w:numPr>
        <w:pStyle w:val="Compact"/>
      </w:pPr>
      <w:r>
        <w:t xml:space="preserve">China Grid Electricity Emission Factor: 0.65 kg CO2e/kWh</w:t>
      </w:r>
    </w:p>
    <w:p>
      <w:pPr>
        <w:numPr>
          <w:ilvl w:val="0"/>
          <w:numId w:val="1013"/>
        </w:numPr>
        <w:pStyle w:val="Compact"/>
      </w:pPr>
      <w:r>
        <w:rPr>
          <w:bCs/>
          <w:b/>
        </w:rPr>
        <w:t xml:space="preserve">Scope 3, Category 11 Emissions:</w:t>
      </w:r>
      <w:r>
        <w:t xml:space="preserve"> </w:t>
      </w:r>
      <w:r>
        <w:t xml:space="preserve">50 kWh * 0.65 kg CO2e/kWh = 32.5 kg CO2e</w:t>
      </w:r>
    </w:p>
    <w:bookmarkEnd w:id="35"/>
    <w:bookmarkStart w:id="36" w:name="X9f66eef2700632e081dfe139021cb724ffcd2c5"/>
    <w:p>
      <w:pPr>
        <w:pStyle w:val="Heading4"/>
      </w:pPr>
      <w:r>
        <w:t xml:space="preserve">Category 12: End-of-Life Treatment of Sold Products</w:t>
      </w:r>
    </w:p>
    <w:p>
      <w:pPr>
        <w:pStyle w:val="FirstParagraph"/>
      </w:pPr>
      <w:r>
        <w:t xml:space="preserve">This covers emissions and potential credits from the recycling and disposal of the product at the end of its life.</w:t>
      </w:r>
    </w:p>
    <w:p>
      <w:pPr>
        <w:numPr>
          <w:ilvl w:val="0"/>
          <w:numId w:val="1014"/>
        </w:numPr>
        <w:pStyle w:val="Compact"/>
      </w:pPr>
      <w:r>
        <w:t xml:space="preserve">Recyclability Percentage: 80% [cite: placeholder assumption]</w:t>
      </w:r>
    </w:p>
    <w:p>
      <w:pPr>
        <w:numPr>
          <w:ilvl w:val="0"/>
          <w:numId w:val="1014"/>
        </w:numPr>
        <w:pStyle w:val="Compact"/>
      </w:pPr>
      <w:r>
        <w:t xml:space="preserve">Material Production Emissions (for recyclable portion): 4.214 kg CO2e</w:t>
      </w:r>
    </w:p>
    <w:p>
      <w:pPr>
        <w:numPr>
          <w:ilvl w:val="0"/>
          <w:numId w:val="1014"/>
        </w:numPr>
        <w:pStyle w:val="Compact"/>
      </w:pPr>
      <w:r>
        <w:t xml:space="preserve">Recycling Credit (80% of material emissions * 50% credit factor): 4.214 kg CO2e * 0.80 * 0.50 = -1.6856 kg CO2e</w:t>
      </w:r>
    </w:p>
    <w:p>
      <w:pPr>
        <w:numPr>
          <w:ilvl w:val="0"/>
          <w:numId w:val="1014"/>
        </w:numPr>
        <w:pStyle w:val="Compact"/>
      </w:pPr>
      <w:r>
        <w:t xml:space="preserve">Disposal Emissions (for 20% non-recycled portion): (2 kg * 0.20) * 0.5 kg CO2e/kg = 0.2 kg CO2e</w:t>
      </w:r>
    </w:p>
    <w:p>
      <w:pPr>
        <w:numPr>
          <w:ilvl w:val="0"/>
          <w:numId w:val="1014"/>
        </w:numPr>
        <w:pStyle w:val="Compact"/>
      </w:pPr>
      <w:r>
        <w:rPr>
          <w:bCs/>
          <w:b/>
        </w:rPr>
        <w:t xml:space="preserve">Scope 3, Category 12 Emissions:</w:t>
      </w:r>
      <w:r>
        <w:t xml:space="preserve"> </w:t>
      </w:r>
      <w:r>
        <w:t xml:space="preserve">-1.6856 + 0.2 = -1.4856 kg CO2e (net credit)</w:t>
      </w:r>
    </w:p>
    <w:bookmarkEnd w:id="36"/>
    <w:bookmarkEnd w:id="37"/>
    <w:bookmarkStart w:id="38" w:name="X299a3717db401fbc63eac38de0814f3ad8939f4"/>
    <w:p>
      <w:pPr>
        <w:pStyle w:val="Heading3"/>
      </w:pPr>
      <w:r>
        <w:t xml:space="preserve">Total Product Carbon Footprint (PCF)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 Category</w:t>
            </w:r>
          </w:p>
        </w:tc>
        <w:tc>
          <w:tcPr/>
          <w:p>
            <w:pPr>
              <w:pStyle w:val="Compact"/>
              <w:jc w:val="left"/>
            </w:pPr>
            <w:r>
              <w:t xml:space="preserve">Emissions (kg CO2e per functional unit)</w:t>
            </w:r>
          </w:p>
        </w:tc>
        <w:tc>
          <w:tcPr/>
          <w:p>
            <w:pPr>
              <w:pStyle w:val="Compact"/>
              <w:jc w:val="left"/>
            </w:pPr>
            <w:r>
              <w:t xml:space="preserve">Contribution (%)</w:t>
            </w:r>
          </w:p>
        </w:tc>
      </w:tr>
      <w:tr>
        <w:tc>
          <w:tcPr/>
          <w:p>
            <w:pPr>
              <w:pStyle w:val="Compact"/>
              <w:jc w:val="left"/>
            </w:pPr>
            <w:r>
              <w:rPr>
                <w:bCs/>
                <w:b/>
              </w:rPr>
              <w:t xml:space="preserve">Scope 1: 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 Purchased Electricity</w:t>
            </w:r>
          </w:p>
        </w:tc>
        <w:tc>
          <w:tcPr/>
          <w:p>
            <w:pPr>
              <w:pStyle w:val="Compact"/>
              <w:jc w:val="left"/>
            </w:pPr>
            <w:r>
              <w:t xml:space="preserve">8.125</w:t>
            </w:r>
          </w:p>
        </w:tc>
        <w:tc>
          <w:tcPr/>
          <w:p>
            <w:pPr>
              <w:pStyle w:val="Compact"/>
              <w:jc w:val="left"/>
            </w:pPr>
            <w:r>
              <w:t xml:space="preserve">15.14%</w:t>
            </w:r>
          </w:p>
        </w:tc>
      </w:tr>
      <w:tr>
        <w:tc>
          <w:tcPr>
            <w:gridSpan w:val="3"/>
          </w:tcPr>
          <w:p>
            <w:pPr>
              <w:pStyle w:val="Compact"/>
              <w:jc w:val="left"/>
            </w:pPr>
            <w:r>
              <w:rPr>
                <w:bCs/>
                <w:b/>
              </w:rPr>
              <w:t xml:space="preserve">Scope 3: Other Indirect Emissions (Value Chain)</w:t>
            </w:r>
          </w:p>
        </w:tc>
      </w:tr>
      <w:tr>
        <w:tc>
          <w:tcPr/>
          <w:p>
            <w:pPr>
              <w:pStyle w:val="Compact"/>
              <w:jc w:val="left"/>
            </w:pPr>
            <w:r>
              <w:t xml:space="preserve">   Category 1: Purchased Goods &amp; Services (Materials)</w:t>
            </w:r>
          </w:p>
        </w:tc>
        <w:tc>
          <w:tcPr/>
          <w:p>
            <w:pPr>
              <w:pStyle w:val="Compact"/>
              <w:jc w:val="left"/>
            </w:pPr>
            <w:r>
              <w:t xml:space="preserve">4.214</w:t>
            </w:r>
          </w:p>
        </w:tc>
        <w:tc>
          <w:tcPr/>
          <w:p>
            <w:pPr>
              <w:pStyle w:val="Compact"/>
              <w:jc w:val="left"/>
            </w:pPr>
            <w:r>
              <w:t xml:space="preserve">7.85%</w:t>
            </w:r>
          </w:p>
        </w:tc>
      </w:tr>
      <w:tr>
        <w:tc>
          <w:tcPr/>
          <w:p>
            <w:pPr>
              <w:pStyle w:val="Compact"/>
              <w:jc w:val="left"/>
            </w:pPr>
            <w:r>
              <w:t xml:space="preserve">   Category 4: Upstream Transportation &amp; Distribution</w:t>
            </w:r>
          </w:p>
        </w:tc>
        <w:tc>
          <w:tcPr/>
          <w:p>
            <w:pPr>
              <w:pStyle w:val="Compact"/>
              <w:jc w:val="left"/>
            </w:pPr>
            <w:r>
              <w:t xml:space="preserve">0.300</w:t>
            </w:r>
          </w:p>
        </w:tc>
        <w:tc>
          <w:tcPr/>
          <w:p>
            <w:pPr>
              <w:pStyle w:val="Compact"/>
              <w:jc w:val="left"/>
            </w:pPr>
            <w:r>
              <w:t xml:space="preserve">0.56%</w:t>
            </w:r>
          </w:p>
        </w:tc>
      </w:tr>
      <w:tr>
        <w:tc>
          <w:tcPr/>
          <w:p>
            <w:pPr>
              <w:pStyle w:val="Compact"/>
              <w:jc w:val="left"/>
            </w:pPr>
            <w:r>
              <w:t xml:space="preserve">   Category 9: Downstream Transportation &amp; Distribution</w:t>
            </w:r>
          </w:p>
        </w:tc>
        <w:tc>
          <w:tcPr/>
          <w:p>
            <w:pPr>
              <w:pStyle w:val="Compact"/>
              <w:jc w:val="left"/>
            </w:pPr>
            <w:r>
              <w:t xml:space="preserve">10.000</w:t>
            </w:r>
          </w:p>
        </w:tc>
        <w:tc>
          <w:tcPr/>
          <w:p>
            <w:pPr>
              <w:pStyle w:val="Compact"/>
              <w:jc w:val="left"/>
            </w:pPr>
            <w:r>
              <w:t xml:space="preserve">18.64%</w:t>
            </w:r>
          </w:p>
        </w:tc>
      </w:tr>
      <w:tr>
        <w:tc>
          <w:tcPr/>
          <w:p>
            <w:pPr>
              <w:pStyle w:val="Compact"/>
              <w:jc w:val="left"/>
            </w:pPr>
            <w:r>
              <w:t xml:space="preserve">   Category 11: Use of Sold Products</w:t>
            </w:r>
          </w:p>
        </w:tc>
        <w:tc>
          <w:tcPr/>
          <w:p>
            <w:pPr>
              <w:pStyle w:val="Compact"/>
              <w:jc w:val="left"/>
            </w:pPr>
            <w:r>
              <w:t xml:space="preserve">32.500</w:t>
            </w:r>
          </w:p>
        </w:tc>
        <w:tc>
          <w:tcPr/>
          <w:p>
            <w:pPr>
              <w:pStyle w:val="Compact"/>
              <w:jc w:val="left"/>
            </w:pPr>
            <w:r>
              <w:t xml:space="preserve">60.57%</w:t>
            </w:r>
          </w:p>
        </w:tc>
      </w:tr>
      <w:tr>
        <w:tc>
          <w:tcPr/>
          <w:p>
            <w:pPr>
              <w:pStyle w:val="Compact"/>
              <w:jc w:val="left"/>
            </w:pPr>
            <w:r>
              <w:t xml:space="preserve">   Category 12: End-of-Life Treatment of Sold Products</w:t>
            </w:r>
          </w:p>
        </w:tc>
        <w:tc>
          <w:tcPr/>
          <w:p>
            <w:pPr>
              <w:pStyle w:val="Compact"/>
              <w:jc w:val="left"/>
            </w:pPr>
            <w:r>
              <w:t xml:space="preserve">-1.486</w:t>
            </w:r>
          </w:p>
        </w:tc>
        <w:tc>
          <w:tcPr/>
          <w:p>
            <w:pPr>
              <w:pStyle w:val="Compact"/>
              <w:jc w:val="left"/>
            </w:pPr>
            <w:r>
              <w:t xml:space="preserve">-2.77%</w:t>
            </w:r>
          </w:p>
        </w:tc>
      </w:tr>
      <w:tr>
        <w:tc>
          <w:tcPr/>
          <w:p>
            <w:pPr>
              <w:pStyle w:val="Compact"/>
              <w:jc w:val="left"/>
            </w:pPr>
            <w:r>
              <w:rPr>
                <w:bCs/>
                <w:b/>
              </w:rPr>
              <w:t xml:space="preserve">Total Scope 3 Emissions</w:t>
            </w:r>
          </w:p>
        </w:tc>
        <w:tc>
          <w:tcPr/>
          <w:p>
            <w:pPr>
              <w:pStyle w:val="Compact"/>
              <w:jc w:val="left"/>
            </w:pPr>
            <w:r>
              <w:t xml:space="preserve">45.528</w:t>
            </w:r>
          </w:p>
        </w:tc>
        <w:tc>
          <w:tcPr/>
          <w:p>
            <w:pPr>
              <w:pStyle w:val="Compact"/>
              <w:jc w:val="left"/>
            </w:pPr>
            <w:r>
              <w:t xml:space="preserve">84.86%</w:t>
            </w:r>
          </w:p>
        </w:tc>
      </w:tr>
      <w:tr>
        <w:tc>
          <w:tcPr/>
          <w:p>
            <w:pPr>
              <w:pStyle w:val="Compact"/>
              <w:jc w:val="left"/>
            </w:pPr>
            <w:r>
              <w:rPr>
                <w:bCs/>
                <w:b/>
              </w:rPr>
              <w:t xml:space="preserve">Total Product Carbon Footprint (PCF)</w:t>
            </w:r>
          </w:p>
        </w:tc>
        <w:tc>
          <w:tcPr/>
          <w:p>
            <w:pPr>
              <w:pStyle w:val="Compact"/>
              <w:jc w:val="left"/>
            </w:pPr>
            <w:r>
              <w:rPr>
                <w:bCs/>
                <w:b/>
              </w:rPr>
              <w:t xml:space="preserve">53.653</w:t>
            </w:r>
          </w:p>
        </w:tc>
        <w:tc>
          <w:tcPr/>
          <w:p>
            <w:pPr>
              <w:pStyle w:val="Compact"/>
              <w:jc w:val="left"/>
            </w:pPr>
            <w:r>
              <w:rPr>
                <w:bCs/>
                <w:b/>
              </w:rPr>
              <w:t xml:space="preserve">100.00%</w:t>
            </w:r>
          </w:p>
        </w:tc>
      </w:tr>
    </w:tbl>
    <w:p>
      <w:r>
        <w:pict>
          <v:rect style="width:0;height:1.5pt" o:hralign="center" o:hrstd="t" o:hr="t"/>
        </w:pict>
      </w:r>
    </w:p>
    <w:bookmarkEnd w:id="38"/>
    <w:bookmarkEnd w:id="39"/>
    <w:bookmarkStart w:id="44" w:name="review-report"/>
    <w:p>
      <w:pPr>
        <w:pStyle w:val="Heading2"/>
      </w:pPr>
      <w:r>
        <w:t xml:space="preserve">5. Review &amp; Report</w:t>
      </w:r>
    </w:p>
    <w:bookmarkStart w:id="40" w:name="hotspot-identification"/>
    <w:p>
      <w:pPr>
        <w:pStyle w:val="Heading3"/>
      </w:pPr>
      <w:r>
        <w:t xml:space="preserve">Hotspot Identification</w:t>
      </w:r>
    </w:p>
    <w:p>
      <w:pPr>
        <w:pStyle w:val="FirstParagraph"/>
      </w:pPr>
      <w:r>
        <w:t xml:space="preserve">The analysis reveals the following key emission hotspots for the Advanced IoT Sensor (fwkijeeoyw):</w:t>
      </w:r>
    </w:p>
    <w:p>
      <w:pPr>
        <w:numPr>
          <w:ilvl w:val="0"/>
          <w:numId w:val="1015"/>
        </w:numPr>
        <w:pStyle w:val="Compact"/>
      </w:pPr>
      <w:r>
        <w:rPr>
          <w:bCs/>
          <w:b/>
        </w:rPr>
        <w:t xml:space="preserve">Use Phase (60.57%):</w:t>
      </w:r>
      <w:r>
        <w:t xml:space="preserve"> </w:t>
      </w:r>
      <w:r>
        <w:t xml:space="preserve">The most significant contributor to the product\'s carbon footprint is the energy consumption during its 5-year operational lifespan. This highlights the critical importance of energy efficiency in product design and the energy mix of its operational environment.</w:t>
      </w:r>
    </w:p>
    <w:p>
      <w:pPr>
        <w:numPr>
          <w:ilvl w:val="0"/>
          <w:numId w:val="1015"/>
        </w:numPr>
        <w:pStyle w:val="Compact"/>
      </w:pPr>
      <w:r>
        <w:rPr>
          <w:bCs/>
          <w:b/>
        </w:rPr>
        <w:t xml:space="preserve">Downstream Transportation &amp; Distribution (18.64%):</w:t>
      </w:r>
      <w:r>
        <w:t xml:space="preserve"> </w:t>
      </w:r>
      <w:r>
        <w:t xml:space="preserve">Last-mile delivery emerges as a substantial hotspot, indicating that optimizing final distribution logistics is crucial for reducing the product\'s overall footprint.</w:t>
      </w:r>
    </w:p>
    <w:p>
      <w:pPr>
        <w:numPr>
          <w:ilvl w:val="0"/>
          <w:numId w:val="1015"/>
        </w:numPr>
        <w:pStyle w:val="Compact"/>
      </w:pPr>
      <w:r>
        <w:rPr>
          <w:bCs/>
          <w:b/>
        </w:rPr>
        <w:t xml:space="preserve">Manufacturing (Scope 2, 15.14%):</w:t>
      </w:r>
      <w:r>
        <w:t xml:space="preserve"> </w:t>
      </w:r>
      <w:r>
        <w:t xml:space="preserve">Purchased electricity for manufacturing in China, despite 50% renewable energy usage, still represents a notable portion due to the regional grid\'s emission intensity. Further increasing renewable energy procurement or improving manufacturing efficiency can significantly reduce this impact.</w:t>
      </w:r>
    </w:p>
    <w:p>
      <w:pPr>
        <w:numPr>
          <w:ilvl w:val="0"/>
          <w:numId w:val="1015"/>
        </w:numPr>
        <w:pStyle w:val="Compact"/>
      </w:pPr>
      <w:r>
        <w:rPr>
          <w:bCs/>
          <w:b/>
        </w:rPr>
        <w:t xml:space="preserve">Materials (Scope 3, Category 1, 7.85%):</w:t>
      </w:r>
      <w:r>
        <w:t xml:space="preserve"> </w:t>
      </w:r>
      <w:r>
        <w:t xml:space="preserve">While not the largest hotspot, material selection and optimization remain important, particularly for high-impact components like aluminum and batteries.</w:t>
      </w:r>
    </w:p>
    <w:bookmarkEnd w:id="40"/>
    <w:bookmarkStart w:id="41" w:name="reliability-and-data-quality"/>
    <w:p>
      <w:pPr>
        <w:pStyle w:val="Heading3"/>
      </w:pPr>
      <w:r>
        <w:t xml:space="preserve">Reliability and Data Quality</w:t>
      </w:r>
    </w:p>
    <w:p>
      <w:pPr>
        <w:pStyle w:val="FirstParagraph"/>
      </w:pPr>
      <w:r>
        <w:t xml:space="preserve">This report utilizes specific primary data where provided (e.g., BOM for materials, energy usage parameters). For general emission factors, industry-standard databases such as Ecoinvent, DEFRA (UK Department for Energy Security and Net Zero), and IPCC guidelines were consulted. Where specific data was unavailable for placeholder values, reasonable assumptions based on typical industry averages were made and explicitly stated. The reliability of the results is dependent on the accuracy of these inputs and assumptions. To enhance reliability in future assessments, company-specific primary data for all life cycle stages should be gathered.</w:t>
      </w:r>
    </w:p>
    <w:bookmarkEnd w:id="41"/>
    <w:bookmarkStart w:id="42" w:name="X659839d91fd99b9c1312e5baaf931415fce1a8c"/>
    <w:p>
      <w:pPr>
        <w:pStyle w:val="Heading3"/>
      </w:pPr>
      <w:r>
        <w:t xml:space="preserve">Adherence to GHG Protocol &amp; 2026 LSR Update</w:t>
      </w:r>
    </w:p>
    <w:p>
      <w:pPr>
        <w:numPr>
          <w:ilvl w:val="0"/>
          <w:numId w:val="1016"/>
        </w:numPr>
        <w:pStyle w:val="Compact"/>
      </w:pPr>
      <w:r>
        <w:rPr>
          <w:bCs/>
          <w:b/>
        </w:rPr>
        <w:t xml:space="preserve">GHG Protocol:</w:t>
      </w:r>
      <w:r>
        <w:t xml:space="preserve"> </w:t>
      </w:r>
      <w:r>
        <w:t xml:space="preserve">All emissions are categorized and reported according to the GHG Protocol Product Standard, distinguishing between Scope 1, Scope 2, and Scope 3 emissions.</w:t>
      </w:r>
    </w:p>
    <w:p>
      <w:pPr>
        <w:numPr>
          <w:ilvl w:val="0"/>
          <w:numId w:val="1016"/>
        </w:numPr>
        <w:pStyle w:val="Compact"/>
      </w:pPr>
      <w:r>
        <w:rPr>
          <w:bCs/>
          <w:b/>
        </w:rPr>
        <w:t xml:space="preserve">2026 LSR Update:</w:t>
      </w:r>
      <w:r>
        <w:t xml:space="preserve"> </w:t>
      </w:r>
      <w:r>
        <w:t xml:space="preserve">The Land Sector and Removals (LSR) Standard is acknowledged and considered. For this specific product, no direct land use change or carbon removal activities were identified that significantly impact the PCF. However, for products with bio-based materials or significant land footprint, the LSR update would require detailed assessment of biogenic carbon flows and land use change emissions and removals.</w:t>
      </w:r>
    </w:p>
    <w:p>
      <w:pPr>
        <w:numPr>
          <w:ilvl w:val="0"/>
          <w:numId w:val="1016"/>
        </w:numPr>
        <w:pStyle w:val="Compact"/>
      </w:pPr>
      <w:r>
        <w:rPr>
          <w:bCs/>
          <w:b/>
        </w:rPr>
        <w:t xml:space="preserve">Scope 3 Compliance:</w:t>
      </w:r>
      <w:r>
        <w:t xml:space="preserve"> </w:t>
      </w:r>
      <w:r>
        <w:t xml:space="preserve">This report provides comprehensive coverage of Scope 3 emissions, including purchased goods and services, transportation (upstream and downstream), use of sold products, and end-of-life treatment. The detailed analysis covers well over 95% of the estimated total emissions for the product\'s value chain, meeting the 2026 requirements for robust Scope 3 reporting.</w:t>
      </w:r>
    </w:p>
    <w:bookmarkEnd w:id="42"/>
    <w:bookmarkStart w:id="43" w:name="recommendations"/>
    <w:p>
      <w:pPr>
        <w:pStyle w:val="Heading3"/>
      </w:pPr>
      <w:r>
        <w:t xml:space="preserve">Recommendations</w:t>
      </w:r>
    </w:p>
    <w:p>
      <w:pPr>
        <w:pStyle w:val="FirstParagraph"/>
      </w:pPr>
      <w:r>
        <w:t xml:space="preserve">Based on this PCF analysis, llxkprtekw is recommended to focus on:</w:t>
      </w:r>
    </w:p>
    <w:p>
      <w:pPr>
        <w:numPr>
          <w:ilvl w:val="0"/>
          <w:numId w:val="1017"/>
        </w:numPr>
        <w:pStyle w:val="Compact"/>
      </w:pPr>
      <w:r>
        <w:rPr>
          <w:bCs/>
          <w:b/>
        </w:rPr>
        <w:t xml:space="preserve">Enhancing Use Phase Efficiency:</w:t>
      </w:r>
      <w:r>
        <w:t xml:space="preserve"> </w:t>
      </w:r>
      <w:r>
        <w:t xml:space="preserve">Invest in R&amp;D to significantly reduce the product\'s energy consumption during its operational life. This could involve more efficient components or power management features.</w:t>
      </w:r>
    </w:p>
    <w:p>
      <w:pPr>
        <w:numPr>
          <w:ilvl w:val="0"/>
          <w:numId w:val="1017"/>
        </w:numPr>
        <w:pStyle w:val="Compact"/>
      </w:pPr>
      <w:r>
        <w:rPr>
          <w:bCs/>
          <w:b/>
        </w:rPr>
        <w:t xml:space="preserve">Optimizing Logistics:</w:t>
      </w:r>
      <w:r>
        <w:t xml:space="preserve"> </w:t>
      </w:r>
      <w:r>
        <w:t xml:space="preserve">Explore more carbon-efficient modes for last-mile delivery and optimize routing for distribution. Partnering with logistics providers committed to low-carbon solutions would be beneficial.</w:t>
      </w:r>
    </w:p>
    <w:p>
      <w:pPr>
        <w:numPr>
          <w:ilvl w:val="0"/>
          <w:numId w:val="1017"/>
        </w:numPr>
        <w:pStyle w:val="Compact"/>
      </w:pPr>
      <w:r>
        <w:rPr>
          <w:bCs/>
          <w:b/>
        </w:rPr>
        <w:t xml:space="preserve">Increasing Renewable Energy Procurement:</w:t>
      </w:r>
      <w:r>
        <w:t xml:space="preserve"> </w:t>
      </w:r>
      <w:r>
        <w:t xml:space="preserve">Further increase the share of renewable energy used in the Chinese manufacturing facility, potentially through direct power purchase agreements or investing in on-site renewables.</w:t>
      </w:r>
    </w:p>
    <w:p>
      <w:pPr>
        <w:numPr>
          <w:ilvl w:val="0"/>
          <w:numId w:val="1017"/>
        </w:numPr>
        <w:pStyle w:val="Compact"/>
      </w:pPr>
      <w:r>
        <w:rPr>
          <w:bCs/>
          <w:b/>
        </w:rPr>
        <w:t xml:space="preserve">Material Innovation:</w:t>
      </w:r>
      <w:r>
        <w:t xml:space="preserve"> </w:t>
      </w:r>
      <w:r>
        <w:t xml:space="preserve">Investigate lower-carbon alternatives for significant material inputs, particularly for components like aluminum and batteries, while maintaining product performance.</w:t>
      </w:r>
    </w:p>
    <w:p>
      <w:pPr>
        <w:numPr>
          <w:ilvl w:val="0"/>
          <w:numId w:val="1017"/>
        </w:numPr>
        <w:pStyle w:val="Compact"/>
      </w:pPr>
      <w:r>
        <w:rPr>
          <w:bCs/>
          <w:b/>
        </w:rPr>
        <w:t xml:space="preserve">Strengthening Circularity:</w:t>
      </w:r>
      <w:r>
        <w:t xml:space="preserve"> </w:t>
      </w:r>
      <w:r>
        <w:t xml:space="preserve">Continue to develop and promote the product take-back program to maximize recycling and reuse rates, further increasing the end-of-life credit.</w: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Advanced IoT Sensor (fwkijeeoyw)</dc:title>
  <dc:creator/>
  <dc:description>High-detail Product Carbon Footprint (PCF) analysis report for Advanced IoT Sensor (fwkijeeoyw) by llxkprtekw, following GHG Protocol standards and 2026 LSR update.</dc:description>
  <dc:language>en</dc:language>
  <cp:keywords/>
  <dcterms:created xsi:type="dcterms:W3CDTF">2026-07-15T05:32:45Z</dcterms:created>
  <dcterms:modified xsi:type="dcterms:W3CDTF">2026-07-15T05:32:45Z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