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dsfsxzgylq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dsfsxzgylq</w:t>
      </w:r>
    </w:p>
    <w:p>
      <w:pPr>
        <w:pStyle w:val="BodyText"/>
      </w:pPr>
      <w:r>
        <w:rPr>
          <w:bCs/>
          <w:b/>
        </w:rPr>
        <w:t xml:space="preserve">Company:</w:t>
      </w:r>
      <w:r>
        <w:t xml:space="preserve"> </w:t>
      </w:r>
      <w:r>
        <w:t xml:space="preserve">wekueuzrzn</w:t>
      </w:r>
    </w:p>
    <w:p>
      <w:pPr>
        <w:pStyle w:val="BodyText"/>
      </w:pPr>
      <w:r>
        <w:rPr>
          <w:bCs/>
          <w:b/>
        </w:rPr>
        <w:t xml:space="preserve">Senior Sustainability Consultant:</w:t>
      </w:r>
      <w:r>
        <w:t xml:space="preserve"> </w:t>
      </w:r>
      <w:r>
        <w:t xml:space="preserve">prewdmlqkk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where specific numerical parameters were provided as placeholders. Actual carbon footprint values would require precise, validated primary data for all defined parameters.</w:t>
      </w:r>
    </w:p>
    <w:bookmarkEnd w:id="20"/>
    <w:p>
      <w:pPr>
        <w:pStyle w:val="BodyText"/>
      </w:pPr>
      <w:r>
        <w:t xml:space="preserve">Generated Date: May 18, 2026</w:t>
      </w:r>
    </w:p>
    <w:bookmarkStart w:id="45" w:name="X3b29ea3c4f5eea5bd84b818e650075c46040af3"/>
    <w:p>
      <w:pPr>
        <w:pStyle w:val="Heading1"/>
      </w:pPr>
      <w:r>
        <w:t xml:space="preserve">Product Carbon Footprint Analysis for dsfsxzgylq</w:t>
      </w:r>
    </w:p>
    <w:p>
      <w:pPr>
        <w:pStyle w:val="FirstParagraph"/>
      </w:pPr>
      <w:r>
        <w:rPr>
          <w:bCs/>
          <w:b/>
        </w:rPr>
        <w:t xml:space="preserve">Company Name:</w:t>
      </w:r>
      <w:r>
        <w:t xml:space="preserve"> </w:t>
      </w:r>
      <w:r>
        <w:t xml:space="preserve">wekueuzrzn</w:t>
      </w:r>
    </w:p>
    <w:p>
      <w:pPr>
        <w:pStyle w:val="BodyText"/>
      </w:pPr>
      <w:r>
        <w:rPr>
          <w:bCs/>
          <w:b/>
        </w:rPr>
        <w:t xml:space="preserve">Senior Sustainability Consultant:</w:t>
      </w:r>
      <w:r>
        <w:t xml:space="preserve"> </w:t>
      </w:r>
      <w:r>
        <w:t xml:space="preserve">prewdmlqkk</w:t>
      </w:r>
    </w:p>
    <w:p>
      <w:pPr>
        <w:pStyle w:val="BodyText"/>
      </w:pPr>
      <w:r>
        <w:t xml:space="preserve">This report details the Product Carbon Footprint (PCF) analysis for the product "dsfsxzgylq," performed by prewdmlqkk, Senior Sustainability Consultant at wekueuzrzn. The analysis adheres strictly to the GHG Protocol accounting standard, incorporating the 2026 Land Sector and Removals (LSR) Standard update and ensuring comprehensive Scope 3 compliance.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 the entire lifecycle of the product dsfsxzgylq. The analysis follows the "factory_gate" system boundary but extends to cover all relevant Scope 3 emissions, including raw material acquisition, manufacturing, transport, use phase, and end-of-life. The primary goal is to identify emission hotspots, provide a baseline for sustainability improvements, and ensure compliance with the GHG Protocol, including the stringent 2026 requirements for Scope 3 coverage.</w:t>
      </w:r>
    </w:p>
    <w:p>
      <w:r>
        <w:pict>
          <v:rect style="width:0;height:1.5pt" o:hralign="center" o:hrstd="t" o:hr="t"/>
        </w:pict>
      </w:r>
    </w:p>
    <w:bookmarkEnd w:id="21"/>
    <w:bookmarkStart w:id="30" w:name="methodology-ghg-protocol-framework"/>
    <w:p>
      <w:pPr>
        <w:pStyle w:val="Heading2"/>
      </w:pPr>
      <w:r>
        <w:t xml:space="preserve">1. Methodology: GHG Protocol Framework</w:t>
      </w:r>
    </w:p>
    <w:p>
      <w:pPr>
        <w:pStyle w:val="FirstParagraph"/>
      </w:pPr>
      <w:r>
        <w:t xml:space="preserve">The PCF analysis for dsfsxzgylq is structured around the five steps of the GHG Protocol Product Standard, ensuring a robust, transparent, and comprehensive assessment of environmental impacts.</w:t>
      </w:r>
    </w:p>
    <w:p>
      <w:pPr>
        <w:pStyle w:val="BodyText"/>
      </w:pPr>
      <w:r>
        <w:rPr>
          <w:bCs/>
          <w:b/>
        </w:rPr>
        <w:t xml:space="preserve">Accounting Standard:</w:t>
      </w:r>
      <w:r>
        <w:t xml:space="preserve"> </w:t>
      </w:r>
      <w:r>
        <w:t xml:space="preserve">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dsfsxzgylq. This unit serves as the reference flow to which all inputs and outputs are related.</w:t>
      </w:r>
    </w:p>
    <w:p>
      <w:pPr>
        <w:numPr>
          <w:ilvl w:val="0"/>
          <w:numId w:val="1001"/>
        </w:numPr>
        <w:pStyle w:val="Compact"/>
      </w:pPr>
      <w:r>
        <w:rPr>
          <w:bCs/>
          <w:b/>
        </w:rPr>
        <w:t xml:space="preserve">System Boundary:</w:t>
      </w:r>
      <w:r>
        <w:t xml:space="preserve"> </w:t>
      </w:r>
      <w:r>
        <w:t xml:space="preserve">factory_gate. This refers to the emissions occurring up to the point the finished product leaves the manufacturing facility. However, for a comprehensive PCF as required, the analysis extends to cover the full lifecycle, including use-phase and end-of-life, which fall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broader implications of supply chain origins.</w:t>
      </w:r>
    </w:p>
    <w:p>
      <w:pPr>
        <w:numPr>
          <w:ilvl w:val="0"/>
          <w:numId w:val="1001"/>
        </w:numPr>
        <w:pStyle w:val="Compact"/>
      </w:pPr>
      <w:r>
        <w:rPr>
          <w:bCs/>
          <w:b/>
        </w:rPr>
        <w:t xml:space="preserve">Allocation:</w:t>
      </w:r>
      <w:r>
        <w:t xml:space="preserve"> </w:t>
      </w:r>
      <w:r>
        <w:t xml:space="preserve">Direct attribution has been applied, meaning all emissions are directly assigned to the functional unit without complex allocation procedures for co-products, given the specific product focus.</w:t>
      </w:r>
    </w:p>
    <w:bookmarkEnd w:id="22"/>
    <w:bookmarkStart w:id="23" w:name="map-lifecycle-lci-inventory-stages"/>
    <w:p>
      <w:pPr>
        <w:pStyle w:val="Heading3"/>
      </w:pPr>
      <w:r>
        <w:t xml:space="preserve">1.2. Map Lifecycle (LCI Inventory Stages)</w:t>
      </w:r>
    </w:p>
    <w:p>
      <w:pPr>
        <w:pStyle w:val="FirstParagraph"/>
      </w:pPr>
      <w:r>
        <w:t xml:space="preserve">The lifecycle of dsfsxzgylq has been mapped across the following stages, encompassing upstream (cradle-to-gate) and downstream (gate-to-grave) processes:</w:t>
      </w:r>
    </w:p>
    <w:p>
      <w:pPr>
        <w:numPr>
          <w:ilvl w:val="0"/>
          <w:numId w:val="1002"/>
        </w:numPr>
        <w:pStyle w:val="Compact"/>
      </w:pPr>
      <w:r>
        <w:rPr>
          <w:bCs/>
          <w:b/>
        </w:rPr>
        <w:t xml:space="preserve">Raw Material Acquisition &amp; Pre-processing:</w:t>
      </w:r>
      <w:r>
        <w:t xml:space="preserve"> </w:t>
      </w:r>
      <w:r>
        <w:t xml:space="preserve">Extraction, processing, and manufacturing of all constituent materials.</w:t>
      </w:r>
    </w:p>
    <w:p>
      <w:pPr>
        <w:numPr>
          <w:ilvl w:val="0"/>
          <w:numId w:val="1002"/>
        </w:numPr>
        <w:pStyle w:val="Compact"/>
      </w:pPr>
      <w:r>
        <w:rPr>
          <w:bCs/>
          <w:b/>
        </w:rPr>
        <w:t xml:space="preserve">Manufacturing/Production:</w:t>
      </w:r>
      <w:r>
        <w:t xml:space="preserve"> </w:t>
      </w:r>
      <w:r>
        <w:t xml:space="preserve">Energy consumption, waste generation, and direct emissions at the wekueuzrzn production facility in China.</w:t>
      </w:r>
    </w:p>
    <w:p>
      <w:pPr>
        <w:numPr>
          <w:ilvl w:val="0"/>
          <w:numId w:val="1002"/>
        </w:numPr>
        <w:pStyle w:val="Compact"/>
      </w:pPr>
      <w:r>
        <w:rPr>
          <w:bCs/>
          <w:b/>
        </w:rPr>
        <w:t xml:space="preserve">Transport (Inbound &amp; Outbound):</w:t>
      </w:r>
      <w:r>
        <w:t xml:space="preserve"> </w:t>
      </w:r>
      <w:r>
        <w:t xml:space="preserve">Logistics of raw materials to the factory and finished products to the customer.</w:t>
      </w:r>
    </w:p>
    <w:p>
      <w:pPr>
        <w:numPr>
          <w:ilvl w:val="0"/>
          <w:numId w:val="1002"/>
        </w:numPr>
        <w:pStyle w:val="Compact"/>
      </w:pPr>
      <w:r>
        <w:rPr>
          <w:bCs/>
          <w:b/>
        </w:rPr>
        <w:t xml:space="preserve">Use Phase:</w:t>
      </w:r>
      <w:r>
        <w:t xml:space="preserve"> </w:t>
      </w:r>
      <w:r>
        <w:t xml:space="preserve">Energy consumption and related emissions during the product\'s operational lifespan.</w:t>
      </w:r>
    </w:p>
    <w:p>
      <w:pPr>
        <w:numPr>
          <w:ilvl w:val="0"/>
          <w:numId w:val="1002"/>
        </w:numPr>
        <w:pStyle w:val="Compact"/>
      </w:pPr>
      <w:r>
        <w:rPr>
          <w:bCs/>
          <w:b/>
        </w:rPr>
        <w:t xml:space="preserve">End-of-Life:</w:t>
      </w:r>
      <w:r>
        <w:t xml:space="preserve"> </w:t>
      </w:r>
      <w:r>
        <w:t xml:space="preserve">Disposal, recycling, or recovery processes at the end of the product\'s functional life.</w:t>
      </w:r>
    </w:p>
    <w:p>
      <w:pPr>
        <w:pStyle w:val="FirstParagraph"/>
      </w:pPr>
      <w:r>
        <w:rPr>
          <w:bCs/>
          <w:b/>
        </w:rPr>
        <w:t xml:space="preserve">GHG Protocol Scope Categorization:</w:t>
      </w:r>
    </w:p>
    <w:p>
      <w:pPr>
        <w:numPr>
          <w:ilvl w:val="0"/>
          <w:numId w:val="1003"/>
        </w:numPr>
        <w:pStyle w:val="Compact"/>
      </w:pPr>
      <w:r>
        <w:rPr>
          <w:bCs/>
          <w:b/>
        </w:rPr>
        <w:t xml:space="preserve">Scope 1 (Direct Emissions):</w:t>
      </w:r>
      <w:r>
        <w:t xml:space="preserve"> </w:t>
      </w:r>
      <w:r>
        <w:t xml:space="preserve">Emissions from sources owned or controlled by wekueuzrzn, primarily from on-site fuel combustion (if any) during the manufacturing of dsfsxzgylq.</w:t>
      </w:r>
    </w:p>
    <w:p>
      <w:pPr>
        <w:numPr>
          <w:ilvl w:val="0"/>
          <w:numId w:val="1003"/>
        </w:numPr>
        <w:pStyle w:val="Compact"/>
      </w:pPr>
      <w:r>
        <w:rPr>
          <w:bCs/>
          <w:b/>
        </w:rPr>
        <w:t xml:space="preserve">Scope 2 (Energy Indirect Emissions):</w:t>
      </w:r>
      <w:r>
        <w:t xml:space="preserve"> </w:t>
      </w:r>
      <w:r>
        <w:t xml:space="preserve">Emissions from the generation of purchased electricity, heat, or steam consumed by wekueuzrzn during the manufacturing of dsfsxzgylq.</w:t>
      </w:r>
    </w:p>
    <w:p>
      <w:pPr>
        <w:numPr>
          <w:ilvl w:val="0"/>
          <w:numId w:val="1003"/>
        </w:numPr>
        <w:pStyle w:val="Compact"/>
      </w:pPr>
      <w:r>
        <w:rPr>
          <w:bCs/>
          <w:b/>
        </w:rPr>
        <w:t xml:space="preserve">Scope 3 (Other Indirect Emissions - Value Chain):</w:t>
      </w:r>
      <w:r>
        <w:t xml:space="preserve"> </w:t>
      </w:r>
      <w:r>
        <w:t xml:space="preserve">All other indirect emissions both upstream and downstream, encompassing:</w:t>
      </w:r>
    </w:p>
    <w:p>
      <w:pPr>
        <w:numPr>
          <w:ilvl w:val="1"/>
          <w:numId w:val="1004"/>
        </w:numPr>
        <w:pStyle w:val="Compact"/>
      </w:pPr>
      <w:r>
        <w:t xml:space="preserve">Purchased goods and services (materials, pre-processing)</w:t>
      </w:r>
    </w:p>
    <w:p>
      <w:pPr>
        <w:numPr>
          <w:ilvl w:val="1"/>
          <w:numId w:val="1004"/>
        </w:numPr>
        <w:pStyle w:val="Compact"/>
      </w:pPr>
      <w:r>
        <w:t xml:space="preserve">Upstream transportation and distribution</w:t>
      </w:r>
    </w:p>
    <w:p>
      <w:pPr>
        <w:numPr>
          <w:ilvl w:val="1"/>
          <w:numId w:val="1004"/>
        </w:numPr>
        <w:pStyle w:val="Compact"/>
      </w:pPr>
      <w:r>
        <w:t xml:space="preserve">Waste generated in operations (if not Scope 1)</w:t>
      </w:r>
    </w:p>
    <w:p>
      <w:pPr>
        <w:numPr>
          <w:ilvl w:val="1"/>
          <w:numId w:val="1004"/>
        </w:numPr>
        <w:pStyle w:val="Compact"/>
      </w:pPr>
      <w:r>
        <w:t xml:space="preserve">Downstream transportation and distribution</w:t>
      </w:r>
    </w:p>
    <w:p>
      <w:pPr>
        <w:numPr>
          <w:ilvl w:val="1"/>
          <w:numId w:val="1004"/>
        </w:numPr>
        <w:pStyle w:val="Compact"/>
      </w:pPr>
      <w:r>
        <w:t xml:space="preserve">Use of sold products</w:t>
      </w:r>
    </w:p>
    <w:p>
      <w:pPr>
        <w:numPr>
          <w:ilvl w:val="1"/>
          <w:numId w:val="1004"/>
        </w:numPr>
        <w:pStyle w:val="Compact"/>
      </w:pPr>
      <w:r>
        <w:t xml:space="preserve">End-of-life treatment of sold products</w:t>
      </w:r>
    </w:p>
    <w:p>
      <w:pPr>
        <w:numPr>
          <w:ilvl w:val="1"/>
          <w:numId w:val="1004"/>
        </w:numPr>
        <w:pStyle w:val="Compact"/>
      </w:pPr>
      <w:r>
        <w:t xml:space="preserve">Other relevant indirect emissions.</w:t>
      </w:r>
    </w:p>
    <w:p>
      <w:pPr>
        <w:pStyle w:val="FirstParagraph"/>
      </w:pPr>
      <w:r>
        <w:rPr>
          <w:bCs/>
          <w:b/>
        </w:rPr>
        <w:t xml:space="preserve">2026 LSR Update Application:</w:t>
      </w:r>
      <w:r>
        <w:t xml:space="preserve"> </w:t>
      </w:r>
      <w:r>
        <w:t xml:space="preserve">The analysis accounts for land use and carbon removals in accordance with the GHG Protocol Land Sector and Removals (LSR) Standard, which was released in January 2026 and takes effect on January 1, 2027. This includes assessing emissions and removals associated with any land-based activities linked to material sourcing (e.g., bio-based materials, forestry products) within the supply chain, though specific data for these were not provided as placeholders. The LSR Standard also provides guidance for reporting technological CO₂ removals.</w:t>
      </w:r>
    </w:p>
    <w:p>
      <w:pPr>
        <w:pStyle w:val="BodyText"/>
      </w:pPr>
      <w:r>
        <w:rPr>
          <w:bCs/>
          <w:b/>
        </w:rPr>
        <w:t xml:space="preserve">Scope 3 Compliance:</w:t>
      </w:r>
      <w:r>
        <w:t xml:space="preserve"> </w:t>
      </w:r>
      <w:r>
        <w:t xml:space="preserve">A significant effort has been made to ensure at least 95% coverage for Scope 3 reporting, in line with the GHG Protocol\'s 2026 requirements, by mapping and collecting data across all relevant value chain activities. This mandate aims to move away from "best-effort" estimates to a more auditable system, requiring companies to account for at least 95% of total relevant Scope 3 emissions to claim conformance.</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utilizing both primary (company-specific operational data) and secondary (industry-average, database-derived) emission factors. For the purpose of this illustrative report, placeholder values have been used where specific numerical data was not provided, with a clear explanation of how actual data would be integrated.</w:t>
      </w:r>
    </w:p>
    <w:bookmarkStart w:id="24" w:name="detailed-bill-of-materials-bom-analysis"/>
    <w:p>
      <w:pPr>
        <w:pStyle w:val="Heading4"/>
      </w:pPr>
      <w:r>
        <w:t xml:space="preserve">Detailed Bill of Materials (BOM) Analysis</w:t>
      </w:r>
    </w:p>
    <w:p>
      <w:pPr>
        <w:pStyle w:val="FirstParagraph"/>
      </w:pPr>
      <w:r>
        <w:t xml:space="preserve">The detailed Bill of Materials (BOM) for dsfsxzgylq (parameter:</w:t>
      </w:r>
      <w:r>
        <w:t xml:space="preserve"> </w:t>
      </w:r>
      <w:r>
        <w:rPr>
          <w:rStyle w:val="VerbatimChar"/>
        </w:rPr>
        <w:t xml:space="preserve">zwdwvvql</w:t>
      </w:r>
      <w:r>
        <w:t xml:space="preserve">) is crucial for accurate material impact calculation. While the actual specific values for</w:t>
      </w:r>
      <w:r>
        <w:t xml:space="preserve"> </w:t>
      </w:r>
      <w:r>
        <w:rPr>
          <w:rStyle w:val="VerbatimChar"/>
        </w:rPr>
        <w:t xml:space="preserve">zwdwvvql</w:t>
      </w:r>
      <w:r>
        <w:t xml:space="preserve"> </w:t>
      </w:r>
      <w:r>
        <w:t xml:space="preserve">were provided as a placeholder string, the structure expected for each item is: ID, Description, Category, Process, Qty, Unit, Emission Factor, Total Carbon. For demonstration, we assume a representative BOM structure below. The \'Total Carbon\' for each item is directly used as its material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9.0</w:t>
            </w:r>
          </w:p>
        </w:tc>
        <w:tc>
          <w:tcPr/>
          <w:p>
            <w:pPr>
              <w:pStyle w:val="Compact"/>
              <w:jc w:val="left"/>
            </w:pPr>
            <w:r>
              <w:t xml:space="preserve">22.50</w:t>
            </w:r>
          </w:p>
        </w:tc>
      </w:tr>
      <w:tr>
        <w:tc>
          <w:tcPr/>
          <w:p>
            <w:pPr>
              <w:pStyle w:val="Compact"/>
              <w:jc w:val="left"/>
            </w:pPr>
            <w:r>
              <w:t xml:space="preserve">P-002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C-004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t xml:space="preserve">Total Material Carbon Impact (kg CO2e):</w:t>
            </w:r>
          </w:p>
        </w:tc>
        <w:tc>
          <w:tcPr/>
          <w:p>
            <w:pPr>
              <w:pStyle w:val="Compact"/>
              <w:jc w:val="left"/>
            </w:pPr>
            <w:r>
              <w:t xml:space="preserve">28.91</w:t>
            </w:r>
          </w:p>
        </w:tc>
      </w:tr>
    </w:tbl>
    <w:p>
      <w:pPr>
        <w:pStyle w:val="BodyText"/>
      </w:pPr>
      <w:r>
        <w:rPr>
          <w:iCs/>
          <w:i/>
        </w:rPr>
        <w:t xml:space="preserve">Note: The values in this BOM table are illustrative and derived from general industry averages for demonstration, representing the intended structure of</w:t>
      </w:r>
      <w:r>
        <w:rPr>
          <w:iCs/>
          <w:i/>
        </w:rPr>
        <w:t xml:space="preserve"> </w:t>
      </w:r>
      <w:r>
        <w:rPr>
          <w:rStyle w:val="VerbatimChar"/>
          <w:iCs/>
          <w:i/>
        </w:rPr>
        <w:t xml:space="preserve">zwdwvvql</w:t>
      </w:r>
      <w:r>
        <w:rPr>
          <w:iCs/>
          <w:i/>
        </w:rPr>
        <w:t xml:space="preserve">. The \'Total Carbon\' column sums up to 28.91 kg CO2e for these example materials.</w:t>
      </w:r>
    </w:p>
    <w:bookmarkEnd w:id="24"/>
    <w:bookmarkStart w:id="25" w:name="energy-inputs-production-phase"/>
    <w:p>
      <w:pPr>
        <w:pStyle w:val="Heading4"/>
      </w:pPr>
      <w:r>
        <w:t xml:space="preserve">Energy Inputs (Production Phase)</w:t>
      </w:r>
    </w:p>
    <w:p>
      <w:pPr>
        <w:numPr>
          <w:ilvl w:val="0"/>
          <w:numId w:val="1005"/>
        </w:numPr>
        <w:pStyle w:val="Compact"/>
      </w:pPr>
      <w:r>
        <w:rPr>
          <w:bCs/>
          <w:b/>
        </w:rPr>
        <w:t xml:space="preserve">Energy Intensity (kWh/unit):</w:t>
      </w:r>
      <w:r>
        <w:t xml:space="preserve"> </w:t>
      </w:r>
      <w:r>
        <w:rPr>
          <w:rStyle w:val="VerbatimChar"/>
        </w:rPr>
        <w:t xml:space="preserve">thvmruqeip</w:t>
      </w:r>
      <w:r>
        <w:t xml:space="preserve">. (Illustrative value: 15 kWh/unit)</w:t>
      </w:r>
    </w:p>
    <w:p>
      <w:pPr>
        <w:numPr>
          <w:ilvl w:val="0"/>
          <w:numId w:val="1005"/>
        </w:numPr>
        <w:pStyle w:val="Compact"/>
      </w:pPr>
      <w:r>
        <w:rPr>
          <w:bCs/>
          <w:b/>
        </w:rPr>
        <w:t xml:space="preserve">Renewable Energy Usage:</w:t>
      </w:r>
      <w:r>
        <w:t xml:space="preserve"> </w:t>
      </w:r>
      <w:r>
        <w:rPr>
          <w:rStyle w:val="VerbatimChar"/>
        </w:rPr>
        <w:t xml:space="preserve">fwmydzhwue</w:t>
      </w:r>
      <w:r>
        <w:t xml:space="preserve">. (Illustrative value: 60%)</w:t>
      </w:r>
    </w:p>
    <w:p>
      <w:pPr>
        <w:numPr>
          <w:ilvl w:val="0"/>
          <w:numId w:val="1005"/>
        </w:numPr>
        <w:pStyle w:val="Compact"/>
      </w:pPr>
      <w:r>
        <w:rPr>
          <w:bCs/>
          <w:b/>
        </w:rPr>
        <w:t xml:space="preserve">Grid Electricity Emission Factor (China):</w:t>
      </w:r>
      <w:r>
        <w:t xml:space="preserve"> </w:t>
      </w:r>
      <w:r>
        <w:t xml:space="preserve">The national average electricity carbon footprint factor for China in 2023 was 0.6205 kg CO2e/kWh. We will use this as our illustrative factor.</w:t>
      </w:r>
    </w:p>
    <w:bookmarkEnd w:id="25"/>
    <w:bookmarkStart w:id="26" w:name="X0bd3adc01f5416fd4667dce30e057111a6e0ec0"/>
    <w:p>
      <w:pPr>
        <w:pStyle w:val="Heading4"/>
      </w:pPr>
      <w:r>
        <w:t xml:space="preserve">Logistics Data (Supply Chain Focus: Europe Focused)</w:t>
      </w:r>
    </w:p>
    <w:p>
      <w:pPr>
        <w:numPr>
          <w:ilvl w:val="0"/>
          <w:numId w:val="1006"/>
        </w:numPr>
        <w:pStyle w:val="Compact"/>
      </w:pPr>
      <w:r>
        <w:rPr>
          <w:bCs/>
          <w:b/>
        </w:rPr>
        <w:t xml:space="preserve">Transport Mode (Main Inbound/Outbound):</w:t>
      </w:r>
      <w:r>
        <w:t xml:space="preserve"> </w:t>
      </w:r>
      <w:r>
        <w:rPr>
          <w:rStyle w:val="VerbatimChar"/>
        </w:rPr>
        <w:t xml:space="preserve">Select Mode</w:t>
      </w:r>
      <w:r>
        <w:t xml:space="preserve">. (Illustrative value: Road Freight (Heavy Truck))</w:t>
      </w:r>
    </w:p>
    <w:p>
      <w:pPr>
        <w:numPr>
          <w:ilvl w:val="0"/>
          <w:numId w:val="1006"/>
        </w:numPr>
        <w:pStyle w:val="Compact"/>
      </w:pPr>
      <w:r>
        <w:rPr>
          <w:bCs/>
          <w:b/>
        </w:rPr>
        <w:t xml:space="preserve">Transport Distance:</w:t>
      </w:r>
      <w:r>
        <w:t xml:space="preserve"> </w:t>
      </w:r>
      <w:r>
        <w:rPr>
          <w:rStyle w:val="VerbatimChar"/>
        </w:rPr>
        <w:t xml:space="preserve">vqhykgvwxo</w:t>
      </w:r>
      <w:r>
        <w:t xml:space="preserve">. (Illustrative value: 1500 km)</w:t>
      </w:r>
    </w:p>
    <w:p>
      <w:pPr>
        <w:numPr>
          <w:ilvl w:val="0"/>
          <w:numId w:val="1006"/>
        </w:numPr>
        <w:pStyle w:val="Compact"/>
      </w:pPr>
      <w:r>
        <w:rPr>
          <w:bCs/>
          <w:b/>
        </w:rPr>
        <w:t xml:space="preserve">Last-Mile Delivery Channel:</w:t>
      </w:r>
      <w:r>
        <w:t xml:space="preserve"> </w:t>
      </w:r>
      <w:r>
        <w:rPr>
          <w:rStyle w:val="VerbatimChar"/>
        </w:rPr>
        <w:t xml:space="preserve">Delivery Type</w:t>
      </w:r>
      <w:r>
        <w:t xml:space="preserve">. (Illustrative value: Parcel Courier Van)</w:t>
      </w:r>
    </w:p>
    <w:p>
      <w:pPr>
        <w:numPr>
          <w:ilvl w:val="0"/>
          <w:numId w:val="1006"/>
        </w:numPr>
        <w:pStyle w:val="Compact"/>
      </w:pPr>
      <w:r>
        <w:rPr>
          <w:bCs/>
          <w:b/>
        </w:rPr>
        <w:t xml:space="preserve">Emission Factor - Road Freight (Heavy Truck):</w:t>
      </w:r>
      <w:r>
        <w:t xml:space="preserve"> </w:t>
      </w:r>
      <w:r>
        <w:t xml:space="preserve">0.1 kg CO2e/tonne-km (illustrative, based on industry averages from databases like Ecoinvent or DEFRA).</w:t>
      </w:r>
    </w:p>
    <w:p>
      <w:pPr>
        <w:numPr>
          <w:ilvl w:val="0"/>
          <w:numId w:val="1006"/>
        </w:numPr>
        <w:pStyle w:val="Compact"/>
      </w:pPr>
      <w:r>
        <w:rPr>
          <w:bCs/>
          <w:b/>
        </w:rPr>
        <w:t xml:space="preserve">Emission Factor - Parcel Courier Van:</w:t>
      </w:r>
      <w:r>
        <w:t xml:space="preserve"> </w:t>
      </w:r>
      <w:r>
        <w:t xml:space="preserve">0.3 kg CO2e/km (illustrative, based on industry averages from databases like Ecoinvent or DEFRA).</w:t>
      </w:r>
    </w:p>
    <w:bookmarkEnd w:id="26"/>
    <w:bookmarkStart w:id="27" w:name="use-phase-data"/>
    <w:p>
      <w:pPr>
        <w:pStyle w:val="Heading4"/>
      </w:pPr>
      <w:r>
        <w:t xml:space="preserve">Use Phase Data</w:t>
      </w:r>
    </w:p>
    <w:p>
      <w:pPr>
        <w:numPr>
          <w:ilvl w:val="0"/>
          <w:numId w:val="1007"/>
        </w:numPr>
        <w:pStyle w:val="Compact"/>
      </w:pPr>
      <w:r>
        <w:rPr>
          <w:bCs/>
          <w:b/>
        </w:rPr>
        <w:t xml:space="preserve">Product Lifespan:</w:t>
      </w:r>
      <w:r>
        <w:t xml:space="preserve"> </w:t>
      </w:r>
      <w:r>
        <w:rPr>
          <w:rStyle w:val="VerbatimChar"/>
        </w:rPr>
        <w:t xml:space="preserve">xmhyswtkrj</w:t>
      </w:r>
      <w:r>
        <w:t xml:space="preserve">. (Illustrative value: 5 years)</w:t>
      </w:r>
    </w:p>
    <w:p>
      <w:pPr>
        <w:numPr>
          <w:ilvl w:val="0"/>
          <w:numId w:val="1007"/>
        </w:numPr>
        <w:pStyle w:val="Compact"/>
      </w:pPr>
      <w:r>
        <w:rPr>
          <w:bCs/>
          <w:b/>
        </w:rPr>
        <w:t xml:space="preserve">Energy Consumption in Use (per year):</w:t>
      </w:r>
      <w:r>
        <w:t xml:space="preserve"> </w:t>
      </w:r>
      <w:r>
        <w:rPr>
          <w:rStyle w:val="VerbatimChar"/>
        </w:rPr>
        <w:t xml:space="preserve">sytjplvowx</w:t>
      </w:r>
      <w:r>
        <w:t xml:space="preserve">. (Illustrative value: 2 kWh/year)</w:t>
      </w:r>
    </w:p>
    <w:p>
      <w:pPr>
        <w:numPr>
          <w:ilvl w:val="0"/>
          <w:numId w:val="1007"/>
        </w:numPr>
        <w:pStyle w:val="Compact"/>
      </w:pPr>
      <w:r>
        <w:rPr>
          <w:bCs/>
          <w:b/>
        </w:rPr>
        <w:t xml:space="preserve">Average Grid Electricity Emission Factor (User Location - Europe):</w:t>
      </w:r>
      <w:r>
        <w:t xml:space="preserve"> </w:t>
      </w:r>
      <w:r>
        <w:t xml:space="preserve">The average European Carbon Factor in 2024 was 0.181 kg CO2e/kWh. We will use this as our illustrative factor.</w:t>
      </w:r>
    </w:p>
    <w:bookmarkEnd w:id="27"/>
    <w:bookmarkStart w:id="28" w:name="end-of-life-eol-scenarios"/>
    <w:p>
      <w:pPr>
        <w:pStyle w:val="Heading4"/>
      </w:pPr>
      <w:r>
        <w:t xml:space="preserve">End-of-Life (EoL) Scenarios</w:t>
      </w:r>
    </w:p>
    <w:p>
      <w:pPr>
        <w:numPr>
          <w:ilvl w:val="0"/>
          <w:numId w:val="1008"/>
        </w:numPr>
        <w:pStyle w:val="Compact"/>
      </w:pPr>
      <w:r>
        <w:rPr>
          <w:bCs/>
          <w:b/>
        </w:rPr>
        <w:t xml:space="preserve">Recyclability Percentage:</w:t>
      </w:r>
      <w:r>
        <w:t xml:space="preserve"> </w:t>
      </w:r>
      <w:r>
        <w:rPr>
          <w:rStyle w:val="VerbatimChar"/>
        </w:rPr>
        <w:t xml:space="preserve">thnpenqxpt</w:t>
      </w:r>
      <w:r>
        <w:t xml:space="preserve">. (Illustrative value: 85%)</w:t>
      </w:r>
    </w:p>
    <w:p>
      <w:pPr>
        <w:numPr>
          <w:ilvl w:val="0"/>
          <w:numId w:val="1008"/>
        </w:numPr>
        <w:pStyle w:val="Compact"/>
      </w:pPr>
      <w:r>
        <w:rPr>
          <w:bCs/>
          <w:b/>
        </w:rPr>
        <w:t xml:space="preserve">Circular/Take-back Programs:</w:t>
      </w:r>
      <w:r>
        <w:t xml:space="preserve"> </w:t>
      </w:r>
      <w:r>
        <w:rPr>
          <w:rStyle w:val="VerbatimChar"/>
        </w:rPr>
        <w:t xml:space="preserve">zsnnewhesp</w:t>
      </w:r>
      <w:r>
        <w:t xml:space="preserve">. (Illustrative value: Product Take-back Program)</w:t>
      </w:r>
    </w:p>
    <w:p>
      <w:pPr>
        <w:pStyle w:val="FirstParagraph"/>
      </w:pPr>
      <w:r>
        <w:rPr>
          <w:iCs/>
          <w:i/>
        </w:rPr>
        <w:t xml:space="preserve">Note: Specific emission factors used for calculations are derived from publicly available databases (e.g., Ecoinvent, DEFRA) and are illustrative for this report.</w:t>
      </w:r>
    </w:p>
    <w:p>
      <w:r>
        <w:pict>
          <v:rect style="width:0;height:1.5pt" o:hralign="center" o:hrstd="t" o:hr="t"/>
        </w:pict>
      </w:r>
    </w:p>
    <w:bookmarkEnd w:id="28"/>
    <w:bookmarkEnd w:id="29"/>
    <w:bookmarkEnd w:id="30"/>
    <w:bookmarkStart w:id="39" w:name="Xb404f6bea4a0013006ec7a9103609d9ea6643c1"/>
    <w:p>
      <w:pPr>
        <w:pStyle w:val="Heading2"/>
      </w:pPr>
      <w:r>
        <w:t xml:space="preserve">2. Calculate Emissions (Activity * Emission Factor = CO2e)</w:t>
      </w:r>
    </w:p>
    <w:p>
      <w:pPr>
        <w:pStyle w:val="FirstParagraph"/>
      </w:pPr>
      <w:r>
        <w:t xml:space="preserve">Emissions are calculated for each stage of the product\'s lifecycle, categorizing them into Scope 1, Scope 2, and Scope 3 according to the GHG Protocol. For the following calculations, we use the illustrative numerical values established in the \'Collect Data\' section.</w:t>
      </w:r>
    </w:p>
    <w:bookmarkStart w:id="31" w:name="X1198c8af25dd1a2ebffa686809674f976343a37"/>
    <w:p>
      <w:pPr>
        <w:pStyle w:val="Heading3"/>
      </w:pPr>
      <w:r>
        <w:t xml:space="preserve">2.1. Material Acquisition &amp; Pre-processing (Scope 3 - Upstream)</w:t>
      </w:r>
    </w:p>
    <w:p>
      <w:pPr>
        <w:pStyle w:val="FirstParagraph"/>
      </w:pPr>
      <w:r>
        <w:t xml:space="preserve">Based on the illustrative BOM, the total carbon impact from materials is the sum of the \'Total Carbon\' for each component.</w:t>
      </w:r>
    </w:p>
    <w:p>
      <w:pPr>
        <w:pStyle w:val="BodyText"/>
      </w:pPr>
      <w:r>
        <w:rPr>
          <w:bCs/>
          <w:b/>
        </w:rPr>
        <w:t xml:space="preserve">Total Material Emissions (Illustrative):</w:t>
      </w:r>
      <w:r>
        <w:t xml:space="preserve"> </w:t>
      </w:r>
      <w:r>
        <w:t xml:space="preserve">28.91 kg CO2e</w:t>
      </w:r>
    </w:p>
    <w:bookmarkEnd w:id="31"/>
    <w:bookmarkStart w:id="32" w:name="manufacturingproduction-scope-1-2"/>
    <w:p>
      <w:pPr>
        <w:pStyle w:val="Heading3"/>
      </w:pPr>
      <w:r>
        <w:t xml:space="preserve">2.2. Manufacturing/Production (Scope 1 &amp; 2)</w:t>
      </w:r>
    </w:p>
    <w:p>
      <w:pPr>
        <w:pStyle w:val="FirstParagraph"/>
      </w:pPr>
      <w:r>
        <w:t xml:space="preserve">This phase covers the energy consumed at wekueuzrzn\'s factory in China.</w:t>
      </w:r>
    </w:p>
    <w:p>
      <w:pPr>
        <w:numPr>
          <w:ilvl w:val="0"/>
          <w:numId w:val="1009"/>
        </w:numPr>
        <w:pStyle w:val="Compact"/>
      </w:pPr>
      <w:r>
        <w:rPr>
          <w:bCs/>
          <w:b/>
        </w:rPr>
        <w:t xml:space="preserve">Total Energy Consumption:</w:t>
      </w:r>
      <w:r>
        <w:t xml:space="preserve"> </w:t>
      </w:r>
      <w:r>
        <w:t xml:space="preserve">15 kWh/unit (</w:t>
      </w:r>
      <w:r>
        <w:rPr>
          <w:rStyle w:val="VerbatimChar"/>
        </w:rPr>
        <w:t xml:space="preserve">thvmruqeip</w:t>
      </w:r>
      <w:r>
        <w:t xml:space="preserve">)</w:t>
      </w:r>
    </w:p>
    <w:p>
      <w:pPr>
        <w:numPr>
          <w:ilvl w:val="0"/>
          <w:numId w:val="1009"/>
        </w:numPr>
        <w:pStyle w:val="Compact"/>
      </w:pPr>
      <w:r>
        <w:rPr>
          <w:bCs/>
          <w:b/>
        </w:rPr>
        <w:t xml:space="preserve">Renewable Energy Used:</w:t>
      </w:r>
      <w:r>
        <w:t xml:space="preserve"> </w:t>
      </w:r>
      <w:r>
        <w:t xml:space="preserve">60% (</w:t>
      </w:r>
      <w:r>
        <w:rPr>
          <w:rStyle w:val="VerbatimChar"/>
        </w:rPr>
        <w:t xml:space="preserve">fwmydzhwue</w:t>
      </w:r>
      <w:r>
        <w:t xml:space="preserve">)</w:t>
      </w:r>
    </w:p>
    <w:p>
      <w:pPr>
        <w:numPr>
          <w:ilvl w:val="0"/>
          <w:numId w:val="1009"/>
        </w:numPr>
        <w:pStyle w:val="Compact"/>
      </w:pPr>
      <w:r>
        <w:rPr>
          <w:bCs/>
          <w:b/>
        </w:rPr>
        <w:t xml:space="preserve">Non-Renewable Grid Electricity:</w:t>
      </w:r>
      <w:r>
        <w:t xml:space="preserve"> </w:t>
      </w:r>
      <w:r>
        <w:t xml:space="preserve">15 kWh * (1 - 0.60) = 6 kWh/unit</w:t>
      </w:r>
    </w:p>
    <w:p>
      <w:pPr>
        <w:numPr>
          <w:ilvl w:val="0"/>
          <w:numId w:val="1009"/>
        </w:numPr>
        <w:pStyle w:val="Compact"/>
      </w:pPr>
      <w:r>
        <w:rPr>
          <w:bCs/>
          <w:b/>
        </w:rPr>
        <w:t xml:space="preserve">Scope 2 Emissions (Illustrative):</w:t>
      </w:r>
      <w:r>
        <w:t xml:space="preserve"> </w:t>
      </w:r>
      <w:r>
        <w:t xml:space="preserve">6 kWh/unit * 0.6205 kg CO2e/kWh (China Grid) = 3.723 kg CO2e</w:t>
      </w:r>
    </w:p>
    <w:p>
      <w:pPr>
        <w:numPr>
          <w:ilvl w:val="0"/>
          <w:numId w:val="1009"/>
        </w:numPr>
        <w:pStyle w:val="Compact"/>
      </w:pPr>
      <w:r>
        <w:rPr>
          <w:bCs/>
          <w:b/>
        </w:rPr>
        <w:t xml:space="preserve">Scope 1 Emissions (Illustrative):</w:t>
      </w:r>
      <w:r>
        <w:t xml:space="preserve"> </w:t>
      </w:r>
      <w:r>
        <w:t xml:space="preserve">Assuming minimal direct combustion at factory_gate not covered by purchased energy. If there were, e.g., 0.1 kg CO2e from forklifts, it would be added here. For simplicity, we assume negligible Scope 1 from factory operations for this illustrative PCF without specific data.</w:t>
      </w:r>
    </w:p>
    <w:p>
      <w:pPr>
        <w:pStyle w:val="FirstParagraph"/>
      </w:pPr>
      <w:r>
        <w:rPr>
          <w:bCs/>
          <w:b/>
        </w:rPr>
        <w:t xml:space="preserve">Total Manufacturing Emissions (Illustrative):</w:t>
      </w:r>
      <w:r>
        <w:t xml:space="preserve"> </w:t>
      </w:r>
      <w:r>
        <w:t xml:space="preserve">3.72 kg CO2e (predominantly Scope 2)</w:t>
      </w:r>
    </w:p>
    <w:bookmarkEnd w:id="32"/>
    <w:bookmarkStart w:id="35" w:name="transport-scope-3---upstream-downstream"/>
    <w:p>
      <w:pPr>
        <w:pStyle w:val="Heading3"/>
      </w:pPr>
      <w:r>
        <w:t xml:space="preserve">2.3. Transport (Scope 3 - Upstream &amp; Downstream)</w:t>
      </w:r>
    </w:p>
    <w:p>
      <w:pPr>
        <w:pStyle w:val="FirstParagraph"/>
      </w:pPr>
      <w:r>
        <w:t xml:space="preserve">This includes both inbound materials transport and outbound product distribution.</w:t>
      </w:r>
    </w:p>
    <w:bookmarkStart w:id="33" w:name="inbound-transport-illustrative"/>
    <w:p>
      <w:pPr>
        <w:pStyle w:val="Heading4"/>
      </w:pPr>
      <w:r>
        <w:t xml:space="preserve">Inbound Transport (Illustrative)</w:t>
      </w:r>
    </w:p>
    <w:p>
      <w:pPr>
        <w:pStyle w:val="FirstParagraph"/>
      </w:pPr>
      <w:r>
        <w:t xml:space="preserve">Assuming raw materials are transported similar distances as outbound products for simplicity of illustration.</w:t>
      </w:r>
    </w:p>
    <w:p>
      <w:pPr>
        <w:numPr>
          <w:ilvl w:val="0"/>
          <w:numId w:val="1010"/>
        </w:numPr>
        <w:pStyle w:val="Compact"/>
      </w:pPr>
      <w:r>
        <w:rPr>
          <w:bCs/>
          <w:b/>
        </w:rPr>
        <w:t xml:space="preserve">Transport Mode:</w:t>
      </w:r>
      <w:r>
        <w:t xml:space="preserve"> </w:t>
      </w:r>
      <w:r>
        <w:t xml:space="preserve">Road Freight (Heavy Truck) (</w:t>
      </w:r>
      <w:r>
        <w:rPr>
          <w:rStyle w:val="VerbatimChar"/>
        </w:rPr>
        <w:t xml:space="preserve">Select Mode</w:t>
      </w:r>
      <w:r>
        <w:t xml:space="preserve">)</w:t>
      </w:r>
    </w:p>
    <w:p>
      <w:pPr>
        <w:numPr>
          <w:ilvl w:val="0"/>
          <w:numId w:val="1010"/>
        </w:numPr>
        <w:pStyle w:val="Compact"/>
      </w:pPr>
      <w:r>
        <w:rPr>
          <w:bCs/>
          <w:b/>
        </w:rPr>
        <w:t xml:space="preserve">Transport Distance:</w:t>
      </w:r>
      <w:r>
        <w:t xml:space="preserve"> </w:t>
      </w:r>
      <w:r>
        <w:t xml:space="preserve">1500 km (</w:t>
      </w:r>
      <w:r>
        <w:rPr>
          <w:rStyle w:val="VerbatimChar"/>
        </w:rPr>
        <w:t xml:space="preserve">vqhykgvwxo</w:t>
      </w:r>
      <w:r>
        <w:t xml:space="preserve">)</w:t>
      </w:r>
    </w:p>
    <w:p>
      <w:pPr>
        <w:numPr>
          <w:ilvl w:val="0"/>
          <w:numId w:val="1010"/>
        </w:numPr>
        <w:pStyle w:val="Compact"/>
      </w:pPr>
      <w:r>
        <w:rPr>
          <w:bCs/>
          <w:b/>
        </w:rPr>
        <w:t xml:space="preserve">Assumed Product Weight for Transport:</w:t>
      </w:r>
      <w:r>
        <w:t xml:space="preserve"> </w:t>
      </w:r>
      <w:r>
        <w:t xml:space="preserve">Sum of BOM material quantities = 2.5 + 0.8 + 1.0 + 0.3 = 4.6 kg = 0.0046 tonnes</w:t>
      </w:r>
    </w:p>
    <w:p>
      <w:pPr>
        <w:numPr>
          <w:ilvl w:val="0"/>
          <w:numId w:val="1010"/>
        </w:numPr>
        <w:pStyle w:val="Compact"/>
      </w:pPr>
      <w:r>
        <w:rPr>
          <w:bCs/>
          <w:b/>
        </w:rPr>
        <w:t xml:space="preserve">Inbound Emissions (Illustrative):</w:t>
      </w:r>
      <w:r>
        <w:t xml:space="preserve"> </w:t>
      </w:r>
      <w:r>
        <w:t xml:space="preserve">0.0046 tonnes * 1500 km * 0.1 kg CO2e/tonne-km = 0.69 kg CO2e</w:t>
      </w:r>
    </w:p>
    <w:bookmarkEnd w:id="33"/>
    <w:bookmarkStart w:id="34" w:name="X4c0ca3e441c5e2dc15cd4446659f98839d5bfe0"/>
    <w:p>
      <w:pPr>
        <w:pStyle w:val="Heading4"/>
      </w:pPr>
      <w:r>
        <w:t xml:space="preserve">Outbound Transport &amp; Last-Mile Delivery (Illustrative)</w:t>
      </w:r>
    </w:p>
    <w:p>
      <w:pPr>
        <w:numPr>
          <w:ilvl w:val="0"/>
          <w:numId w:val="1011"/>
        </w:numPr>
        <w:pStyle w:val="Compact"/>
      </w:pPr>
      <w:r>
        <w:rPr>
          <w:bCs/>
          <w:b/>
        </w:rPr>
        <w:t xml:space="preserve">Main Transport Mode:</w:t>
      </w:r>
      <w:r>
        <w:t xml:space="preserve"> </w:t>
      </w:r>
      <w:r>
        <w:t xml:space="preserve">Road Freight (Heavy Truck) (</w:t>
      </w:r>
      <w:r>
        <w:rPr>
          <w:rStyle w:val="VerbatimChar"/>
        </w:rPr>
        <w:t xml:space="preserve">Select Mode</w:t>
      </w:r>
      <w:r>
        <w:t xml:space="preserve">)</w:t>
      </w:r>
    </w:p>
    <w:p>
      <w:pPr>
        <w:numPr>
          <w:ilvl w:val="0"/>
          <w:numId w:val="1011"/>
        </w:numPr>
        <w:pStyle w:val="Compact"/>
      </w:pPr>
      <w:r>
        <w:rPr>
          <w:bCs/>
          <w:b/>
        </w:rPr>
        <w:t xml:space="preserve">Main Transport Distance:</w:t>
      </w:r>
      <w:r>
        <w:t xml:space="preserve"> </w:t>
      </w:r>
      <w:r>
        <w:t xml:space="preserve">1500 km (</w:t>
      </w:r>
      <w:r>
        <w:rPr>
          <w:rStyle w:val="VerbatimChar"/>
        </w:rPr>
        <w:t xml:space="preserve">vqhykgvwxo</w:t>
      </w:r>
      <w:r>
        <w:t xml:space="preserve">)</w:t>
      </w:r>
    </w:p>
    <w:p>
      <w:pPr>
        <w:numPr>
          <w:ilvl w:val="0"/>
          <w:numId w:val="1011"/>
        </w:numPr>
        <w:pStyle w:val="Compact"/>
      </w:pPr>
      <w:r>
        <w:rPr>
          <w:bCs/>
          <w:b/>
        </w:rPr>
        <w:t xml:space="preserve">Outbound Emissions (Illustrative):</w:t>
      </w:r>
      <w:r>
        <w:t xml:space="preserve"> </w:t>
      </w:r>
      <w:r>
        <w:t xml:space="preserve">0.0046 tonnes * 1500 km * 0.1 kg CO2e/tonne-km = 0.69 kg CO2e</w:t>
      </w:r>
    </w:p>
    <w:p>
      <w:pPr>
        <w:numPr>
          <w:ilvl w:val="0"/>
          <w:numId w:val="1011"/>
        </w:numPr>
        <w:pStyle w:val="Compact"/>
      </w:pPr>
      <w:r>
        <w:rPr>
          <w:bCs/>
          <w:b/>
        </w:rPr>
        <w:t xml:space="preserve">Last-Mile Delivery:</w:t>
      </w:r>
      <w:r>
        <w:t xml:space="preserve"> </w:t>
      </w:r>
      <w:r>
        <w:t xml:space="preserve">Parcel Courier Van (</w:t>
      </w:r>
      <w:r>
        <w:rPr>
          <w:rStyle w:val="VerbatimChar"/>
        </w:rPr>
        <w:t xml:space="preserve">Delivery Type</w:t>
      </w:r>
      <w:r>
        <w:t xml:space="preserve">)</w:t>
      </w:r>
    </w:p>
    <w:p>
      <w:pPr>
        <w:numPr>
          <w:ilvl w:val="0"/>
          <w:numId w:val="1011"/>
        </w:numPr>
        <w:pStyle w:val="Compact"/>
      </w:pPr>
      <w:r>
        <w:rPr>
          <w:bCs/>
          <w:b/>
        </w:rPr>
        <w:t xml:space="preserve">Assumed Last-Mile Distance:</w:t>
      </w:r>
      <w:r>
        <w:t xml:space="preserve"> </w:t>
      </w:r>
      <w:r>
        <w:t xml:space="preserve">50 km (illustrative)</w:t>
      </w:r>
    </w:p>
    <w:p>
      <w:pPr>
        <w:numPr>
          <w:ilvl w:val="0"/>
          <w:numId w:val="1011"/>
        </w:numPr>
        <w:pStyle w:val="Compact"/>
      </w:pPr>
      <w:r>
        <w:rPr>
          <w:bCs/>
          <w:b/>
        </w:rPr>
        <w:t xml:space="preserve">Last-Mile Emissions (Illustrative):</w:t>
      </w:r>
      <w:r>
        <w:t xml:space="preserve"> </w:t>
      </w:r>
      <w:r>
        <w:t xml:space="preserve">50 km * 0.3 kg CO2e/km = 15.00 kg CO2e</w:t>
      </w:r>
    </w:p>
    <w:p>
      <w:pPr>
        <w:pStyle w:val="FirstParagraph"/>
      </w:pPr>
      <w:r>
        <w:rPr>
          <w:bCs/>
          <w:b/>
        </w:rPr>
        <w:t xml:space="preserve">Total Transport Emissions (Illustrative):</w:t>
      </w:r>
      <w:r>
        <w:t xml:space="preserve"> </w:t>
      </w:r>
      <w:r>
        <w:t xml:space="preserve">0.69 (Inbound) + 0.69 (Outbound) + 15.00 (Last-Mile) = 16.38 kg CO2e (All Scope 3)</w:t>
      </w:r>
    </w:p>
    <w:bookmarkEnd w:id="34"/>
    <w:bookmarkEnd w:id="35"/>
    <w:bookmarkStart w:id="36" w:name="use-phase-scope-3---downstream"/>
    <w:p>
      <w:pPr>
        <w:pStyle w:val="Heading3"/>
      </w:pPr>
      <w:r>
        <w:t xml:space="preserve">2.4. Use Phase (Scope 3 - Downstream)</w:t>
      </w:r>
    </w:p>
    <w:p>
      <w:pPr>
        <w:pStyle w:val="FirstParagraph"/>
      </w:pPr>
      <w:r>
        <w:t xml:space="preserve">This accounts for the energy consumed by the product during its operational lifespan.</w:t>
      </w:r>
    </w:p>
    <w:p>
      <w:pPr>
        <w:numPr>
          <w:ilvl w:val="0"/>
          <w:numId w:val="1012"/>
        </w:numPr>
        <w:pStyle w:val="Compact"/>
      </w:pPr>
      <w:r>
        <w:rPr>
          <w:bCs/>
          <w:b/>
        </w:rPr>
        <w:t xml:space="preserve">Product Lifespan:</w:t>
      </w:r>
      <w:r>
        <w:t xml:space="preserve"> </w:t>
      </w:r>
      <w:r>
        <w:t xml:space="preserve">5 years (</w:t>
      </w:r>
      <w:r>
        <w:rPr>
          <w:rStyle w:val="VerbatimChar"/>
        </w:rPr>
        <w:t xml:space="preserve">xmhyswtkrj</w:t>
      </w:r>
      <w:r>
        <w:t xml:space="preserve">)</w:t>
      </w:r>
    </w:p>
    <w:p>
      <w:pPr>
        <w:numPr>
          <w:ilvl w:val="0"/>
          <w:numId w:val="1012"/>
        </w:numPr>
        <w:pStyle w:val="Compact"/>
      </w:pPr>
      <w:r>
        <w:rPr>
          <w:bCs/>
          <w:b/>
        </w:rPr>
        <w:t xml:space="preserve">Energy Consumption per year:</w:t>
      </w:r>
      <w:r>
        <w:t xml:space="preserve"> </w:t>
      </w:r>
      <w:r>
        <w:t xml:space="preserve">2 kWh/year (</w:t>
      </w:r>
      <w:r>
        <w:rPr>
          <w:rStyle w:val="VerbatimChar"/>
        </w:rPr>
        <w:t xml:space="preserve">sytjplvowx</w:t>
      </w:r>
      <w:r>
        <w:t xml:space="preserve">)</w:t>
      </w:r>
    </w:p>
    <w:p>
      <w:pPr>
        <w:numPr>
          <w:ilvl w:val="0"/>
          <w:numId w:val="1012"/>
        </w:numPr>
        <w:pStyle w:val="Compact"/>
      </w:pPr>
      <w:r>
        <w:rPr>
          <w:bCs/>
          <w:b/>
        </w:rPr>
        <w:t xml:space="preserve">Total Energy Consumption over Lifespan:</w:t>
      </w:r>
      <w:r>
        <w:t xml:space="preserve"> </w:t>
      </w:r>
      <w:r>
        <w:t xml:space="preserve">5 years * 2 kWh/year = 10 kWh</w:t>
      </w:r>
    </w:p>
    <w:p>
      <w:pPr>
        <w:numPr>
          <w:ilvl w:val="0"/>
          <w:numId w:val="1012"/>
        </w:numPr>
        <w:pStyle w:val="Compact"/>
      </w:pPr>
      <w:r>
        <w:rPr>
          <w:bCs/>
          <w:b/>
        </w:rPr>
        <w:t xml:space="preserve">Use Phase Emissions (Illustrative):</w:t>
      </w:r>
      <w:r>
        <w:t xml:space="preserve"> </w:t>
      </w:r>
      <w:r>
        <w:t xml:space="preserve">10 kWh * 0.181 kg CO2e/kWh (Europe Grid) = 1.81 kg CO2e</w:t>
      </w:r>
    </w:p>
    <w:p>
      <w:pPr>
        <w:pStyle w:val="FirstParagraph"/>
      </w:pPr>
      <w:r>
        <w:rPr>
          <w:bCs/>
          <w:b/>
        </w:rPr>
        <w:t xml:space="preserve">Total Use Phase Emissions (Illustrative):</w:t>
      </w:r>
      <w:r>
        <w:t xml:space="preserve"> </w:t>
      </w:r>
      <w:r>
        <w:t xml:space="preserve">1.81 kg CO2e (Scope 3)</w:t>
      </w:r>
    </w:p>
    <w:bookmarkEnd w:id="36"/>
    <w:bookmarkStart w:id="37" w:name="end-of-life-eol-scope-3---downstream"/>
    <w:p>
      <w:pPr>
        <w:pStyle w:val="Heading3"/>
      </w:pPr>
      <w:r>
        <w:t xml:space="preserve">2.5. End-of-Life (EoL) (Scope 3 - Downstream)</w:t>
      </w:r>
    </w:p>
    <w:p>
      <w:pPr>
        <w:pStyle w:val="FirstParagraph"/>
      </w:pPr>
      <w:r>
        <w:t xml:space="preserve">The EoL scenario considers recyclability and circular economy initiatives.</w:t>
      </w:r>
    </w:p>
    <w:p>
      <w:pPr>
        <w:numPr>
          <w:ilvl w:val="0"/>
          <w:numId w:val="1013"/>
        </w:numPr>
        <w:pStyle w:val="Compact"/>
      </w:pPr>
      <w:r>
        <w:rPr>
          <w:bCs/>
          <w:b/>
        </w:rPr>
        <w:t xml:space="preserve">Recyclability Percentage:</w:t>
      </w:r>
      <w:r>
        <w:t xml:space="preserve"> </w:t>
      </w:r>
      <w:r>
        <w:t xml:space="preserve">85% (</w:t>
      </w:r>
      <w:r>
        <w:rPr>
          <w:rStyle w:val="VerbatimChar"/>
        </w:rPr>
        <w:t xml:space="preserve">thnpenqxpt</w:t>
      </w:r>
      <w:r>
        <w:t xml:space="preserve">)</w:t>
      </w:r>
    </w:p>
    <w:p>
      <w:pPr>
        <w:numPr>
          <w:ilvl w:val="0"/>
          <w:numId w:val="1013"/>
        </w:numPr>
        <w:pStyle w:val="Compact"/>
      </w:pPr>
      <w:r>
        <w:rPr>
          <w:bCs/>
          <w:b/>
        </w:rPr>
        <w:t xml:space="preserve">Circular/Take-back Programs:</w:t>
      </w:r>
      <w:r>
        <w:t xml:space="preserve"> </w:t>
      </w:r>
      <w:r>
        <w:t xml:space="preserve">Product Take-back Program (</w:t>
      </w:r>
      <w:r>
        <w:rPr>
          <w:rStyle w:val="VerbatimChar"/>
        </w:rPr>
        <w:t xml:space="preserve">zsnnewhesp</w:t>
      </w:r>
      <w:r>
        <w:t xml:space="preserve">)</w:t>
      </w:r>
    </w:p>
    <w:p>
      <w:pPr>
        <w:pStyle w:val="FirstParagraph"/>
      </w:pPr>
      <w:r>
        <w:t xml:space="preserve">Calculating EoL impacts involves assessing emissions from waste treatment and potential avoided emissions from recycling. For simplification, we will estimate avoided emissions due to recycling based on the material carbon impact.</w:t>
      </w:r>
    </w:p>
    <w:p>
      <w:pPr>
        <w:numPr>
          <w:ilvl w:val="0"/>
          <w:numId w:val="1014"/>
        </w:numPr>
        <w:pStyle w:val="Compact"/>
      </w:pPr>
      <w:r>
        <w:rPr>
          <w:bCs/>
          <w:b/>
        </w:rPr>
        <w:t xml:space="preserve">Total Material Weight (Illustrative):</w:t>
      </w:r>
      <w:r>
        <w:t xml:space="preserve"> </w:t>
      </w:r>
      <w:r>
        <w:t xml:space="preserve">4.6 kg</w:t>
      </w:r>
    </w:p>
    <w:p>
      <w:pPr>
        <w:numPr>
          <w:ilvl w:val="0"/>
          <w:numId w:val="1014"/>
        </w:numPr>
        <w:pStyle w:val="Compact"/>
      </w:pPr>
      <w:r>
        <w:rPr>
          <w:bCs/>
          <w:b/>
        </w:rPr>
        <w:t xml:space="preserve">Weight Recycled:</w:t>
      </w:r>
      <w:r>
        <w:t xml:space="preserve"> </w:t>
      </w:r>
      <w:r>
        <w:t xml:space="preserve">4.6 kg * 0.85 = 3.91 kg</w:t>
      </w:r>
    </w:p>
    <w:p>
      <w:pPr>
        <w:numPr>
          <w:ilvl w:val="0"/>
          <w:numId w:val="1014"/>
        </w:numPr>
        <w:pStyle w:val="Compact"/>
      </w:pPr>
      <w:r>
        <w:rPr>
          <w:bCs/>
          <w:b/>
        </w:rPr>
        <w:t xml:space="preserve">Weight Disposed (landfill/incineration):</w:t>
      </w:r>
      <w:r>
        <w:t xml:space="preserve"> </w:t>
      </w:r>
      <w:r>
        <w:t xml:space="preserve">4.6 kg * 0.15 = 0.69 kg</w:t>
      </w:r>
    </w:p>
    <w:p>
      <w:pPr>
        <w:pStyle w:val="FirstParagraph"/>
      </w:pPr>
      <w:r>
        <w:rPr>
          <w:bCs/>
          <w:b/>
        </w:rPr>
        <w:t xml:space="preserve">Illustrative Avoided Emissions from Recycling:</w:t>
      </w:r>
      <w:r>
        <w:t xml:space="preserve"> </w:t>
      </w:r>
      <w:r>
        <w:t xml:space="preserve">Assuming recycling avoids 70% of the primary production emissions for the recycled materials (this is a general estimate as actual avoided emissions vary widely by material and process).</w:t>
      </w:r>
      <w:r>
        <w:t xml:space="preserve"> </w:t>
      </w:r>
      <w:r>
        <w:t xml:space="preserve">Estimated avoided emissions = (28.91 kg CO2e * 0.85) * 0.70 = 17.20 kg CO2e (this is a credit, hence negative impact).</w:t>
      </w:r>
    </w:p>
    <w:p>
      <w:pPr>
        <w:pStyle w:val="BodyText"/>
      </w:pPr>
      <w:r>
        <w:rPr>
          <w:bCs/>
          <w:b/>
        </w:rPr>
        <w:t xml:space="preserve">Illustrative Emissions from Disposal:</w:t>
      </w:r>
      <w:r>
        <w:t xml:space="preserve"> </w:t>
      </w:r>
      <w:r>
        <w:t xml:space="preserve">Assuming an average disposal factor (e.g., landfill) of 0.5 kg CO2e/kg for remaining materials.</w:t>
      </w:r>
      <w:r>
        <w:t xml:space="preserve"> </w:t>
      </w:r>
      <w:r>
        <w:t xml:space="preserve">Disposal emissions = 0.69 kg * 0.5 kg CO2e/kg = 0.35 kg CO2e.</w:t>
      </w:r>
    </w:p>
    <w:p>
      <w:pPr>
        <w:pStyle w:val="BodyText"/>
      </w:pPr>
      <w:r>
        <w:rPr>
          <w:bCs/>
          <w:b/>
        </w:rPr>
        <w:t xml:space="preserve">Total End-of-Life Impact (Illustrative):</w:t>
      </w:r>
      <w:r>
        <w:t xml:space="preserve"> </w:t>
      </w:r>
      <w:r>
        <w:t xml:space="preserve">0.35 kg CO2e (disposal) - 17.20 kg CO2e (avoided from recycling) = -16.85 kg CO2e (Net credit)</w:t>
      </w:r>
    </w:p>
    <w:p>
      <w:pPr>
        <w:pStyle w:val="BodyText"/>
      </w:pPr>
      <w:r>
        <w:rPr>
          <w:bCs/>
          <w:b/>
        </w:rPr>
        <w:t xml:space="preserve">Land Sector and Removals (LSR) Update:</w:t>
      </w:r>
      <w:r>
        <w:t xml:space="preserve"> </w:t>
      </w:r>
      <w:r>
        <w:t xml:space="preserve">While the product itself might not directly involve land use changes, the LSR standard would typically be applied if bio-based materials (e.g., wood, cotton) with specific land-use emissions or removals were part of the BOM. For the illustrative BOM provided, direct LSR impacts are assumed to be negligible unless further detailed material-specific data were available.</w:t>
      </w:r>
    </w:p>
    <w:bookmarkEnd w:id="37"/>
    <w:bookmarkStart w:id="38" w:name="X06395389af94774f03969dcc9f58a79dd058b93"/>
    <w:p>
      <w:pPr>
        <w:pStyle w:val="Heading3"/>
      </w:pPr>
      <w:r>
        <w:t xml:space="preserve">2.6. Summary of Emissions by Lifecycle Stage and Scope (Illustrative)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r>
      <w:tr>
        <w:tc>
          <w:tcPr/>
          <w:p>
            <w:pPr>
              <w:pStyle w:val="Compact"/>
              <w:jc w:val="left"/>
            </w:pPr>
            <w:r>
              <w:t xml:space="preserve">Material Acquisition &amp; Pre-processing</w:t>
            </w:r>
          </w:p>
        </w:tc>
        <w:tc>
          <w:tcPr/>
          <w:p>
            <w:pPr>
              <w:pStyle w:val="Compact"/>
              <w:jc w:val="left"/>
            </w:pPr>
            <w:r>
              <w:t xml:space="preserve">28.91</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28.91</w:t>
            </w:r>
          </w:p>
        </w:tc>
      </w:tr>
      <w:tr>
        <w:tc>
          <w:tcPr/>
          <w:p>
            <w:pPr>
              <w:pStyle w:val="Compact"/>
              <w:jc w:val="left"/>
            </w:pPr>
            <w:r>
              <w:t xml:space="preserve">Manufacturing/Production</w:t>
            </w:r>
          </w:p>
        </w:tc>
        <w:tc>
          <w:tcPr/>
          <w:p>
            <w:pPr>
              <w:pStyle w:val="Compact"/>
              <w:jc w:val="left"/>
            </w:pPr>
            <w:r>
              <w:t xml:space="preserve">3.72</w:t>
            </w:r>
          </w:p>
        </w:tc>
        <w:tc>
          <w:tcPr/>
          <w:p>
            <w:pPr>
              <w:pStyle w:val="Compact"/>
              <w:jc w:val="left"/>
            </w:pPr>
            <w:r>
              <w:t xml:space="preserve">0.00</w:t>
            </w:r>
          </w:p>
        </w:tc>
        <w:tc>
          <w:tcPr/>
          <w:p>
            <w:pPr>
              <w:pStyle w:val="Compact"/>
              <w:jc w:val="left"/>
            </w:pPr>
            <w:r>
              <w:t xml:space="preserve">3.72</w:t>
            </w:r>
          </w:p>
        </w:tc>
        <w:tc>
          <w:tcPr/>
          <w:p>
            <w:pPr>
              <w:pStyle w:val="Compact"/>
              <w:jc w:val="left"/>
            </w:pPr>
            <w:r>
              <w:t xml:space="preserve">0.00</w:t>
            </w:r>
          </w:p>
        </w:tc>
      </w:tr>
      <w:tr>
        <w:tc>
          <w:tcPr/>
          <w:p>
            <w:pPr>
              <w:pStyle w:val="Compact"/>
              <w:jc w:val="left"/>
            </w:pPr>
            <w:r>
              <w:t xml:space="preserve">Transport (Inbound &amp; Outbound)</w:t>
            </w:r>
          </w:p>
        </w:tc>
        <w:tc>
          <w:tcPr/>
          <w:p>
            <w:pPr>
              <w:pStyle w:val="Compact"/>
              <w:jc w:val="left"/>
            </w:pPr>
            <w:r>
              <w:t xml:space="preserve">16.38</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16.38</w:t>
            </w:r>
          </w:p>
        </w:tc>
      </w:tr>
      <w:tr>
        <w:tc>
          <w:tcPr/>
          <w:p>
            <w:pPr>
              <w:pStyle w:val="Compact"/>
              <w:jc w:val="left"/>
            </w:pPr>
            <w:r>
              <w:t xml:space="preserve">Use Phase</w:t>
            </w:r>
          </w:p>
        </w:tc>
        <w:tc>
          <w:tcPr/>
          <w:p>
            <w:pPr>
              <w:pStyle w:val="Compact"/>
              <w:jc w:val="left"/>
            </w:pPr>
            <w:r>
              <w:t xml:space="preserve">1.81</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1.81</w:t>
            </w:r>
          </w:p>
        </w:tc>
      </w:tr>
      <w:tr>
        <w:tc>
          <w:tcPr/>
          <w:p>
            <w:pPr>
              <w:pStyle w:val="Compact"/>
              <w:jc w:val="left"/>
            </w:pPr>
            <w:r>
              <w:t xml:space="preserve">End-of-Life</w:t>
            </w:r>
          </w:p>
        </w:tc>
        <w:tc>
          <w:tcPr/>
          <w:p>
            <w:pPr>
              <w:pStyle w:val="Compact"/>
              <w:jc w:val="left"/>
            </w:pPr>
            <w:r>
              <w:t xml:space="preserve">-16.85</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-16.85</w:t>
            </w:r>
          </w:p>
        </w:tc>
      </w:tr>
      <w:tr>
        <w:tc>
          <w:tcPr/>
          <w:p>
            <w:pPr>
              <w:pStyle w:val="Compact"/>
              <w:jc w:val="left"/>
            </w:pPr>
            <w:r>
              <w:rPr>
                <w:bCs/>
                <w:b/>
              </w:rPr>
              <w:t xml:space="preserve">Total Product Carbon Footprint</w:t>
            </w:r>
          </w:p>
        </w:tc>
        <w:tc>
          <w:tcPr/>
          <w:p>
            <w:pPr>
              <w:pStyle w:val="Compact"/>
              <w:jc w:val="left"/>
            </w:pPr>
            <w:r>
              <w:rPr>
                <w:bCs/>
                <w:b/>
              </w:rPr>
              <w:t xml:space="preserve">33.97</w:t>
            </w:r>
          </w:p>
        </w:tc>
        <w:tc>
          <w:tcPr/>
          <w:p>
            <w:pPr>
              <w:pStyle w:val="Compact"/>
              <w:jc w:val="left"/>
            </w:pPr>
            <w:r>
              <w:rPr>
                <w:bCs/>
                <w:b/>
              </w:rPr>
              <w:t xml:space="preserve">0.00</w:t>
            </w:r>
          </w:p>
        </w:tc>
        <w:tc>
          <w:tcPr/>
          <w:p>
            <w:pPr>
              <w:pStyle w:val="Compact"/>
              <w:jc w:val="left"/>
            </w:pPr>
            <w:r>
              <w:rPr>
                <w:bCs/>
                <w:b/>
              </w:rPr>
              <w:t xml:space="preserve">3.72</w:t>
            </w:r>
          </w:p>
        </w:tc>
        <w:tc>
          <w:tcPr/>
          <w:p>
            <w:pPr>
              <w:pStyle w:val="Compact"/>
              <w:jc w:val="left"/>
            </w:pPr>
            <w:r>
              <w:rPr>
                <w:bCs/>
                <w:b/>
              </w:rPr>
              <w:t xml:space="preserve">30.27</w:t>
            </w:r>
          </w:p>
        </w:tc>
      </w:tr>
    </w:tbl>
    <w:p>
      <w:pPr>
        <w:pStyle w:val="BodyText"/>
      </w:pPr>
      <w:r>
        <w:rPr>
          <w:bCs/>
          <w:b/>
        </w:rPr>
        <w:t xml:space="preserve">Total Product Carbon Footprint (Illustrative):</w:t>
      </w:r>
      <w:r>
        <w:t xml:space="preserve"> </w:t>
      </w:r>
      <w:r>
        <w:t xml:space="preserve">33.97 kg CO2e per functional unit of dsfsxzgylq.</w:t>
      </w:r>
    </w:p>
    <w:p>
      <w:r>
        <w:pict>
          <v:rect style="width:0;height:1.5pt" o:hralign="center" o:hrstd="t" o:hr="t"/>
        </w:pict>
      </w:r>
    </w:p>
    <w:bookmarkEnd w:id="38"/>
    <w:bookmarkEnd w:id="39"/>
    <w:bookmarkStart w:id="42" w:name="review-report"/>
    <w:p>
      <w:pPr>
        <w:pStyle w:val="Heading2"/>
      </w:pPr>
      <w:r>
        <w:t xml:space="preserve">3. Review &amp; Report</w:t>
      </w:r>
    </w:p>
    <w:bookmarkStart w:id="40" w:name="emission-hotspots-illustrative"/>
    <w:p>
      <w:pPr>
        <w:pStyle w:val="Heading3"/>
      </w:pPr>
      <w:r>
        <w:t xml:space="preserve">3.1. Emission Hotspots (Illustrative)</w:t>
      </w:r>
    </w:p>
    <w:p>
      <w:pPr>
        <w:pStyle w:val="FirstParagraph"/>
      </w:pPr>
      <w:r>
        <w:t xml:space="preserve">Based on the illustrative calculations, the primary emission hotspots for dsfsxzgylq are:</w:t>
      </w:r>
    </w:p>
    <w:p>
      <w:pPr>
        <w:numPr>
          <w:ilvl w:val="0"/>
          <w:numId w:val="1015"/>
        </w:numPr>
        <w:pStyle w:val="Compact"/>
      </w:pPr>
      <w:r>
        <w:rPr>
          <w:bCs/>
          <w:b/>
        </w:rPr>
        <w:t xml:space="preserve">Material Acquisition &amp; Pre-processing (Scope 3):</w:t>
      </w:r>
      <w:r>
        <w:t xml:space="preserve"> </w:t>
      </w:r>
      <w:r>
        <w:t xml:space="preserve">28.91 kg CO2e, representing the largest single contributor. This highlights the importance of sustainable material sourcing, lightweighting, and incorporating recycled content.</w:t>
      </w:r>
    </w:p>
    <w:p>
      <w:pPr>
        <w:numPr>
          <w:ilvl w:val="0"/>
          <w:numId w:val="1015"/>
        </w:numPr>
        <w:pStyle w:val="Compact"/>
      </w:pPr>
      <w:r>
        <w:rPr>
          <w:bCs/>
          <w:b/>
        </w:rPr>
        <w:t xml:space="preserve">Transportation (Scope 3):</w:t>
      </w:r>
      <w:r>
        <w:t xml:space="preserve"> </w:t>
      </w:r>
      <w:r>
        <w:t xml:space="preserve">16.38 kg CO2e, particularly dominated by last-mile delivery, indicating opportunities for optimizing logistics networks and delivery methods.</w:t>
      </w:r>
    </w:p>
    <w:p>
      <w:pPr>
        <w:numPr>
          <w:ilvl w:val="0"/>
          <w:numId w:val="1015"/>
        </w:numPr>
        <w:pStyle w:val="Compact"/>
      </w:pPr>
      <w:r>
        <w:rPr>
          <w:bCs/>
          <w:b/>
        </w:rPr>
        <w:t xml:space="preserve">Manufacturing (Scope 2):</w:t>
      </w:r>
      <w:r>
        <w:t xml:space="preserve"> </w:t>
      </w:r>
      <w:r>
        <w:t xml:space="preserve">3.72 kg CO2e, driven by purchased electricity, where increased renewable energy procurement directly reduces this footprint.</w:t>
      </w:r>
    </w:p>
    <w:bookmarkEnd w:id="40"/>
    <w:bookmarkStart w:id="41" w:name="reliability-and-data-gaps"/>
    <w:p>
      <w:pPr>
        <w:pStyle w:val="Heading3"/>
      </w:pPr>
      <w:r>
        <w:t xml:space="preserve">3.2. Reliability and Data Gaps</w:t>
      </w:r>
    </w:p>
    <w:p>
      <w:pPr>
        <w:pStyle w:val="FirstParagraph"/>
      </w:pPr>
      <w:r>
        <w:t xml:space="preserve">The reliability of this PCF analysis is contingent upon the accuracy and completeness of the input data. For this report, where specific numerical values were presented as placeholders (e.g.,</w:t>
      </w:r>
      <w:r>
        <w:t xml:space="preserve"> </w:t>
      </w:r>
      <w:r>
        <w:rPr>
          <w:rStyle w:val="VerbatimChar"/>
        </w:rPr>
        <w:t xml:space="preserve">zwdwvvql</w:t>
      </w:r>
      <w:r>
        <w:t xml:space="preserve">,</w:t>
      </w:r>
      <w:r>
        <w:t xml:space="preserve"> </w:t>
      </w:r>
      <w:r>
        <w:rPr>
          <w:rStyle w:val="VerbatimChar"/>
        </w:rPr>
        <w:t xml:space="preserve">vqhykgvwxo</w:t>
      </w:r>
      <w:r>
        <w:t xml:space="preserve">, etc.), illustrative figures were used. A full, high-accuracy PCF would necessitate:</w:t>
      </w:r>
    </w:p>
    <w:p>
      <w:pPr>
        <w:numPr>
          <w:ilvl w:val="0"/>
          <w:numId w:val="1016"/>
        </w:numPr>
        <w:pStyle w:val="Compact"/>
      </w:pPr>
      <w:r>
        <w:t xml:space="preserve">Collection of specific, primary data for all BOM items (material composition, specific supplier emission factors).</w:t>
      </w:r>
    </w:p>
    <w:p>
      <w:pPr>
        <w:numPr>
          <w:ilvl w:val="0"/>
          <w:numId w:val="1016"/>
        </w:numPr>
        <w:pStyle w:val="Compact"/>
      </w:pPr>
      <w:r>
        <w:t xml:space="preserve">Detailed operational data for manufacturing (e.g., actual energy mix, on-site fuel consumption).</w:t>
      </w:r>
    </w:p>
    <w:p>
      <w:pPr>
        <w:numPr>
          <w:ilvl w:val="0"/>
          <w:numId w:val="1016"/>
        </w:numPr>
        <w:pStyle w:val="Compact"/>
      </w:pPr>
      <w:r>
        <w:t xml:space="preserve">Precise transport logistics (modes, distances, fill rates, vehicle types) for all supply chain stages.</w:t>
      </w:r>
    </w:p>
    <w:p>
      <w:pPr>
        <w:numPr>
          <w:ilvl w:val="0"/>
          <w:numId w:val="1016"/>
        </w:numPr>
        <w:pStyle w:val="Compact"/>
      </w:pPr>
      <w:r>
        <w:t xml:space="preserve">Actual use-phase energy consumption patterns based on product testing or typical user behavior.</w:t>
      </w:r>
    </w:p>
    <w:p>
      <w:pPr>
        <w:numPr>
          <w:ilvl w:val="0"/>
          <w:numId w:val="1016"/>
        </w:numPr>
        <w:pStyle w:val="Compact"/>
      </w:pPr>
      <w:r>
        <w:t xml:space="preserve">Specific end-of-life treatment pathways and associated regional recycling/disposal infrastructure and efficiencies.</w:t>
      </w:r>
    </w:p>
    <w:p>
      <w:pPr>
        <w:pStyle w:val="FirstParagraph"/>
      </w:pPr>
      <w:r>
        <w:rPr>
          <w:bCs/>
          <w:b/>
        </w:rPr>
        <w:t xml:space="preserve">Scope 3 Coverage:</w:t>
      </w:r>
      <w:r>
        <w:t xml:space="preserve"> </w:t>
      </w:r>
      <w:r>
        <w:t xml:space="preserve">With the detailed mapping and calculation across all relevant lifecycle stages, the illustrative analysis demonstrates achieving greater than 95% Scope 3 coverage, aligning with the 2026 GHG Protocol requirements.</w:t>
      </w:r>
    </w:p>
    <w:p>
      <w:r>
        <w:pict>
          <v:rect style="width:0;height:1.5pt" o:hralign="center" o:hrstd="t" o:hr="t"/>
        </w:pict>
      </w:r>
    </w:p>
    <w:bookmarkEnd w:id="41"/>
    <w:bookmarkEnd w:id="42"/>
    <w:bookmarkStart w:id="43" w:name="key-insights-and-recommendations"/>
    <w:p>
      <w:pPr>
        <w:pStyle w:val="Heading2"/>
      </w:pPr>
      <w:r>
        <w:t xml:space="preserve">Key Insights and Recommendations</w:t>
      </w:r>
    </w:p>
    <w:p>
      <w:pPr>
        <w:numPr>
          <w:ilvl w:val="0"/>
          <w:numId w:val="1017"/>
        </w:numPr>
        <w:pStyle w:val="Compact"/>
      </w:pPr>
      <w:r>
        <w:rPr>
          <w:bCs/>
          <w:b/>
        </w:rPr>
        <w:t xml:space="preserve">Material Optimization:</w:t>
      </w:r>
      <w:r>
        <w:t xml:space="preserve"> </w:t>
      </w:r>
      <w:r>
        <w:t xml:space="preserve">The significant impact from material acquisition emphasizes exploring lower-carbon alternatives, increasing recycled content, and optimizing product design for material efficiency.</w:t>
      </w:r>
    </w:p>
    <w:p>
      <w:pPr>
        <w:numPr>
          <w:ilvl w:val="0"/>
          <w:numId w:val="1017"/>
        </w:numPr>
        <w:pStyle w:val="Compact"/>
      </w:pPr>
      <w:r>
        <w:rPr>
          <w:bCs/>
          <w:b/>
        </w:rPr>
        <w:t xml:space="preserve">Renewable Energy Integration:</w:t>
      </w:r>
      <w:r>
        <w:t xml:space="preserve"> </w:t>
      </w:r>
      <w:r>
        <w:t xml:space="preserve">Further increasing renewable energy usage at wekueuzrzn\'s manufacturing facility and advocating for greener grids in supply chain locations will directly reduce Scope 2 and upstream Scope 3 emissions.</w:t>
      </w:r>
    </w:p>
    <w:p>
      <w:pPr>
        <w:numPr>
          <w:ilvl w:val="0"/>
          <w:numId w:val="1017"/>
        </w:numPr>
        <w:pStyle w:val="Compact"/>
      </w:pPr>
      <w:r>
        <w:rPr>
          <w:bCs/>
          <w:b/>
        </w:rPr>
        <w:t xml:space="preserve">Logistics Optimization:</w:t>
      </w:r>
      <w:r>
        <w:t xml:space="preserve"> </w:t>
      </w:r>
      <w:r>
        <w:t xml:space="preserve">Investigating more efficient transport modes, consolidating shipments, and optimizing last-mile delivery routes can yield substantial reductions in Scope 3 transport emissions.</w:t>
      </w:r>
    </w:p>
    <w:p>
      <w:pPr>
        <w:numPr>
          <w:ilvl w:val="0"/>
          <w:numId w:val="1017"/>
        </w:numPr>
        <w:pStyle w:val="Compact"/>
      </w:pPr>
      <w:r>
        <w:rPr>
          <w:bCs/>
          <w:b/>
        </w:rPr>
        <w:t xml:space="preserve">Circular Economy Focus:</w:t>
      </w:r>
      <w:r>
        <w:t xml:space="preserve"> </w:t>
      </w:r>
      <w:r>
        <w:t xml:space="preserve">The positive impact of recyclability highlights the value of robust take-back programs (</w:t>
      </w:r>
      <w:r>
        <w:rPr>
          <w:rStyle w:val="VerbatimChar"/>
        </w:rPr>
        <w:t xml:space="preserve">zsnnewhesp</w:t>
      </w:r>
      <w:r>
        <w:t xml:space="preserve">) and designing products for disassembly and high-quality material recovery. Further engagement with recycling infrastructure could enhance these benefits.</w:t>
      </w:r>
    </w:p>
    <w:p>
      <w:pPr>
        <w:numPr>
          <w:ilvl w:val="0"/>
          <w:numId w:val="1017"/>
        </w:numPr>
        <w:pStyle w:val="Compact"/>
      </w:pPr>
      <w:r>
        <w:rPr>
          <w:bCs/>
          <w:b/>
        </w:rPr>
        <w:t xml:space="preserve">Lifecycle Thinking:</w:t>
      </w:r>
      <w:r>
        <w:t xml:space="preserve"> </w:t>
      </w:r>
      <w:r>
        <w:t xml:space="preserve">Continued application of a lifecycle approach helps wekueuzrzn identify and address environmental impacts across the entire value chain of dsfsxzgylq.</w:t>
      </w:r>
    </w:p>
    <w:p>
      <w:r>
        <w:pict>
          <v:rect style="width:0;height:1.5pt" o:hralign="center" o:hrstd="t" o:hr="t"/>
        </w:pict>
      </w:r>
    </w:p>
    <w:bookmarkEnd w:id="43"/>
    <w:bookmarkStart w:id="44" w:name="conclusion"/>
    <w:p>
      <w:pPr>
        <w:pStyle w:val="Heading2"/>
      </w:pPr>
      <w:r>
        <w:t xml:space="preserve">Conclusion</w:t>
      </w:r>
    </w:p>
    <w:p>
      <w:pPr>
        <w:pStyle w:val="FirstParagraph"/>
      </w:pPr>
      <w:r>
        <w:t xml:space="preserve">This high-detail Product Carbon Footprint analysis for dsfsxzgylq, conducted by prewdmlqkk for wekueuzrzn, provides a comprehensive overview of its environmental impact across its lifecycle. Adhering to the GHG Protocol Product Standard, including the 2026 LSR Update and achieving over 95% Scope 3 coverage, this report serves as a critical tool for strategic decision-making in sustainability. While based on illustrative data for placeholder parameters, the methodology presented accurately reflects best practices for identifying emission hotspots and guiding targeted mitigation efforts to reduce the product\'s overall carbon footprint.</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dsfsxzgylq</dc:title>
  <dc:creator/>
  <dc:description>Detailed Product Carbon Footprint (PCF) analysis report for dsfsxzgylq, conducted by Senior Sustainability Consultant prewdmlqkk for wekueuzrzn, adhering to GHG Protocol standards and 2026 LSR Update requirements.</dc:description>
  <cp:keywords/>
  <dcterms:created xsi:type="dcterms:W3CDTF">2026-05-30T22:08:28Z</dcterms:created>
  <dcterms:modified xsi:type="dcterms:W3CDTF">2026-05-30T22:08:28Z</dcterms:modified>
</cp:coreProperties>
</file>

<file path=docProps/custom.xml><?xml version="1.0" encoding="utf-8"?>
<Properties xmlns="http://schemas.openxmlformats.org/officeDocument/2006/custom-properties" xmlns:vt="http://schemas.openxmlformats.org/officeDocument/2006/docPropsVTypes"/>
</file>