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Commercial</w:t>
      </w:r>
      <w:r>
        <w:t xml:space="preserve"> </w:t>
      </w:r>
      <w:r>
        <w:t xml:space="preserve">Smart</w:t>
      </w:r>
      <w:r>
        <w:t xml:space="preserve"> </w:t>
      </w:r>
      <w:r>
        <w:t xml:space="preserve">EV</w:t>
      </w:r>
      <w:r>
        <w:t xml:space="preserve"> </w:t>
      </w:r>
      <w:r>
        <w:t xml:space="preserve">Charging</w:t>
      </w:r>
      <w:r>
        <w:t xml:space="preserve"> </w:t>
      </w:r>
      <w:r>
        <w:t xml:space="preserve">Station</w:t>
      </w:r>
      <w:r>
        <w:t xml:space="preserve"> </w:t>
      </w:r>
      <w:r>
        <w:t xml:space="preserve">(22</w:t>
      </w:r>
      <w:r>
        <w:t xml:space="preserve"> </w:t>
      </w:r>
      <w:r>
        <w:t xml:space="preserve">kW)</w:t>
      </w:r>
      <w:r>
        <w:t xml:space="preserve"> </w:t>
      </w:r>
      <w:r>
        <w:t xml:space="preserve">|</w:t>
      </w:r>
      <w:r>
        <w:t xml:space="preserve"> </w:t>
      </w:r>
      <w:r>
        <w:t xml:space="preserve">GHG</w:t>
      </w:r>
      <w:r>
        <w:t xml:space="preserve"> </w:t>
      </w:r>
      <w:r>
        <w:t xml:space="preserve">Protocol</w:t>
      </w:r>
    </w:p>
    <w:p>
      <w:pPr>
        <w:pStyle w:val="FirstParagraph"/>
      </w:pPr>
      <w:r>
        <w:t xml:space="preserve">carboncalcpcf.com</w:t>
      </w:r>
    </w:p>
    <w:p>
      <w:pPr>
        <w:pStyle w:val="BodyText"/>
      </w:pPr>
      <w:r>
        <w:t xml:space="preserve">Product Carbon Footprint (PCF) Assessment Report</w:t>
      </w:r>
    </w:p>
    <w:p>
      <w:pPr>
        <w:pStyle w:val="BodyText"/>
      </w:pPr>
      <w:r>
        <w:t xml:space="preserve">Cradle-to-Gate Life Cycle Greenhouse Gas Accounting for High-Performance Industrial Assembly</w:t>
      </w:r>
    </w:p>
    <w:p>
      <w:pPr>
        <w:pStyle w:val="BodyText"/>
      </w:pPr>
      <w:r>
        <w:t xml:space="preserve">Product: Commercial Dual-Socket Smart EV Charging Station (22 kW)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Accounting Standard: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GHG Protocol Product Life Cycle Accounting and Reporting Standard (2026 Land Sector and Removals [LSR] Compliant)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Functional Unit: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unit (Complete 22 kW Smart AC Fast Charger, enclosed, calibrated, packaged)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System Boundary: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Cradle-to-Factory Gate (Raw Material Extraction, Pre-processing, Inbound Logistics, Final Assembly &amp; Testing)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Geographic Scope: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Assembly: Netherlands | Supply Chain Focus: European Union (EU-27 &amp; UK)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Assessor / Consultant: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Sustainability &amp; GHG Protocol Technical Practice Group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Report Identifier: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PCF-GHGP-2026-NL-EV22-0089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Publication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2026</w:t>
            </w:r>
          </w:p>
        </w:tc>
      </w:tr>
    </w:tbl>
    <w:p>
      <w:pPr>
        <w:pStyle w:val="BodyText"/>
      </w:pPr>
      <w:r>
        <w:rPr>
          <w:bCs/>
          <w:b/>
        </w:rPr>
        <w:t xml:space="preserve">Disclaimer:</w:t>
      </w:r>
      <w:r>
        <w:t xml:space="preserve"> </w:t>
      </w:r>
      <w:r>
        <w:t xml:space="preserve">This Product Carbon Footprint (PCF) report is generated based on primary primary-supplier activity inventories, regional grid settlement data, and secondary datasets from recognized international life cycle databases (Ecoinvent v3.10 and UK DEFRA/DESNZ 2025/2026). While every diligence has been applied to guarantee 100% calculation integrity and compliance with the Greenhouse Gas Protocol Corporate &amp; Product Standards, actual operational variances may occur based on supplier power purchase agreement certifications and tier-3 raw material substitution.</w:t>
      </w:r>
    </w:p>
    <w:p>
      <w:pPr>
        <w:pStyle w:val="BodyText"/>
      </w:pPr>
      <w:r>
        <w:t xml:space="preserve">carboncalcpcf.com | Corporate Sustainability &amp; Carbon Accounting Practice</w:t>
      </w:r>
      <w:r>
        <w:t xml:space="preserve"> </w:t>
      </w:r>
      <w:r>
        <w:t xml:space="preserve">Generated Date: October 21, 2026 | Standard: GHG Protocol</w:t>
      </w:r>
    </w:p>
    <w:bookmarkStart w:id="30" w:name="executive-summary"/>
    <w:p>
      <w:pPr>
        <w:pStyle w:val="Heading1"/>
      </w:pPr>
      <w:r>
        <w:t xml:space="preserve">Executive Summary</w:t>
      </w:r>
    </w:p>
    <w:p>
      <w:pPr>
        <w:pStyle w:val="FirstParagraph"/>
      </w:pPr>
      <w:r>
        <w:t xml:space="preserve">This report presents a rigorous cradle-to-gate Product Carbon Footprint (PCF) analysis for</w:t>
      </w:r>
      <w:r>
        <w:t xml:space="preserve"> </w:t>
      </w:r>
      <w:r>
        <w:rPr>
          <w:bCs/>
          <w:b/>
        </w:rPr>
        <w:t xml:space="preserve">1.0 unit of a Commercial Dual-Socket Smart EV Charging Station (22 kW)</w:t>
      </w:r>
      <w:r>
        <w:t xml:space="preserve"> </w:t>
      </w:r>
      <w:r>
        <w:t xml:space="preserve">assembled in North Brabant,</w:t>
      </w:r>
      <w:r>
        <w:t xml:space="preserve"> </w:t>
      </w:r>
      <w:r>
        <w:rPr>
          <w:bCs/>
          <w:b/>
        </w:rPr>
        <w:t xml:space="preserve">Netherlands</w:t>
      </w:r>
      <w:r>
        <w:t xml:space="preserve">. The assessment was performed in strict accordance with the</w:t>
      </w:r>
      <w:r>
        <w:t xml:space="preserve"> </w:t>
      </w:r>
      <w:r>
        <w:rPr>
          <w:iCs/>
          <w:i/>
        </w:rPr>
        <w:t xml:space="preserve">GHG Protocol Product Life Cycle Accounting and Reporting Standard</w:t>
      </w:r>
      <w:r>
        <w:t xml:space="preserve">, integrating the</w:t>
      </w:r>
      <w:r>
        <w:t xml:space="preserve"> </w:t>
      </w:r>
      <w:r>
        <w:rPr>
          <w:bCs/>
          <w:b/>
        </w:rPr>
        <w:t xml:space="preserve">2026 GHG Protocol Land Sector and Removals (LSR) Standard</w:t>
      </w:r>
      <w:r>
        <w:t xml:space="preserve"> </w:t>
      </w:r>
      <w:r>
        <w:t xml:space="preserve">for paperboard packaging and bio-based protective elements, as well as modern supply chain compliance guidelines mandating over 95% cumulative Scope 3 emission coverage.</w:t>
      </w:r>
    </w:p>
    <w:p>
      <w:pPr>
        <w:pStyle w:val="BodyText"/>
      </w:pPr>
      <w:r>
        <w:t xml:space="preserve">286.42 kg</w:t>
      </w:r>
    </w:p>
    <w:p>
      <w:pPr>
        <w:pStyle w:val="BodyText"/>
      </w:pPr>
      <w:r>
        <w:t xml:space="preserve">Total Net Carbon Footprint (CO</w:t>
      </w:r>
      <w:r>
        <w:rPr>
          <w:vertAlign w:val="subscript"/>
        </w:rPr>
        <w:t xml:space="preserve">2</w:t>
      </w:r>
      <w:r>
        <w:t xml:space="preserve">e)</w:t>
      </w:r>
    </w:p>
    <w:p>
      <w:pPr>
        <w:pStyle w:val="BodyText"/>
      </w:pPr>
      <w:r>
        <w:t xml:space="preserve">91.8%</w:t>
      </w:r>
    </w:p>
    <w:p>
      <w:pPr>
        <w:pStyle w:val="BodyText"/>
      </w:pPr>
      <w:r>
        <w:t xml:space="preserve">Scope 3 Upstream Embedded Share</w:t>
      </w:r>
    </w:p>
    <w:p>
      <w:pPr>
        <w:pStyle w:val="BodyText"/>
      </w:pPr>
      <w:r>
        <w:t xml:space="preserve">-4.18 kg</w:t>
      </w:r>
    </w:p>
    <w:p>
      <w:pPr>
        <w:pStyle w:val="BodyText"/>
      </w:pPr>
      <w:r>
        <w:t xml:space="preserve">LSR Biogenic Carbon Removals</w:t>
      </w:r>
    </w:p>
    <w:p>
      <w:pPr>
        <w:pStyle w:val="BodyText"/>
      </w:pPr>
      <w:r>
        <w:rPr>
          <w:bCs/>
          <w:b/>
        </w:rPr>
        <w:t xml:space="preserve">Key Insights &amp; Highlights: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Embodied Materials Dominate:</w:t>
      </w:r>
      <w:r>
        <w:t xml:space="preserve"> </w:t>
      </w:r>
      <w:r>
        <w:t xml:space="preserve">The upstream acquisition and manufacturing of metallic structural housings (aluminum and galvanized steel) and electrical conductors (copper) represent 59.4% of total cradle-to-gate impact.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Semiconductors &amp; Electronics Intensity:</w:t>
      </w:r>
      <w:r>
        <w:t xml:space="preserve"> </w:t>
      </w:r>
      <w:r>
        <w:t xml:space="preserve">Integrated printed circuit board assemblies (PCBAs), microcontroller units (MCUs), and metering silicon comprise 21.6% of total impact despite contributing only 4.8% of product gross mass.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3 Coverage Exceeds Threshold:</w:t>
      </w:r>
      <w:r>
        <w:t xml:space="preserve"> </w:t>
      </w:r>
      <w:r>
        <w:t xml:space="preserve">Value chain reporting covers 98.4% of cumulative emissions, substantially surpassing the 95% Scope 3 compliance mandate.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Dutch Grid Optimization:</w:t>
      </w:r>
      <w:r>
        <w:t xml:space="preserve"> </w:t>
      </w:r>
      <w:r>
        <w:t xml:space="preserve">Direct assembly facility energy in the Netherlands (Scope 1 and Scope 2 market-based) accounts for only 8.2% of the footprint, buffered by Netherlands\' advancing offshore wind integration and an on-site rooftop solar PPA.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2026 LSR Accounting:</w:t>
      </w:r>
      <w:r>
        <w:t xml:space="preserve"> </w:t>
      </w:r>
      <w:r>
        <w:t xml:space="preserve">Biogenic carbon stored within corrugated cardboard cartonage and molded pulp internal buffers reflects -4.18 kg CO</w:t>
      </w:r>
      <w:r>
        <w:rPr>
          <w:vertAlign w:val="subscript"/>
        </w:rPr>
        <w:t xml:space="preserve">2</w:t>
      </w:r>
      <w:r>
        <w:t xml:space="preserve"> </w:t>
      </w:r>
      <w:r>
        <w:t xml:space="preserve">net physical removals, tracked separately from fossil GHG releases.</w:t>
      </w:r>
    </w:p>
    <w:p>
      <w:r>
        <w:pict>
          <v:rect style="width:0;height:1.5pt" o:hralign="center" o:hrstd="t" o:hr="t"/>
        </w:pict>
      </w:r>
    </w:p>
    <w:bookmarkStart w:id="20" w:name="step-1-scope-boundary-definition"/>
    <w:p>
      <w:pPr>
        <w:pStyle w:val="Heading2"/>
      </w:pPr>
      <w:r>
        <w:t xml:space="preserve">Step 1: Scope &amp; Boundary Definition</w:t>
      </w:r>
    </w:p>
    <w:p>
      <w:pPr>
        <w:pStyle w:val="FirstParagraph"/>
      </w:pPr>
      <w:r>
        <w:t xml:space="preserve">The product boundary and modeling parameters have been formulated under the GHG Protocol Product Standard guidelines to guarantee auditability, comparability, and methodological adherence.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Specification &amp; Accounting Treatment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Functional Unit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1.0 unit</w:t>
            </w:r>
            <w:r>
              <w:t xml:space="preserve"> </w:t>
            </w:r>
            <w:r>
              <w:t xml:space="preserve">of commercial-grade 22 kW AC three-phase smart dual EV charging station (dimensions: 450 mm x 320 mm x 180 mm; net weight: 18.45 kg; gross packaged weight: 20.80 kg; IP54 rated).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Boundary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Cradle-to-Factory Gate (factory_gate)</w:t>
            </w:r>
            <w:r>
              <w:t xml:space="preserve">. Comprises raw material extraction, primary transformation, transport to tier-1 component fabricators, sub-assembly logistics, Dutch manufacturing and testing operations, internal warehousing, and outbound distribution preparation. Use-phase and end-of-life treatments are excluded.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Geographic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assembly &amp; flash-testing:</w:t>
            </w:r>
            <w:r>
              <w:t xml:space="preserve"> </w:t>
            </w:r>
            <w:r>
              <w:rPr>
                <w:bCs/>
                <w:b/>
              </w:rPr>
              <w:t xml:space="preserve">Netherlands (NL)</w:t>
            </w:r>
            <w:r>
              <w:t xml:space="preserve">. Tier-1 and Tier-2 supply chains:</w:t>
            </w:r>
            <w:r>
              <w:t xml:space="preserve"> </w:t>
            </w:r>
            <w:r>
              <w:rPr>
                <w:bCs/>
                <w:b/>
              </w:rPr>
              <w:t xml:space="preserve">Europe Focused</w:t>
            </w:r>
            <w:r>
              <w:t xml:space="preserve"> </w:t>
            </w:r>
            <w:r>
              <w:t xml:space="preserve">(Germany, Belgium, Poland, Italy, France, and UK for key electrical and metallic sub-assemblies).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Accounting Standard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 Product Standard</w:t>
            </w:r>
            <w:r>
              <w:t xml:space="preserve">, supported by Corporate Scope 1, Scope 2 Guidance (dual reporting: location and market-based), and the</w:t>
            </w:r>
            <w:r>
              <w:t xml:space="preserve"> </w:t>
            </w:r>
            <w:r>
              <w:rPr>
                <w:bCs/>
                <w:b/>
              </w:rPr>
              <w:t xml:space="preserve">2026 Land Sector and Removals (LSR) Guidance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Allocation Methods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Sub-assembly processes apply mass and physical causality allocation. Multi-output facility overheads (HVAC, compressed air, facility lighting) are allocated on a machine-hour basis per charging station unit batch.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Temporal Horizon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Continuous 12-month operational production baseline (Q4 2025 through Q3 2026 calendar data).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Cut-off Criteria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Processes contributing less than 0.2% of unit mass or emissions were reviewed; cumulative excluded flows represent &lt; 1.5% of total gate-bound emissions, satisfying the &gt;95% Scope 3 capture requirement.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1" w:name="step-2-lifecycle-mapping-inventory-lci"/>
    <w:p>
      <w:pPr>
        <w:pStyle w:val="Heading2"/>
      </w:pPr>
      <w:r>
        <w:t xml:space="preserve">Step 2: Lifecycle Mapping &amp; Inventory (LCI)</w:t>
      </w:r>
    </w:p>
    <w:p>
      <w:pPr>
        <w:pStyle w:val="FirstParagraph"/>
      </w:pPr>
      <w:r>
        <w:t xml:space="preserve">The cradle-to-gate lifecycle encompasses five sequential lifecycle tiers mapped according to the GHG Protocol Product Standard process flowcharting methodology.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1: Raw Material Extraction &amp; Refining:</w:t>
      </w:r>
      <w:r>
        <w:t xml:space="preserve"> </w:t>
      </w:r>
      <w:r>
        <w:t xml:space="preserve">Bauxite mining, primary aluminum smelting, blast furnace steel conversion, crude oil cracking and polymerization for technical thermoplastics, copper cathode refining, and high-purity silicon ingot crystallization.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2: Component Processing &amp; Sub-Assembly:</w:t>
      </w:r>
      <w:r>
        <w:t xml:space="preserve"> </w:t>
      </w:r>
      <w:r>
        <w:t xml:space="preserve">High-pressure aluminum die casting, sheet metal punching/powder coating, injection molding of polymer enclosures, surface mount technology (SMT) PCBA assembly, and copper cable extrusion.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3: Upstream Transportation:</w:t>
      </w:r>
      <w:r>
        <w:t xml:space="preserve"> </w:t>
      </w:r>
      <w:r>
        <w:t xml:space="preserve">Inbound freight via Euro-6 heavy goods vehicles (HGV) and regional rail logistics from European supply partners to the central manufacturing plant in Eindhoven, Netherlands.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4: Final Assembly &amp; Quality Testing (Gate Operations):</w:t>
      </w:r>
      <w:r>
        <w:t xml:space="preserve"> </w:t>
      </w:r>
      <w:r>
        <w:t xml:space="preserve">Robotic mechanical fastening, manual wiring harness routing, automated optical inspection (AOI), high-voltage flash dielectric testing, and firmware flashing.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Stage 5: Packaging &amp; Palletization:</w:t>
      </w:r>
      <w:r>
        <w:t xml:space="preserve"> </w:t>
      </w:r>
      <w:r>
        <w:t xml:space="preserve">Placement in unbleached kraft corrugated cardboard boxes with molded cellulose cushioning, secured on recycled PE film wrapping and standardized euro-pallets.</w:t>
      </w:r>
    </w:p>
    <w:p>
      <w:r>
        <w:pict>
          <v:rect style="width:0;height:1.5pt" o:hralign="center" o:hrstd="t" o:hr="t"/>
        </w:pict>
      </w:r>
    </w:p>
    <w:bookmarkEnd w:id="21"/>
    <w:bookmarkStart w:id="22" w:name="step-3-primary-secondary-data-collection"/>
    <w:p>
      <w:pPr>
        <w:pStyle w:val="Heading2"/>
      </w:pPr>
      <w:r>
        <w:t xml:space="preserve">Step 3: Primary &amp; Secondary Data Collection</w:t>
      </w:r>
    </w:p>
    <w:p>
      <w:pPr>
        <w:pStyle w:val="FirstParagraph"/>
      </w:pPr>
      <w:r>
        <w:t xml:space="preserve">Data collection prioritized direct operational meter readings and verified supplier Environmental Product Declarations (EPDs), cross-referenced with internationally validated life-cycle databases (Ecoinvent v3.10 and UK DESNZ/DEFRA 2025/2026).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Material / Process Stream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Source &amp;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Quality Rating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Metals &amp;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Recycled/Primary Aluminum, Cold-Rolled Steel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Tier-1 Supplier EPD / Secondary 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(Verified EN 15804)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Plastics &amp; 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Polycarbonate (PC) / PBT / PA66 Flame-Retardant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Supplier Inventory (Germany)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(Specific grade emission factors)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Electronics &amp; Silicon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FR4 Multilayer PCBs, IC Silicon, Microcontrollers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Semiconductor Council / 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Medium-High (Industry average 2024-2025)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Conductive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Oxygen-Free Copper Wire, Terminal Blocks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Copper Institute EPD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(Specific supplier verification)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(LSR)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Corrugated Cardboard Box, Molded Fiber Tray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FEFCO Database &amp; Supplier Primary Spec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(Biogenic &amp; fossil split)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Upstream Logistics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European Road Freight (Euro 6 Diesel HGV)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2025 Freight Tables / Telematics 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 (Exact supplier-to-plant routing)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Factory Energy (NL)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Netherlands Grid Electricity &amp; Natural Gas Heat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Primary Smart Metering (Factory SCADA)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High (Direct utility invoices)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2"/>
    <w:bookmarkStart w:id="25" w:name="X44b4b4197a2d4cff61627c391e8a0e08e9fb773"/>
    <w:p>
      <w:pPr>
        <w:pStyle w:val="Heading2"/>
      </w:pPr>
      <w:r>
        <w:t xml:space="preserve">Step 4: Emissions Calculations &amp; GHG Breakdown</w:t>
      </w:r>
    </w:p>
    <w:p>
      <w:pPr>
        <w:pStyle w:val="FirstParagraph"/>
      </w:pPr>
      <w:r>
        <w:t xml:space="preserve">Calculations follow the standard formula:</w:t>
      </w:r>
      <w:r>
        <w:t xml:space="preserve"> </w:t>
      </w:r>
      <w:r>
        <w:rPr>
          <w:rStyle w:val="VerbatimChar"/>
        </w:rPr>
        <w:t xml:space="preserve">Emissions (kg CO</w:t>
      </w:r>
      <w:r>
        <w:rPr>
          <w:rStyle w:val="VerbatimChar"/>
          <w:vertAlign w:val="subscript"/>
        </w:rPr>
        <w:t xml:space="preserve">2</w:t>
      </w:r>
      <w:r>
        <w:rPr>
          <w:rStyle w:val="VerbatimChar"/>
        </w:rPr>
        <w:t xml:space="preserve">e) = Activity Data × Emission Factor</w:t>
      </w:r>
      <w:r>
        <w:t xml:space="preserve">. Greenhouse gas emissions are classified under Scope 1 (direct factory combustion), Scope 2 (purchased electricity and heat), and Scope 3 Category 1 (purchased goods) and Category 4 (upstream freight).</w:t>
      </w:r>
    </w:p>
    <w:bookmarkStart w:id="23" w:name="Xedcb38d39004f42f49dea291319a1ca3215a0f2"/>
    <w:p>
      <w:pPr>
        <w:pStyle w:val="Heading3"/>
      </w:pPr>
      <w:r>
        <w:t xml:space="preserve">Detailed Cradle-to-Gate Life Cycle Inventory &amp; Carbon Calculations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Activity Data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EF Source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Aluminum Alloy Die-Cast Housing (40% recycled)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8.45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52.39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Galvanized Internal Steel Chassis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2.62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11.79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Copper Busbars &amp; Cabling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6.10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Brass &amp; Stainless Steel Fasteners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4.30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3.66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PC/PBT Polymer Outer Enclosure Blend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5.85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Internal Polyamide (PA66 GF30) Insulators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7.20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Silicone Rubber &amp; EPDM Weather Gaskets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4.90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2.45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Main Motherboard PCBA (FR4, Multi-layer, Lead-Free)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44.50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Microcontroller Units (MCU) &amp; Silicon 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Dual Type-2 Charging Sockets &amp; Relays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9.50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EPD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Corrugated Packaging Box (Fossil GHG)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0.92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FEFCO / DEFRA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Molded Cellulose Pulp Inserts (Fossil GHG)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1.05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Ecoinvent 3.10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LSR 2026: Biogenic Carbon Removals (Packaging)*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(LSR Rem.)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2.35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-1.78 kg CO</w:t>
            </w:r>
            <w:r>
              <w:rPr>
                <w:vertAlign w:val="subscript"/>
                <w:bCs/>
                <w:b/>
              </w:rPr>
              <w:t xml:space="preserve">2</w:t>
            </w:r>
            <w:r>
              <w:rPr>
                <w:bCs/>
                <w:b/>
              </w:rPr>
              <w:t xml:space="preserve">/kg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 LSR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-4.18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European Road Transport (HGV &gt;20t Euro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3 (Cat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tonne-km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0.1032 kg CO</w:t>
            </w:r>
            <w:r>
              <w:rPr>
                <w:vertAlign w:val="subscript"/>
              </w:rPr>
              <w:t xml:space="preserve">2</w:t>
            </w:r>
            <w:r>
              <w:t xml:space="preserve">e/t-km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8.46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Factory Space Heating (Natural Gas - Direct Burn)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0.2023 kg CO</w:t>
            </w:r>
            <w:r>
              <w:rPr>
                <w:vertAlign w:val="subscript"/>
              </w:rPr>
              <w:t xml:space="preserve">2</w:t>
            </w:r>
            <w:r>
              <w:t xml:space="preserve">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DEFRA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Backup Genset &amp; Test Refrigeration Leaks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 eq.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 kg CO</w:t>
            </w:r>
            <w:r>
              <w:rPr>
                <w:vertAlign w:val="subscript"/>
              </w:rPr>
              <w:t xml:space="preserve">2</w:t>
            </w:r>
            <w:r>
              <w:t xml:space="preserve">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Facility Log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Assembly &amp; SMT Testing Electricity (NL Market-Based)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0.2950 kg CO</w:t>
            </w:r>
            <w:r>
              <w:rPr>
                <w:vertAlign w:val="subscript"/>
              </w:rPr>
              <w:t xml:space="preserve">2</w:t>
            </w:r>
            <w:r>
              <w:t xml:space="preserve">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AIB NL / Ecoinvent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15.34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Direct On-site Rooftop Solar PV Self-Consumption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Scope 2 (Market)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0.0000 kg CO</w:t>
            </w:r>
            <w:r>
              <w:rPr>
                <w:vertAlign w:val="subscript"/>
              </w:rPr>
              <w:t xml:space="preserve">2</w:t>
            </w:r>
            <w:r>
              <w:t xml:space="preserve">e/kWh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Internal Submeter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Gross Total Emissions (Excluding Biogenic Removals)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290.60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Net Cradle-to-Gate Product Carbon Footprint (Compliant with GHG Protocol &amp; LSR 2026)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286.42 kg CO</w:t>
            </w:r>
            <w:r>
              <w:rPr>
                <w:vertAlign w:val="subscript"/>
              </w:rPr>
              <w:t xml:space="preserve">2</w:t>
            </w:r>
            <w:r>
              <w:t xml:space="preserve">e</w:t>
            </w:r>
          </w:p>
        </w:tc>
      </w:tr>
    </w:tbl>
    <w:p>
      <w:pPr>
        <w:pStyle w:val="BodyText"/>
      </w:pPr>
      <w:r>
        <w:rPr>
          <w:iCs/>
          <w:i/>
        </w:rPr>
        <w:t xml:space="preserve">*Note on 2026 LSR Standard Compliance:</w:t>
      </w:r>
      <w:r>
        <w:t xml:space="preserve"> </w:t>
      </w:r>
      <w:r>
        <w:t xml:space="preserve">In accordance with the</w:t>
      </w:r>
      <w:r>
        <w:t xml:space="preserve"> </w:t>
      </w:r>
      <w:r>
        <w:rPr>
          <w:iCs/>
          <w:i/>
        </w:rPr>
        <w:t xml:space="preserve">GHG Protocol Land Sector and Removals (LSR) Guidance (2026 Update)</w:t>
      </w:r>
      <w:r>
        <w:t xml:space="preserve">, biogenic carbon stored in short-lived packaging materials is accounted for as a net carbon removal (-4.18 kg CO</w:t>
      </w:r>
      <w:r>
        <w:rPr>
          <w:vertAlign w:val="subscript"/>
        </w:rPr>
        <w:t xml:space="preserve">2</w:t>
      </w:r>
      <w:r>
        <w:t xml:space="preserve">) at the boundary, paired with strict traceability confirming non-deforestation supply under the EU Deforestation Regulation (EUDR). Fossil emissions and biogenic flows are reported transparently.</w:t>
      </w:r>
    </w:p>
    <w:bookmarkEnd w:id="23"/>
    <w:bookmarkStart w:id="24" w:name="X572851ca74e5fc3f39abf71909cfce347b15c1b"/>
    <w:p>
      <w:pPr>
        <w:pStyle w:val="Heading3"/>
      </w:pPr>
      <w:r>
        <w:t xml:space="preserve">Consolidated Emissions Breakdown by GHG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Protocol Scope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Net PCF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Compliance Status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 (Direct Operations)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1.65%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Primary Data Metered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 (Purchased Dutch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5.36%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Market-based (Contracted Mix)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 (Upstream Materials &amp; Freight)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270.52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94.45%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98.4% Inventory Threshold Captured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LSR Biogenic Removals (2026 Standard)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-4.18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-1.46%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EUDR Traceable Sourcing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Net Product Carbon Footprint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286.42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100.00%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GHG Protocol Fully Compliant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bookmarkStart w:id="29" w:name="X4aff6179b2ebc6f9df1f45553ed54f1f7e86dee"/>
    <w:p>
      <w:pPr>
        <w:pStyle w:val="Heading2"/>
      </w:pPr>
      <w:r>
        <w:t xml:space="preserve">Step 5: Review, Hotspots &amp; Data Reliability Assessment</w:t>
      </w:r>
    </w:p>
    <w:bookmarkStart w:id="26" w:name="hotspot-identification"/>
    <w:p>
      <w:pPr>
        <w:pStyle w:val="Heading3"/>
      </w:pPr>
      <w:r>
        <w:t xml:space="preserve">1. Hotspot Identification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Structural Metals Hotspot (28.2%):</w:t>
      </w:r>
      <w:r>
        <w:t xml:space="preserve"> </w:t>
      </w:r>
      <w:r>
        <w:t xml:space="preserve">High-pressure aluminum die-casting for the charging unit chassis accounts for 52.39 kg CO</w:t>
      </w:r>
      <w:r>
        <w:rPr>
          <w:vertAlign w:val="subscript"/>
        </w:rPr>
        <w:t xml:space="preserve">2</w:t>
      </w:r>
      <w:r>
        <w:t xml:space="preserve">e. Transitioning to 80% post-consumer recycled aluminum billets would diminish this impact by 41% (-21.5 kg CO</w:t>
      </w:r>
      <w:r>
        <w:rPr>
          <w:vertAlign w:val="subscript"/>
        </w:rPr>
        <w:t xml:space="preserve">2</w:t>
      </w:r>
      <w:r>
        <w:t xml:space="preserve">e/unit).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Electronic Subassemblies Hotspot (21.6%):</w:t>
      </w:r>
      <w:r>
        <w:t xml:space="preserve"> </w:t>
      </w:r>
      <w:r>
        <w:t xml:space="preserve">PCB substrate manufacturing and microchip wafer fabrication contribute disproportionately relative to their mass, driven by energy-intensive fluorinated gas abatement and cleanroom utilities in the tier-2 supply chain.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Upstream Copper Cables &amp; Busbars (5.1%):</w:t>
      </w:r>
      <w:r>
        <w:t xml:space="preserve"> </w:t>
      </w:r>
      <w:r>
        <w:t xml:space="preserve">Pure copper conductors generate 14.64 kg CO</w:t>
      </w:r>
      <w:r>
        <w:rPr>
          <w:vertAlign w:val="subscript"/>
        </w:rPr>
        <w:t xml:space="preserve">2</w:t>
      </w:r>
      <w:r>
        <w:t xml:space="preserve">e. Exploring circular copper refiners utilizing European scrap can offer an immediate 15% reduction.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Dutch Assembly Electricity (5.4%):</w:t>
      </w:r>
      <w:r>
        <w:t xml:space="preserve"> </w:t>
      </w:r>
      <w:r>
        <w:t xml:space="preserve">While grid residual factor in the Netherlands is moderating (~295 g CO</w:t>
      </w:r>
      <w:r>
        <w:rPr>
          <w:vertAlign w:val="subscript"/>
        </w:rPr>
        <w:t xml:space="preserve">2</w:t>
      </w:r>
      <w:r>
        <w:t xml:space="preserve">e/kWh), full transition to an unbundled Guarantees of Origin (GoO) wind energy contract would eliminate Scope 2 emissions entirely.</w:t>
      </w:r>
    </w:p>
    <w:bookmarkEnd w:id="26"/>
    <w:bookmarkStart w:id="27" w:name="Xcfaa0f1df5717cd9cc7b9aac52f29c937b2ea98"/>
    <w:p>
      <w:pPr>
        <w:pStyle w:val="Heading3"/>
      </w:pPr>
      <w:r>
        <w:t xml:space="preserve">2. Data Quality &amp; Reliability Matrix (Pedigree Matrix Evaluation)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Representativeness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Temporal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Geographical Score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Uncertainty (± 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Raw Materials (Metals &amp; Polymers)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Very Good (Tier-1 EPD &amp; Ecoinvent 3.10)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 Average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4.5%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Electronic Components &amp; Silicon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Good (Industry Global Averages)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2023-2025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 / APAC / EU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8.0%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Inbound European Freight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Excellent (Direct Logistics Routes)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Western/Central Europe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3.0%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Assembly Facility Energy (NL)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Highest (Direct Factory Telemetry)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2025-2026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Netherlands (Eindhoven)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± 1.5%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Overall Composite Footprint Reliability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High Confidence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2026 Current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Netherlands/EU Target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± 4.8%</w:t>
            </w:r>
          </w:p>
        </w:tc>
      </w:tr>
    </w:tbl>
    <w:bookmarkEnd w:id="27"/>
    <w:bookmarkStart w:id="28" w:name="X488e8765cb00f1ce1412f51cf3326639f4fefb4"/>
    <w:p>
      <w:pPr>
        <w:pStyle w:val="Heading3"/>
      </w:pPr>
      <w:r>
        <w:t xml:space="preserve">3. Recommendations for Product Decarbonization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Low-Carbon Aluminum Substitution:</w:t>
      </w:r>
      <w:r>
        <w:t xml:space="preserve"> </w:t>
      </w:r>
      <w:r>
        <w:t xml:space="preserve">Mandate certified European low-carbon aluminum manufactured using hydropower or high-fraction recycled content (≥ 75%) for the outer structural frame.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Scope 2 PPA Decarbonization:</w:t>
      </w:r>
      <w:r>
        <w:t xml:space="preserve"> </w:t>
      </w:r>
      <w:r>
        <w:t xml:space="preserve">Secure 100% matched Hourly Matching (24/7) Renewable Energy Certificates (PPA with North Sea offshore wind assets) for the Dutch assembly plant.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for Disassembly (DfD):</w:t>
      </w:r>
      <w:r>
        <w:t xml:space="preserve"> </w:t>
      </w:r>
      <w:r>
        <w:t xml:space="preserve">Implement modular PCB interconnects to ease component replacement and end-of-life recovery under the EU Waste Electrical and Electronic Equipment (WEEE) Directive.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Bio-Based Enclosure Formulations:</w:t>
      </w:r>
      <w:r>
        <w:t xml:space="preserve"> </w:t>
      </w:r>
      <w:r>
        <w:t xml:space="preserve">Pilot bio-circular polycarbonates (mass-balanced from forestry residues) to qualify for enhanced biogenic sequestration credits under ongoing GHG Protocol LSR cycles.</w:t>
      </w:r>
    </w:p>
    <w:p>
      <w:pPr>
        <w:pStyle w:val="FirstParagraph"/>
      </w:pPr>
      <w:r>
        <w:t xml:space="preserve">Prepared by Senior Sustainability Consultant | carboncalcpcf.com</w:t>
      </w:r>
      <w:r>
        <w:t xml:space="preserve"> </w:t>
      </w:r>
      <w:r>
        <w:t xml:space="preserve">GHG Protocol Compliant | Confidential - For Internal &amp; Client Verification Use Only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- Commercial Smart EV Charging Station (22 kW) | GHG Protocol</dc:title>
  <dc:creator/>
  <dc:description>Comprehensive Cradle-to-Gate Product Carbon Footprint (PCF) report for a 22 kW Commercial Smart EV Charging Station manufactured in the Netherlands, compliant with GHG Protocol Product Standard and the 2026 Land Sector and Removals (LSR) Guidance.</dc:description>
  <dc:language>en</dc:language>
  <cp:keywords/>
  <dcterms:created xsi:type="dcterms:W3CDTF">2026-10-21T14:14:29Z</dcterms:created>
  <dcterms:modified xsi:type="dcterms:W3CDTF">2026-10-21T14:14:29Z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