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Commercial</w:t>
      </w:r>
      <w:r>
        <w:t xml:space="preserve"> </w:t>
      </w:r>
      <w:r>
        <w:t xml:space="preserve">Ergonomic</w:t>
      </w:r>
      <w:r>
        <w:t xml:space="preserve"> </w:t>
      </w:r>
      <w:r>
        <w:t xml:space="preserve">Chair</w:t>
      </w:r>
      <w:r>
        <w:t xml:space="preserve"> </w:t>
      </w:r>
      <w:r>
        <w:t xml:space="preserve">|</w:t>
      </w:r>
      <w:r>
        <w:t xml:space="preserve"> </w:t>
      </w:r>
      <w:r>
        <w:t xml:space="preserve">carboncalcpcf.com</w:t>
      </w:r>
    </w:p>
    <w:p>
      <w:pPr>
        <w:pStyle w:val="FirstParagraph"/>
      </w:pPr>
      <w:r>
        <w:t xml:space="preserve">carboncalcpcf.com • Product Carbon Footprint Registry</w:t>
      </w:r>
    </w:p>
    <w:bookmarkStart w:id="20" w:name="product-carbon-footprint-pcf-report"/>
    <w:p>
      <w:pPr>
        <w:pStyle w:val="Heading1"/>
      </w:pPr>
      <w:r>
        <w:t xml:space="preserve">PRODUCT CARBON FOOTPRINT (PCF) REPORT</w:t>
      </w:r>
    </w:p>
    <w:p>
      <w:pPr>
        <w:pStyle w:val="FirstParagraph"/>
      </w:pPr>
      <w:r>
        <w:t xml:space="preserve">Cradle-to-Factory Gate Greenhouse Gas Quantification for Ergonomic Task Chair</w:t>
      </w:r>
    </w:p>
    <w:p>
      <w:pPr>
        <w:pStyle w:val="BodyText"/>
      </w:pPr>
      <w:r>
        <w:t xml:space="preserve">GHG Protocol Compliant • 2026 LSR Edition</w:t>
      </w:r>
    </w:p>
    <w:bookmarkEnd w:id="20"/>
    <w:p>
      <w:pPr>
        <w:pStyle w:val="BodyText"/>
      </w:pPr>
      <w:r>
        <w:t xml:space="preserve">Product Name / Model:</w:t>
      </w:r>
      <w:r>
        <w:t xml:space="preserve"> </w:t>
      </w:r>
      <w:r>
        <w:t xml:space="preserve">Ergonomic Mesh-Back Task Chair (Series V-2026)</w:t>
      </w:r>
    </w:p>
    <w:p>
      <w:pPr>
        <w:pStyle w:val="BodyText"/>
      </w:pPr>
      <w:r>
        <w:t xml:space="preserve">Functional Unit:</w:t>
      </w:r>
      <w:r>
        <w:t xml:space="preserve"> </w:t>
      </w:r>
      <w:r>
        <w:t xml:space="preserve">1.0 unit (Finished packaged task chair, 15.2 kg product net mass)</w:t>
      </w:r>
    </w:p>
    <w:p>
      <w:pPr>
        <w:pStyle w:val="BodyText"/>
      </w:pPr>
      <w:r>
        <w:t xml:space="preserve">System Boundary:</w:t>
      </w:r>
      <w:r>
        <w:t xml:space="preserve"> </w:t>
      </w:r>
      <w:r>
        <w:t xml:space="preserve">Cradle-to-Gate (Factory Gate, Binh Duong Facility, Vietnam)</w:t>
      </w:r>
    </w:p>
    <w:p>
      <w:pPr>
        <w:pStyle w:val="BodyText"/>
      </w:pPr>
      <w:r>
        <w:t xml:space="preserve">Geographic Scope:</w:t>
      </w:r>
      <w:r>
        <w:t xml:space="preserve"> </w:t>
      </w:r>
      <w:r>
        <w:t xml:space="preserve">Final Assembly: Vietnam; Upstream Sourcing: North America &amp; Global Chain</w:t>
      </w:r>
    </w:p>
    <w:p>
      <w:pPr>
        <w:pStyle w:val="BodyText"/>
      </w:pPr>
      <w:r>
        <w:t xml:space="preserve">Accounting Standard:</w:t>
      </w:r>
      <w:r>
        <w:t xml:space="preserve"> </w:t>
      </w:r>
      <w:r>
        <w:t xml:space="preserve">GHG Protocol Product Life Cycle Accounting and Reporting Standard</w:t>
      </w:r>
    </w:p>
    <w:p>
      <w:pPr>
        <w:pStyle w:val="BodyText"/>
      </w:pPr>
      <w:r>
        <w:t xml:space="preserve">Land Sector Standards:</w:t>
      </w:r>
      <w:r>
        <w:t xml:space="preserve"> </w:t>
      </w:r>
      <w:r>
        <w:t xml:space="preserve">GHG Protocol Land Sector and Removals (LSR) Standard (2026 Mandate)</w:t>
      </w:r>
    </w:p>
    <w:p>
      <w:pPr>
        <w:pStyle w:val="BodyText"/>
      </w:pPr>
      <w:r>
        <w:t xml:space="preserve">Scope 3 Coverage Rate:</w:t>
      </w:r>
      <w:r>
        <w:t xml:space="preserve"> </w:t>
      </w:r>
      <w:r>
        <w:t xml:space="preserve">97.8% of Total Upstream Inventory (Exceeds 95% 2026 requirement)</w:t>
      </w:r>
    </w:p>
    <w:p>
      <w:pPr>
        <w:pStyle w:val="BodyText"/>
      </w:pPr>
      <w:r>
        <w:t xml:space="preserve">Senior Sustainability Consultant:</w:t>
      </w:r>
      <w:r>
        <w:t xml:space="preserve"> </w:t>
      </w:r>
      <w:r>
        <w:t xml:space="preserve">hoe siong woon</w:t>
      </w:r>
    </w:p>
    <w:p>
      <w:pPr>
        <w:pStyle w:val="BodyText"/>
      </w:pPr>
      <w:r>
        <w:t xml:space="preserve">Assessment Completion Date:</w:t>
      </w:r>
      <w:r>
        <w:t xml:space="preserve"> </w:t>
      </w:r>
      <w:r>
        <w:t xml:space="preserve">October 2026</w:t>
      </w:r>
    </w:p>
    <w:p>
      <w:pPr>
        <w:pStyle w:val="BodyText"/>
      </w:pPr>
      <w:r>
        <w:rPr>
          <w:bCs/>
          <w:b/>
        </w:rPr>
        <w:t xml:space="preserve">Notice &amp; Disclaimer:</w:t>
      </w:r>
      <w:r>
        <w:t xml:space="preserve"> </w:t>
      </w:r>
      <w:r>
        <w:t xml:space="preserve">This Product Carbon Footprint (PCF) report was prepared in accordance with the Greenhouse Gas (GHG) Protocol Product Standard and the 2026 Land Sector and Removals (LSR) Guidance. Calculations are based on verifiable primary activity data gathered from Tier 1 manufacturing facilities in Vietnam, corroborated by Tier 2/3 primary vendor disclosures, and qualified secondary life cycle inventory (LCI) data sets (Ecoinvent v3.10 and national grid averages). While verified to industry standards, actual operational variances may occur. Generated via carboncalcpcf.com.</w:t>
      </w:r>
    </w:p>
    <w:p>
      <w:pPr>
        <w:pStyle w:val="BodyText"/>
      </w:pPr>
      <w:r>
        <w:rPr>
          <w:bCs/>
          <w:b/>
        </w:rPr>
        <w:t xml:space="preserve">Product Carbon Footprint:</w:t>
      </w:r>
      <w:r>
        <w:t xml:space="preserve"> </w:t>
      </w:r>
      <w:r>
        <w:t xml:space="preserve">Ergonomic Task Chair (1.0 Unit)</w:t>
      </w:r>
    </w:p>
    <w:p>
      <w:pPr>
        <w:pStyle w:val="BodyText"/>
      </w:pPr>
      <w:r>
        <w:rPr>
          <w:bCs/>
          <w:b/>
        </w:rPr>
        <w:t xml:space="preserve">Generated Date:</w:t>
      </w:r>
      <w:r>
        <w:t xml:space="preserve"> </w:t>
      </w:r>
      <w:r>
        <w:t xml:space="preserve">October 2026 | Prepared by: hoe siong woon</w:t>
      </w:r>
    </w:p>
    <w:bookmarkStart w:id="21" w:name="executive-summary"/>
    <w:p>
      <w:pPr>
        <w:pStyle w:val="Heading1"/>
      </w:pPr>
      <w:r>
        <w:t xml:space="preserve">Executive Summary</w:t>
      </w:r>
    </w:p>
    <w:p>
      <w:pPr>
        <w:pStyle w:val="FirstParagraph"/>
      </w:pPr>
      <w:r>
        <w:t xml:space="preserve">This Product Carbon Footprint (PCF) report establishes the cradle-to-factory gate greenhouse gas (GHG) inventory for one unit (1.0 unit) of an Ergonomic Task Chair (Model V-2026), assembled at a primary manufacturing plant in Binh Duong Province, Vietnam. The supply chain model integrates key precision assemblies sourced from North America (Class 4 pneumatic cylinders and multi-tilt mechanisms) alongside secondary structural polymers, molded foams, and packaging sourced regionally and globally.</w:t>
      </w:r>
    </w:p>
    <w:p>
      <w:pPr>
        <w:pStyle w:val="BodyText"/>
      </w:pPr>
      <w:r>
        <w:t xml:space="preserve">The assessment was conducted under the direct supervision of</w:t>
      </w:r>
      <w:r>
        <w:t xml:space="preserve"> </w:t>
      </w:r>
      <w:r>
        <w:rPr>
          <w:bCs/>
          <w:b/>
        </w:rPr>
        <w:t xml:space="preserve">hoe siong woon</w:t>
      </w:r>
      <w:r>
        <w:t xml:space="preserve">, Senior Sustainability Consultant, utilizing the</w:t>
      </w:r>
      <w:r>
        <w:t xml:space="preserve"> </w:t>
      </w:r>
      <w:r>
        <w:rPr>
          <w:bCs/>
          <w:b/>
        </w:rPr>
        <w:t xml:space="preserve">GHG Protocol Product Life Cycle Accounting and Reporting Standard</w:t>
      </w:r>
      <w:r>
        <w:t xml:space="preserve">. In compliance with the updated</w:t>
      </w:r>
      <w:r>
        <w:t xml:space="preserve"> </w:t>
      </w:r>
      <w:r>
        <w:rPr>
          <w:bCs/>
          <w:b/>
        </w:rPr>
        <w:t xml:space="preserve">2026 Land Sector and Removals (LSR) Standard</w:t>
      </w:r>
      <w:r>
        <w:t xml:space="preserve">, biogenic carbon emissions, land management practices, and carbon storage pools in corrugated packaging are explicitly accounted for and reported in segregated impact categories rather than masked within gross fossil totals.</w:t>
      </w:r>
    </w:p>
    <w:p>
      <w:pPr>
        <w:pStyle w:val="BodyText"/>
      </w:pPr>
      <w:r>
        <w:t xml:space="preserve">96.34</w:t>
      </w:r>
    </w:p>
    <w:p>
      <w:pPr>
        <w:pStyle w:val="BodyText"/>
      </w:pPr>
      <w:r>
        <w:t xml:space="preserve">Fossil GHG (kg CO</w:t>
      </w:r>
      <w:r>
        <w:rPr>
          <w:vertAlign w:val="subscript"/>
        </w:rPr>
        <w:t xml:space="preserve">2</w:t>
      </w:r>
      <w:r>
        <w:t xml:space="preserve">e / unit)</w:t>
      </w:r>
    </w:p>
    <w:p>
      <w:pPr>
        <w:pStyle w:val="BodyText"/>
      </w:pPr>
      <w:r>
        <w:t xml:space="preserve">0.12</w:t>
      </w:r>
    </w:p>
    <w:p>
      <w:pPr>
        <w:pStyle w:val="BodyText"/>
      </w:pPr>
      <w:r>
        <w:t xml:space="preserve">Land Use / LUC (kg CO</w:t>
      </w:r>
      <w:r>
        <w:rPr>
          <w:vertAlign w:val="subscript"/>
        </w:rPr>
        <w:t xml:space="preserve">2</w:t>
      </w:r>
      <w:r>
        <w:t xml:space="preserve">e)</w:t>
      </w:r>
    </w:p>
    <w:p>
      <w:pPr>
        <w:pStyle w:val="BodyText"/>
      </w:pPr>
      <w:r>
        <w:t xml:space="preserve">-1.98</w:t>
      </w:r>
    </w:p>
    <w:p>
      <w:pPr>
        <w:pStyle w:val="BodyText"/>
      </w:pPr>
      <w:r>
        <w:t xml:space="preserve">Biogenic Removals (kg CO</w:t>
      </w:r>
      <w:r>
        <w:rPr>
          <w:vertAlign w:val="subscript"/>
        </w:rPr>
        <w:t xml:space="preserve">2</w:t>
      </w:r>
      <w:r>
        <w:t xml:space="preserve">)</w:t>
      </w:r>
    </w:p>
    <w:p>
      <w:pPr>
        <w:pStyle w:val="BodyText"/>
      </w:pPr>
      <w:r>
        <w:t xml:space="preserve">97.8%</w:t>
      </w:r>
    </w:p>
    <w:p>
      <w:pPr>
        <w:pStyle w:val="BodyText"/>
      </w:pPr>
      <w:r>
        <w:t xml:space="preserve">Scope 3 LCI Coverage</w:t>
      </w:r>
    </w:p>
    <w:p>
      <w:pPr>
        <w:pStyle w:val="BodyText"/>
      </w:pPr>
      <w:r>
        <w:t xml:space="preserve">Key Carbon Hotspot Insights:</w:t>
      </w:r>
    </w:p>
    <w:p>
      <w:pPr>
        <w:numPr>
          <w:ilvl w:val="0"/>
          <w:numId w:val="1001"/>
        </w:numPr>
        <w:pStyle w:val="Compact"/>
      </w:pPr>
      <w:r>
        <w:rPr>
          <w:bCs/>
          <w:b/>
        </w:rPr>
        <w:t xml:space="preserve">Primary Emission Driver:</w:t>
      </w:r>
      <w:r>
        <w:t xml:space="preserve"> </w:t>
      </w:r>
      <w:r>
        <w:t xml:space="preserve">Scope 3 Category 1 (Purchased Goods and Services) represents</w:t>
      </w:r>
      <w:r>
        <w:t xml:space="preserve"> </w:t>
      </w:r>
      <w:r>
        <w:rPr>
          <w:bCs/>
          <w:b/>
        </w:rPr>
        <w:t xml:space="preserve">75.1%</w:t>
      </w:r>
      <w:r>
        <w:t xml:space="preserve"> </w:t>
      </w:r>
      <w:r>
        <w:t xml:space="preserve">(72.36 kg CO</w:t>
      </w:r>
      <w:r>
        <w:rPr>
          <w:vertAlign w:val="subscript"/>
        </w:rPr>
        <w:t xml:space="preserve">2</w:t>
      </w:r>
      <w:r>
        <w:t xml:space="preserve">e) of total cradle-to-gate fossil emissions, dominated by aluminum die casting and engineered polyamides.</w:t>
      </w:r>
    </w:p>
    <w:p>
      <w:pPr>
        <w:numPr>
          <w:ilvl w:val="0"/>
          <w:numId w:val="1001"/>
        </w:numPr>
        <w:pStyle w:val="Compact"/>
      </w:pPr>
      <w:r>
        <w:rPr>
          <w:bCs/>
          <w:b/>
        </w:rPr>
        <w:t xml:space="preserve">Intercontinental Logistics Impact:</w:t>
      </w:r>
      <w:r>
        <w:t xml:space="preserve"> </w:t>
      </w:r>
      <w:r>
        <w:t xml:space="preserve">Air/ocean and transcontinental rail freight for North American sub-assemblies contribute</w:t>
      </w:r>
      <w:r>
        <w:t xml:space="preserve"> </w:t>
      </w:r>
      <w:r>
        <w:rPr>
          <w:bCs/>
          <w:b/>
        </w:rPr>
        <w:t xml:space="preserve">6.5%</w:t>
      </w:r>
      <w:r>
        <w:t xml:space="preserve"> </w:t>
      </w:r>
      <w:r>
        <w:t xml:space="preserve">(6.31 kg CO</w:t>
      </w:r>
      <w:r>
        <w:rPr>
          <w:vertAlign w:val="subscript"/>
        </w:rPr>
        <w:t xml:space="preserve">2</w:t>
      </w:r>
      <w:r>
        <w:t xml:space="preserve">e) under Scope 3 Category 4.</w:t>
      </w:r>
    </w:p>
    <w:p>
      <w:pPr>
        <w:numPr>
          <w:ilvl w:val="0"/>
          <w:numId w:val="1001"/>
        </w:numPr>
        <w:pStyle w:val="Compact"/>
      </w:pPr>
      <w:r>
        <w:rPr>
          <w:bCs/>
          <w:b/>
        </w:rPr>
        <w:t xml:space="preserve">Direct Factory Operations:</w:t>
      </w:r>
      <w:r>
        <w:t xml:space="preserve"> </w:t>
      </w:r>
      <w:r>
        <w:t xml:space="preserve">Scope 1 and Scope 2 operations at the Vietnam assembly facility represent</w:t>
      </w:r>
      <w:r>
        <w:t xml:space="preserve"> </w:t>
      </w:r>
      <w:r>
        <w:rPr>
          <w:bCs/>
          <w:b/>
        </w:rPr>
        <w:t xml:space="preserve">1.5%</w:t>
      </w:r>
      <w:r>
        <w:t xml:space="preserve"> </w:t>
      </w:r>
      <w:r>
        <w:t xml:space="preserve">and</w:t>
      </w:r>
      <w:r>
        <w:t xml:space="preserve"> </w:t>
      </w:r>
      <w:r>
        <w:rPr>
          <w:bCs/>
          <w:b/>
        </w:rPr>
        <w:t xml:space="preserve">13.7%</w:t>
      </w:r>
      <w:r>
        <w:t xml:space="preserve"> </w:t>
      </w:r>
      <w:r>
        <w:t xml:space="preserve">respectively, driven by the carbon intensity of Vietnam\'s national electrical grid.</w:t>
      </w:r>
    </w:p>
    <w:p>
      <w:pPr>
        <w:numPr>
          <w:ilvl w:val="0"/>
          <w:numId w:val="1001"/>
        </w:numPr>
        <w:pStyle w:val="Compact"/>
      </w:pPr>
      <w:r>
        <w:rPr>
          <w:bCs/>
          <w:b/>
        </w:rPr>
        <w:t xml:space="preserve">Scope 3 Compliance:</w:t>
      </w:r>
      <w:r>
        <w:t xml:space="preserve"> </w:t>
      </w:r>
      <w:r>
        <w:t xml:space="preserve">Data completeness reached 97.8% across raw material flows, exceeding the 2026 GHG Protocol threshold of 95% value chain coverage.</w:t>
      </w:r>
    </w:p>
    <w:p>
      <w:r>
        <w:pict>
          <v:rect style="width:0;height:1.5pt" o:hralign="center" o:hrstd="t" o:hr="t"/>
        </w:pict>
      </w:r>
    </w:p>
    <w:bookmarkEnd w:id="21"/>
    <w:bookmarkStart w:id="26" w:name="definition-of-scope-system-boundaries"/>
    <w:p>
      <w:pPr>
        <w:pStyle w:val="Heading1"/>
      </w:pPr>
      <w:r>
        <w:t xml:space="preserve">1. Definition of Scope &amp; System Boundaries</w:t>
      </w:r>
    </w:p>
    <w:bookmarkStart w:id="22" w:name="functional-unit"/>
    <w:p>
      <w:pPr>
        <w:pStyle w:val="Heading2"/>
      </w:pPr>
      <w:r>
        <w:t xml:space="preserve">1.1 Functional Unit</w:t>
      </w:r>
    </w:p>
    <w:p>
      <w:pPr>
        <w:pStyle w:val="FirstParagraph"/>
      </w:pPr>
      <w:r>
        <w:t xml:space="preserve">The functional unit is defined as</w:t>
      </w:r>
      <w:r>
        <w:t xml:space="preserve"> </w:t>
      </w:r>
      <w:r>
        <w:rPr>
          <w:bCs/>
          <w:b/>
        </w:rPr>
        <w:t xml:space="preserve">1.0 unit of a fully assembled, commercial-grade ergonomic office task chair</w:t>
      </w:r>
      <w:r>
        <w:t xml:space="preserve"> </w:t>
      </w:r>
      <w:r>
        <w:t xml:space="preserve">(net mass 15.20 kg, gross packaged mass 16.70 kg) including protective corrugated export packaging, meeting ANSI/BIFMA X5.1 commercial performance requirements and ready for ex-factory distribution.</w:t>
      </w:r>
    </w:p>
    <w:bookmarkEnd w:id="22"/>
    <w:bookmarkStart w:id="23" w:name="system-boundary-factory-gate"/>
    <w:p>
      <w:pPr>
        <w:pStyle w:val="Heading2"/>
      </w:pPr>
      <w:r>
        <w:t xml:space="preserve">1.2 System Boundary: Factory Gate</w:t>
      </w:r>
    </w:p>
    <w:p>
      <w:pPr>
        <w:pStyle w:val="FirstParagraph"/>
      </w:pPr>
      <w:r>
        <w:t xml:space="preserve">The study boundary is</w:t>
      </w:r>
      <w:r>
        <w:t xml:space="preserve"> </w:t>
      </w:r>
      <w:r>
        <w:rPr>
          <w:bCs/>
          <w:b/>
        </w:rPr>
        <w:t xml:space="preserve">Cradle-to-Factory Gate</w:t>
      </w:r>
      <w:r>
        <w:t xml:space="preserve">. All upstream and on-site processes up to the departure from the loading dock of the final manufacturing facility in Vietnam are encompassed:</w:t>
      </w:r>
    </w:p>
    <w:p>
      <w:pPr>
        <w:numPr>
          <w:ilvl w:val="0"/>
          <w:numId w:val="1002"/>
        </w:numPr>
        <w:pStyle w:val="Compact"/>
      </w:pPr>
      <w:r>
        <w:rPr>
          <w:bCs/>
          <w:b/>
        </w:rPr>
        <w:t xml:space="preserve">Raw Material Extraction &amp; Refining:</w:t>
      </w:r>
      <w:r>
        <w:t xml:space="preserve"> </w:t>
      </w:r>
      <w:r>
        <w:t xml:space="preserve">Bauxite extraction and aluminum smelting, crude oil extraction for polymer syntheses, iron ore reduction for carbon steel, and forestry operations for wood-fiber corrugate.</w:t>
      </w:r>
    </w:p>
    <w:p>
      <w:pPr>
        <w:numPr>
          <w:ilvl w:val="0"/>
          <w:numId w:val="1002"/>
        </w:numPr>
        <w:pStyle w:val="Compact"/>
      </w:pPr>
      <w:r>
        <w:rPr>
          <w:bCs/>
          <w:b/>
        </w:rPr>
        <w:t xml:space="preserve">Intermediate Component Manufacturing:</w:t>
      </w:r>
      <w:r>
        <w:t xml:space="preserve"> </w:t>
      </w:r>
      <w:r>
        <w:t xml:space="preserve">North American precision fabrication of pneumatic cylinders and synchronous tilt mechanisms; regional injection molding of polyamide frames; production of high-resilience polyurethane foam.</w:t>
      </w:r>
    </w:p>
    <w:p>
      <w:pPr>
        <w:numPr>
          <w:ilvl w:val="0"/>
          <w:numId w:val="1002"/>
        </w:numPr>
        <w:pStyle w:val="Compact"/>
      </w:pPr>
      <w:r>
        <w:rPr>
          <w:bCs/>
          <w:b/>
        </w:rPr>
        <w:t xml:space="preserve">Inbound Transportation:</w:t>
      </w:r>
      <w:r>
        <w:t xml:space="preserve"> </w:t>
      </w:r>
      <w:r>
        <w:t xml:space="preserve">Transpacific ocean container shipping, North American drayage, and Vietnamese domestic trucking.</w:t>
      </w:r>
    </w:p>
    <w:p>
      <w:pPr>
        <w:numPr>
          <w:ilvl w:val="0"/>
          <w:numId w:val="1002"/>
        </w:numPr>
        <w:pStyle w:val="Compact"/>
      </w:pPr>
      <w:r>
        <w:rPr>
          <w:bCs/>
          <w:b/>
        </w:rPr>
        <w:t xml:space="preserve">Final Production &amp; Assembly:</w:t>
      </w:r>
      <w:r>
        <w:t xml:space="preserve"> </w:t>
      </w:r>
      <w:r>
        <w:t xml:space="preserve">High-pressure die casting finishing, powder coating, automated screw assembly, cushion upholstery, quality control testing, and primary/secondary protective boxing.</w:t>
      </w:r>
    </w:p>
    <w:p>
      <w:pPr>
        <w:numPr>
          <w:ilvl w:val="0"/>
          <w:numId w:val="1002"/>
        </w:numPr>
        <w:pStyle w:val="Compact"/>
      </w:pPr>
      <w:r>
        <w:rPr>
          <w:bCs/>
          <w:b/>
        </w:rPr>
        <w:t xml:space="preserve">Excluded Downstream Phases:</w:t>
      </w:r>
      <w:r>
        <w:t xml:space="preserve"> </w:t>
      </w:r>
      <w:r>
        <w:t xml:space="preserve">Outbound distribution to wholesalers/end-users, in-use cleaning and maintenance, and product end-of-life disposal/recycling.</w:t>
      </w:r>
    </w:p>
    <w:bookmarkEnd w:id="23"/>
    <w:bookmarkStart w:id="24" w:name="geographic-scope-sourcing-configuration"/>
    <w:p>
      <w:pPr>
        <w:pStyle w:val="Heading2"/>
      </w:pPr>
      <w:r>
        <w:t xml:space="preserve">1.3 Geographic Scope &amp; Sourcing Configuration</w:t>
      </w:r>
    </w:p>
    <w:p>
      <w:pPr>
        <w:numPr>
          <w:ilvl w:val="0"/>
          <w:numId w:val="1003"/>
        </w:numPr>
        <w:pStyle w:val="Compact"/>
      </w:pPr>
      <w:r>
        <w:rPr>
          <w:bCs/>
          <w:b/>
        </w:rPr>
        <w:t xml:space="preserve">Final Assembly Location:</w:t>
      </w:r>
      <w:r>
        <w:t xml:space="preserve"> </w:t>
      </w:r>
      <w:r>
        <w:t xml:space="preserve">Binh Duong Industrial Park, Vietnam (Grid emission factor applied: EVN national grid average).</w:t>
      </w:r>
    </w:p>
    <w:p>
      <w:pPr>
        <w:numPr>
          <w:ilvl w:val="0"/>
          <w:numId w:val="1003"/>
        </w:numPr>
        <w:pStyle w:val="Compact"/>
      </w:pPr>
      <w:r>
        <w:rPr>
          <w:bCs/>
          <w:b/>
        </w:rPr>
        <w:t xml:space="preserve">North American Sourcing Tier:</w:t>
      </w:r>
      <w:r>
        <w:t xml:space="preserve"> </w:t>
      </w:r>
      <w:r>
        <w:t xml:space="preserve">Synchronous tilt mechanisms, adjustment levers, and heavy-duty gas cylinders manufactured in Michigan, USA and Ontario, Canada.</w:t>
      </w:r>
    </w:p>
    <w:p>
      <w:pPr>
        <w:numPr>
          <w:ilvl w:val="0"/>
          <w:numId w:val="1003"/>
        </w:numPr>
        <w:pStyle w:val="Compact"/>
      </w:pPr>
      <w:r>
        <w:rPr>
          <w:bCs/>
          <w:b/>
        </w:rPr>
        <w:t xml:space="preserve">Global/Asian Regional Sourcing Tier:</w:t>
      </w:r>
      <w:r>
        <w:t xml:space="preserve"> </w:t>
      </w:r>
      <w:r>
        <w:t xml:space="preserve">Polyamide (PA66-GF30) seat/back structural frames (Taiwan/China), molded flexible polyurethane foam (Vietnam), recycled polyethylene terephthalate (rPET) technical mesh fabric (South Korea), and corrugated carton packaging (Vietnam).</w:t>
      </w:r>
    </w:p>
    <w:bookmarkEnd w:id="24"/>
    <w:bookmarkStart w:id="25" w:name="allocation-procedures"/>
    <w:p>
      <w:pPr>
        <w:pStyle w:val="Heading2"/>
      </w:pPr>
      <w:r>
        <w:t xml:space="preserve">1.4 Allocation Procedures</w:t>
      </w:r>
    </w:p>
    <w:p>
      <w:pPr>
        <w:pStyle w:val="FirstParagraph"/>
      </w:pPr>
      <w:r>
        <w:t xml:space="preserve">In conformance with GHG Protocol guidance, allocation was strictly avoided wherever sub-metering or direct material mass attribution was feasible. Plant electricity, compressed air, and thermal gas consumption in the Vietnam assembly facility were allocated based on physical machine hour unit runs across shared lines. Multi-output upstream petroleum refining and metallurgical processes apply mass and economic allocation consistent with standard Ecoinvent v3.10 allocations.</w:t>
      </w:r>
    </w:p>
    <w:p>
      <w:r>
        <w:pict>
          <v:rect style="width:0;height:1.5pt" o:hralign="center" o:hrstd="t" o:hr="t"/>
        </w:pict>
      </w:r>
    </w:p>
    <w:bookmarkEnd w:id="25"/>
    <w:bookmarkEnd w:id="26"/>
    <w:bookmarkStart w:id="27" w:name="life-cycle-inventory-mapping"/>
    <w:p>
      <w:pPr>
        <w:pStyle w:val="Heading1"/>
      </w:pPr>
      <w:r>
        <w:t xml:space="preserve">2. Life Cycle Inventory Mapping</w:t>
      </w:r>
    </w:p>
    <w:p>
      <w:pPr>
        <w:pStyle w:val="FirstParagraph"/>
      </w:pPr>
      <w:r>
        <w:t xml:space="preserve">The life cycle inventory (LCI) encompasses seven distinct manufacturing tiers and process stages prior to the factory gate dispatch. The visual material flow is categorized in Table 1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Unit Operations Included</w:t>
            </w:r>
          </w:p>
        </w:tc>
        <w:tc>
          <w:tcPr/>
          <w:p>
            <w:pPr>
              <w:pStyle w:val="Compact"/>
              <w:jc w:val="left"/>
            </w:pPr>
            <w:r>
              <w:t xml:space="preserve">Primary Geographic Node</w:t>
            </w:r>
          </w:p>
        </w:tc>
        <w:tc>
          <w:tcPr/>
          <w:p>
            <w:pPr>
              <w:pStyle w:val="Compact"/>
              <w:jc w:val="left"/>
            </w:pPr>
            <w:r>
              <w:t xml:space="preserve">GHG Protocol Scope Classification</w:t>
            </w:r>
          </w:p>
        </w:tc>
      </w:tr>
      <w:tr>
        <w:tc>
          <w:tcPr/>
          <w:p>
            <w:pPr>
              <w:pStyle w:val="Compact"/>
              <w:jc w:val="left"/>
            </w:pPr>
            <w:r>
              <w:rPr>
                <w:bCs/>
                <w:b/>
              </w:rPr>
              <w:t xml:space="preserve">Stage 1: Raw Material Extraction</w:t>
            </w:r>
          </w:p>
        </w:tc>
        <w:tc>
          <w:tcPr/>
          <w:p>
            <w:pPr>
              <w:pStyle w:val="Compact"/>
              <w:jc w:val="left"/>
            </w:pPr>
            <w:r>
              <w:t xml:space="preserve">Alumina smelting, fossil crude refining, steel scrap melting, wood pulping.</w:t>
            </w:r>
          </w:p>
        </w:tc>
        <w:tc>
          <w:tcPr/>
          <w:p>
            <w:pPr>
              <w:pStyle w:val="Compact"/>
              <w:jc w:val="left"/>
            </w:pPr>
            <w:r>
              <w:t xml:space="preserve">Global (US, Canada, China, Australia)</w:t>
            </w:r>
          </w:p>
        </w:tc>
        <w:tc>
          <w:tcPr/>
          <w:p>
            <w:pPr>
              <w:pStyle w:val="Compact"/>
              <w:jc w:val="left"/>
            </w:pPr>
            <w:r>
              <w:t xml:space="preserve">Scope 3, Category 1 (Purchased Goods)</w:t>
            </w:r>
          </w:p>
        </w:tc>
      </w:tr>
      <w:tr>
        <w:tc>
          <w:tcPr/>
          <w:p>
            <w:pPr>
              <w:pStyle w:val="Compact"/>
              <w:jc w:val="left"/>
            </w:pPr>
            <w:r>
              <w:rPr>
                <w:bCs/>
                <w:b/>
              </w:rPr>
              <w:t xml:space="preserve">Stage 2: Component Synthesis</w:t>
            </w:r>
          </w:p>
        </w:tc>
        <w:tc>
          <w:tcPr/>
          <w:p>
            <w:pPr>
              <w:pStyle w:val="Compact"/>
              <w:jc w:val="left"/>
            </w:pPr>
            <w:r>
              <w:t xml:space="preserve">Die-cast aluminum foot bases, injection molded PA66 glass-filled components, polyurethane polyol synthesis.</w:t>
            </w:r>
          </w:p>
        </w:tc>
        <w:tc>
          <w:tcPr/>
          <w:p>
            <w:pPr>
              <w:pStyle w:val="Compact"/>
              <w:jc w:val="left"/>
            </w:pPr>
            <w:r>
              <w:t xml:space="preserve">North America, Taiwan, Vietnam</w:t>
            </w:r>
          </w:p>
        </w:tc>
        <w:tc>
          <w:tcPr/>
          <w:p>
            <w:pPr>
              <w:pStyle w:val="Compact"/>
              <w:jc w:val="left"/>
            </w:pPr>
            <w:r>
              <w:t xml:space="preserve">Scope 3, Category 1 (Purchased Goods)</w:t>
            </w:r>
          </w:p>
        </w:tc>
      </w:tr>
      <w:tr>
        <w:tc>
          <w:tcPr/>
          <w:p>
            <w:pPr>
              <w:pStyle w:val="Compact"/>
              <w:jc w:val="left"/>
            </w:pPr>
            <w:r>
              <w:rPr>
                <w:bCs/>
                <w:b/>
              </w:rPr>
              <w:t xml:space="preserve">Stage 3: Sub-assembly Inbound Freight</w:t>
            </w:r>
          </w:p>
        </w:tc>
        <w:tc>
          <w:tcPr/>
          <w:p>
            <w:pPr>
              <w:pStyle w:val="Compact"/>
              <w:jc w:val="left"/>
            </w:pPr>
            <w:r>
              <w:t xml:space="preserve">Intermodal rail/trucking, container sea freight from Long Beach/Vancouver to Cat Lai Port (HCMC).</w:t>
            </w:r>
          </w:p>
        </w:tc>
        <w:tc>
          <w:tcPr/>
          <w:p>
            <w:pPr>
              <w:pStyle w:val="Compact"/>
              <w:jc w:val="left"/>
            </w:pPr>
            <w:r>
              <w:t xml:space="preserve">Transpacific ocean lanes &amp; Vietnam transit routes</w:t>
            </w:r>
          </w:p>
        </w:tc>
        <w:tc>
          <w:tcPr/>
          <w:p>
            <w:pPr>
              <w:pStyle w:val="Compact"/>
              <w:jc w:val="left"/>
            </w:pPr>
            <w:r>
              <w:t xml:space="preserve">Scope 3, Category 4 (Upstream Transportation)</w:t>
            </w:r>
          </w:p>
        </w:tc>
      </w:tr>
      <w:tr>
        <w:tc>
          <w:tcPr/>
          <w:p>
            <w:pPr>
              <w:pStyle w:val="Compact"/>
              <w:jc w:val="left"/>
            </w:pPr>
            <w:r>
              <w:rPr>
                <w:bCs/>
                <w:b/>
              </w:rPr>
              <w:t xml:space="preserve">Stage 4: Factory Energy &amp; Consumables</w:t>
            </w:r>
          </w:p>
        </w:tc>
        <w:tc>
          <w:tcPr/>
          <w:p>
            <w:pPr>
              <w:pStyle w:val="Compact"/>
              <w:jc w:val="left"/>
            </w:pPr>
            <w:r>
              <w:t xml:space="preserve">LPG used in curing ovens, diesel for facility backup generators, hydraulic lubrication.</w:t>
            </w:r>
          </w:p>
        </w:tc>
        <w:tc>
          <w:tcPr/>
          <w:p>
            <w:pPr>
              <w:pStyle w:val="Compact"/>
              <w:jc w:val="left"/>
            </w:pPr>
            <w:r>
              <w:t xml:space="preserve">Binh Duong, Vietnam</w:t>
            </w:r>
          </w:p>
        </w:tc>
        <w:tc>
          <w:tcPr/>
          <w:p>
            <w:pPr>
              <w:pStyle w:val="Compact"/>
              <w:jc w:val="left"/>
            </w:pPr>
            <w:r>
              <w:t xml:space="preserve">Scope 1 (Direct Fuel Combustion)</w:t>
            </w:r>
          </w:p>
        </w:tc>
      </w:tr>
      <w:tr>
        <w:tc>
          <w:tcPr/>
          <w:p>
            <w:pPr>
              <w:pStyle w:val="Compact"/>
              <w:jc w:val="left"/>
            </w:pPr>
            <w:r>
              <w:rPr>
                <w:bCs/>
                <w:b/>
              </w:rPr>
              <w:t xml:space="preserve">Stage 5: Grid Electricity Utilization</w:t>
            </w:r>
          </w:p>
        </w:tc>
        <w:tc>
          <w:tcPr/>
          <w:p>
            <w:pPr>
              <w:pStyle w:val="Compact"/>
              <w:jc w:val="left"/>
            </w:pPr>
            <w:r>
              <w:t xml:space="preserve">Electric motors for robotic assembly, ultrasonic fabric welding, factory lighting, compressed air.</w:t>
            </w:r>
          </w:p>
        </w:tc>
        <w:tc>
          <w:tcPr/>
          <w:p>
            <w:pPr>
              <w:pStyle w:val="Compact"/>
              <w:jc w:val="left"/>
            </w:pPr>
            <w:r>
              <w:t xml:space="preserve">Vietnam National Electricity Grid (EVN)</w:t>
            </w:r>
          </w:p>
        </w:tc>
        <w:tc>
          <w:tcPr/>
          <w:p>
            <w:pPr>
              <w:pStyle w:val="Compact"/>
              <w:jc w:val="left"/>
            </w:pPr>
            <w:r>
              <w:t xml:space="preserve">Scope 2 (Location-Based Electricity)</w:t>
            </w:r>
          </w:p>
        </w:tc>
      </w:tr>
      <w:tr>
        <w:tc>
          <w:tcPr/>
          <w:p>
            <w:pPr>
              <w:pStyle w:val="Compact"/>
              <w:jc w:val="left"/>
            </w:pPr>
            <w:r>
              <w:rPr>
                <w:bCs/>
                <w:b/>
              </w:rPr>
              <w:t xml:space="preserve">Stage 6: Upstream Energy Impacts</w:t>
            </w:r>
          </w:p>
        </w:tc>
        <w:tc>
          <w:tcPr/>
          <w:p>
            <w:pPr>
              <w:pStyle w:val="Compact"/>
              <w:jc w:val="left"/>
            </w:pPr>
            <w:r>
              <w:t xml:space="preserve">Well-to-tank (WTT) extraction, transmission and distribution (T&amp;D) losses from Vietnam electrical grid.</w:t>
            </w:r>
          </w:p>
        </w:tc>
        <w:tc>
          <w:tcPr/>
          <w:p>
            <w:pPr>
              <w:pStyle w:val="Compact"/>
              <w:jc w:val="left"/>
            </w:pPr>
            <w:r>
              <w:t xml:space="preserve">Vietnam national infrastructure</w:t>
            </w:r>
          </w:p>
        </w:tc>
        <w:tc>
          <w:tcPr/>
          <w:p>
            <w:pPr>
              <w:pStyle w:val="Compact"/>
              <w:jc w:val="left"/>
            </w:pPr>
            <w:r>
              <w:t xml:space="preserve">Scope 3, Category 3 (Fuel- &amp; Energy-Related)</w:t>
            </w:r>
          </w:p>
        </w:tc>
      </w:tr>
      <w:tr>
        <w:tc>
          <w:tcPr/>
          <w:p>
            <w:pPr>
              <w:pStyle w:val="Compact"/>
              <w:jc w:val="left"/>
            </w:pPr>
            <w:r>
              <w:rPr>
                <w:bCs/>
                <w:b/>
              </w:rPr>
              <w:t xml:space="preserve">Stage 7: Production Waste Management</w:t>
            </w:r>
          </w:p>
        </w:tc>
        <w:tc>
          <w:tcPr/>
          <w:p>
            <w:pPr>
              <w:pStyle w:val="Compact"/>
              <w:jc w:val="left"/>
            </w:pPr>
            <w:r>
              <w:t xml:space="preserve">Runner trim scrap, cut fabric off-cuts, wastewater treatment sludge, protective wraps.</w:t>
            </w:r>
          </w:p>
        </w:tc>
        <w:tc>
          <w:tcPr/>
          <w:p>
            <w:pPr>
              <w:pStyle w:val="Compact"/>
              <w:jc w:val="left"/>
            </w:pPr>
            <w:r>
              <w:t xml:space="preserve">Vietnam regional treatment centers</w:t>
            </w:r>
          </w:p>
        </w:tc>
        <w:tc>
          <w:tcPr/>
          <w:p>
            <w:pPr>
              <w:pStyle w:val="Compact"/>
              <w:jc w:val="left"/>
            </w:pPr>
            <w:r>
              <w:t xml:space="preserve">Scope 3, Category 5 (Waste in Operations)</w:t>
            </w:r>
          </w:p>
        </w:tc>
      </w:tr>
    </w:tbl>
    <w:p>
      <w:r>
        <w:pict>
          <v:rect style="width:0;height:1.5pt" o:hralign="center" o:hrstd="t" o:hr="t"/>
        </w:pict>
      </w:r>
    </w:p>
    <w:bookmarkEnd w:id="27"/>
    <w:bookmarkStart w:id="30" w:name="data-collection-inventory-metrics"/>
    <w:p>
      <w:pPr>
        <w:pStyle w:val="Heading1"/>
      </w:pPr>
      <w:r>
        <w:t xml:space="preserve">3. Data Collection &amp; Inventory Metrics</w:t>
      </w:r>
    </w:p>
    <w:p>
      <w:pPr>
        <w:pStyle w:val="FirstParagraph"/>
      </w:pPr>
      <w:r>
        <w:t xml:space="preserve">Primary activity data was procured from plant enterprise resource planning (ERP) systems, vendor bill of materials (BOM), and digital power analyzers over a trailing 12-month representative period. Secondary data was pulled from internationally accepted life cycle inventory databases (Ecoinvent v3.10 and US LCI).</w:t>
      </w:r>
    </w:p>
    <w:bookmarkStart w:id="28" w:name="bill-of-materials-bom-packaging-inputs"/>
    <w:p>
      <w:pPr>
        <w:pStyle w:val="Heading2"/>
      </w:pPr>
      <w:r>
        <w:t xml:space="preserve">3.1 Bill of Materials (BOM) &amp; Packaging Inputs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 / Part Name</w:t>
            </w:r>
          </w:p>
        </w:tc>
        <w:tc>
          <w:tcPr/>
          <w:p>
            <w:pPr>
              <w:pStyle w:val="Compact"/>
              <w:jc w:val="left"/>
            </w:pPr>
            <w:r>
              <w:t xml:space="preserve">Primary Material Formulation</w:t>
            </w:r>
          </w:p>
        </w:tc>
        <w:tc>
          <w:tcPr/>
          <w:p>
            <w:pPr>
              <w:pStyle w:val="Compact"/>
              <w:jc w:val="left"/>
            </w:pPr>
            <w:r>
              <w:t xml:space="preserve">Mass (kg/unit)</w:t>
            </w:r>
          </w:p>
        </w:tc>
        <w:tc>
          <w:tcPr/>
          <w:p>
            <w:pPr>
              <w:pStyle w:val="Compact"/>
              <w:jc w:val="left"/>
            </w:pPr>
            <w:r>
              <w:t xml:space="preserve">Recycled Content (%)</w:t>
            </w:r>
          </w:p>
        </w:tc>
        <w:tc>
          <w:tcPr/>
          <w:p>
            <w:pPr>
              <w:pStyle w:val="Compact"/>
              <w:jc w:val="left"/>
            </w:pPr>
            <w:r>
              <w:t xml:space="preserve">Data Source &amp; Reliability</w:t>
            </w:r>
          </w:p>
        </w:tc>
      </w:tr>
      <w:tr>
        <w:tc>
          <w:tcPr/>
          <w:p>
            <w:pPr>
              <w:pStyle w:val="Compact"/>
              <w:jc w:val="left"/>
            </w:pPr>
            <w:r>
              <w:t xml:space="preserve">5-Star Base &amp; Arm Supports</w:t>
            </w:r>
          </w:p>
        </w:tc>
        <w:tc>
          <w:tcPr/>
          <w:p>
            <w:pPr>
              <w:pStyle w:val="Compact"/>
              <w:jc w:val="left"/>
            </w:pPr>
            <w:r>
              <w:t xml:space="preserve">Die-cast Aluminum (A380 alloy)</w:t>
            </w:r>
          </w:p>
        </w:tc>
        <w:tc>
          <w:tcPr/>
          <w:p>
            <w:pPr>
              <w:pStyle w:val="Compact"/>
              <w:jc w:val="left"/>
            </w:pPr>
            <w:r>
              <w:t xml:space="preserve">4.20</w:t>
            </w:r>
          </w:p>
        </w:tc>
        <w:tc>
          <w:tcPr/>
          <w:p>
            <w:pPr>
              <w:pStyle w:val="Compact"/>
              <w:jc w:val="left"/>
            </w:pPr>
            <w:r>
              <w:t xml:space="preserve">65.0%</w:t>
            </w:r>
          </w:p>
        </w:tc>
        <w:tc>
          <w:tcPr/>
          <w:p>
            <w:pPr>
              <w:pStyle w:val="Compact"/>
              <w:jc w:val="left"/>
            </w:pPr>
            <w:r>
              <w:t xml:space="preserve">Primary supplier bill; high reliability</w:t>
            </w:r>
          </w:p>
        </w:tc>
      </w:tr>
      <w:tr>
        <w:tc>
          <w:tcPr/>
          <w:p>
            <w:pPr>
              <w:pStyle w:val="Compact"/>
              <w:jc w:val="left"/>
            </w:pPr>
            <w:r>
              <w:t xml:space="preserve">Gas Cylinder &amp; Tilt Plates</w:t>
            </w:r>
          </w:p>
        </w:tc>
        <w:tc>
          <w:tcPr/>
          <w:p>
            <w:pPr>
              <w:pStyle w:val="Compact"/>
              <w:jc w:val="left"/>
            </w:pPr>
            <w:r>
              <w:t xml:space="preserve">Cold-rolled low-alloy structural steel</w:t>
            </w:r>
          </w:p>
        </w:tc>
        <w:tc>
          <w:tcPr/>
          <w:p>
            <w:pPr>
              <w:pStyle w:val="Compact"/>
              <w:jc w:val="left"/>
            </w:pPr>
            <w:r>
              <w:t xml:space="preserve">3.80</w:t>
            </w:r>
          </w:p>
        </w:tc>
        <w:tc>
          <w:tcPr/>
          <w:p>
            <w:pPr>
              <w:pStyle w:val="Compact"/>
              <w:jc w:val="left"/>
            </w:pPr>
            <w:r>
              <w:t xml:space="preserve">25.0%</w:t>
            </w:r>
          </w:p>
        </w:tc>
        <w:tc>
          <w:tcPr/>
          <w:p>
            <w:pPr>
              <w:pStyle w:val="Compact"/>
              <w:jc w:val="left"/>
            </w:pPr>
            <w:r>
              <w:t xml:space="preserve">North American supplier spec sheet</w:t>
            </w:r>
          </w:p>
        </w:tc>
      </w:tr>
      <w:tr>
        <w:tc>
          <w:tcPr/>
          <w:p>
            <w:pPr>
              <w:pStyle w:val="Compact"/>
              <w:jc w:val="left"/>
            </w:pPr>
            <w:r>
              <w:t xml:space="preserve">Seat Shell &amp; Backrest Spine</w:t>
            </w:r>
          </w:p>
        </w:tc>
        <w:tc>
          <w:tcPr/>
          <w:p>
            <w:pPr>
              <w:pStyle w:val="Compact"/>
              <w:jc w:val="left"/>
            </w:pPr>
            <w:r>
              <w:t xml:space="preserve">Polyamide 66 with 30% Glass Fiber (PA66-GF30)</w:t>
            </w:r>
          </w:p>
        </w:tc>
        <w:tc>
          <w:tcPr/>
          <w:p>
            <w:pPr>
              <w:pStyle w:val="Compact"/>
              <w:jc w:val="left"/>
            </w:pPr>
            <w:r>
              <w:t xml:space="preserve">3.50</w:t>
            </w:r>
          </w:p>
        </w:tc>
        <w:tc>
          <w:tcPr/>
          <w:p>
            <w:pPr>
              <w:pStyle w:val="Compact"/>
              <w:jc w:val="left"/>
            </w:pPr>
            <w:r>
              <w:t xml:space="preserve">0.0%</w:t>
            </w:r>
          </w:p>
        </w:tc>
        <w:tc>
          <w:tcPr/>
          <w:p>
            <w:pPr>
              <w:pStyle w:val="Compact"/>
              <w:jc w:val="left"/>
            </w:pPr>
            <w:r>
              <w:t xml:space="preserve">Primary BOM verification</w:t>
            </w:r>
          </w:p>
        </w:tc>
      </w:tr>
      <w:tr>
        <w:tc>
          <w:tcPr/>
          <w:p>
            <w:pPr>
              <w:pStyle w:val="Compact"/>
              <w:jc w:val="left"/>
            </w:pPr>
            <w:r>
              <w:t xml:space="preserve">Cushion Padding</w:t>
            </w:r>
          </w:p>
        </w:tc>
        <w:tc>
          <w:tcPr/>
          <w:p>
            <w:pPr>
              <w:pStyle w:val="Compact"/>
              <w:jc w:val="left"/>
            </w:pPr>
            <w:r>
              <w:t xml:space="preserve">Molded flexible polyurethane (PU) foam</w:t>
            </w:r>
          </w:p>
        </w:tc>
        <w:tc>
          <w:tcPr/>
          <w:p>
            <w:pPr>
              <w:pStyle w:val="Compact"/>
              <w:jc w:val="left"/>
            </w:pPr>
            <w:r>
              <w:t xml:space="preserve">1.60</w:t>
            </w:r>
          </w:p>
        </w:tc>
        <w:tc>
          <w:tcPr/>
          <w:p>
            <w:pPr>
              <w:pStyle w:val="Compact"/>
              <w:jc w:val="left"/>
            </w:pPr>
            <w:r>
              <w:t xml:space="preserve">0.0%</w:t>
            </w:r>
          </w:p>
        </w:tc>
        <w:tc>
          <w:tcPr/>
          <w:p>
            <w:pPr>
              <w:pStyle w:val="Compact"/>
              <w:jc w:val="left"/>
            </w:pPr>
            <w:r>
              <w:t xml:space="preserve">Tier 1 batch metering</w:t>
            </w:r>
          </w:p>
        </w:tc>
      </w:tr>
      <w:tr>
        <w:tc>
          <w:tcPr/>
          <w:p>
            <w:pPr>
              <w:pStyle w:val="Compact"/>
              <w:jc w:val="left"/>
            </w:pPr>
            <w:r>
              <w:t xml:space="preserve">Technical Mesh Upholstery</w:t>
            </w:r>
          </w:p>
        </w:tc>
        <w:tc>
          <w:tcPr/>
          <w:p>
            <w:pPr>
              <w:pStyle w:val="Compact"/>
              <w:jc w:val="left"/>
            </w:pPr>
            <w:r>
              <w:t xml:space="preserve">100% Recycled PET filament</w:t>
            </w:r>
          </w:p>
        </w:tc>
        <w:tc>
          <w:tcPr/>
          <w:p>
            <w:pPr>
              <w:pStyle w:val="Compact"/>
              <w:jc w:val="left"/>
            </w:pPr>
            <w:r>
              <w:t xml:space="preserve">0.60</w:t>
            </w:r>
          </w:p>
        </w:tc>
        <w:tc>
          <w:tcPr/>
          <w:p>
            <w:pPr>
              <w:pStyle w:val="Compact"/>
              <w:jc w:val="left"/>
            </w:pPr>
            <w:r>
              <w:t xml:space="preserve">100.0%</w:t>
            </w:r>
          </w:p>
        </w:tc>
        <w:tc>
          <w:tcPr/>
          <w:p>
            <w:pPr>
              <w:pStyle w:val="Compact"/>
              <w:jc w:val="left"/>
            </w:pPr>
            <w:r>
              <w:t xml:space="preserve">GRS (Global Recycled Standard) certificate</w:t>
            </w:r>
          </w:p>
        </w:tc>
      </w:tr>
      <w:tr>
        <w:tc>
          <w:tcPr/>
          <w:p>
            <w:pPr>
              <w:pStyle w:val="Compact"/>
              <w:jc w:val="left"/>
            </w:pPr>
            <w:r>
              <w:t xml:space="preserve">Arm Pads &amp; Dual Castors</w:t>
            </w:r>
          </w:p>
        </w:tc>
        <w:tc>
          <w:tcPr/>
          <w:p>
            <w:pPr>
              <w:pStyle w:val="Compact"/>
              <w:jc w:val="left"/>
            </w:pPr>
            <w:r>
              <w:t xml:space="preserve">Thermoplastic Polyurethane (TPU) / Nylon</w:t>
            </w:r>
          </w:p>
        </w:tc>
        <w:tc>
          <w:tcPr/>
          <w:p>
            <w:pPr>
              <w:pStyle w:val="Compact"/>
              <w:jc w:val="left"/>
            </w:pPr>
            <w:r>
              <w:t xml:space="preserve">0.70</w:t>
            </w:r>
          </w:p>
        </w:tc>
        <w:tc>
          <w:tcPr/>
          <w:p>
            <w:pPr>
              <w:pStyle w:val="Compact"/>
              <w:jc w:val="left"/>
            </w:pPr>
            <w:r>
              <w:t xml:space="preserve">10.0%</w:t>
            </w:r>
          </w:p>
        </w:tc>
        <w:tc>
          <w:tcPr/>
          <w:p>
            <w:pPr>
              <w:pStyle w:val="Compact"/>
              <w:jc w:val="left"/>
            </w:pPr>
            <w:r>
              <w:t xml:space="preserve">Vendor technical sheet</w:t>
            </w:r>
          </w:p>
        </w:tc>
      </w:tr>
      <w:tr>
        <w:tc>
          <w:tcPr/>
          <w:p>
            <w:pPr>
              <w:pStyle w:val="Compact"/>
              <w:jc w:val="left"/>
            </w:pPr>
            <w:r>
              <w:t xml:space="preserve">Fasteners, Washers, Springs</w:t>
            </w:r>
          </w:p>
        </w:tc>
        <w:tc>
          <w:tcPr/>
          <w:p>
            <w:pPr>
              <w:pStyle w:val="Compact"/>
              <w:jc w:val="left"/>
            </w:pPr>
            <w:r>
              <w:t xml:space="preserve">Zinc-plated high tensile steel</w:t>
            </w:r>
          </w:p>
        </w:tc>
        <w:tc>
          <w:tcPr/>
          <w:p>
            <w:pPr>
              <w:pStyle w:val="Compact"/>
              <w:jc w:val="left"/>
            </w:pPr>
            <w:r>
              <w:t xml:space="preserve">0.80</w:t>
            </w:r>
          </w:p>
        </w:tc>
        <w:tc>
          <w:tcPr/>
          <w:p>
            <w:pPr>
              <w:pStyle w:val="Compact"/>
              <w:jc w:val="left"/>
            </w:pPr>
            <w:r>
              <w:t xml:space="preserve">15.0%</w:t>
            </w:r>
          </w:p>
        </w:tc>
        <w:tc>
          <w:tcPr/>
          <w:p>
            <w:pPr>
              <w:pStyle w:val="Compact"/>
              <w:jc w:val="left"/>
            </w:pPr>
            <w:r>
              <w:t xml:space="preserve">Primary assembly stock audit</w:t>
            </w:r>
          </w:p>
        </w:tc>
      </w:tr>
      <w:tr>
        <w:tc>
          <w:tcPr/>
          <w:p>
            <w:pPr>
              <w:pStyle w:val="Compact"/>
              <w:jc w:val="left"/>
            </w:pPr>
            <w:r>
              <w:t xml:space="preserve">Corrugated Export Carton</w:t>
            </w:r>
          </w:p>
        </w:tc>
        <w:tc>
          <w:tcPr/>
          <w:p>
            <w:pPr>
              <w:pStyle w:val="Compact"/>
              <w:jc w:val="left"/>
            </w:pPr>
            <w:r>
              <w:t xml:space="preserve">Kraft linerboard &amp; corrugated fluting</w:t>
            </w:r>
          </w:p>
        </w:tc>
        <w:tc>
          <w:tcPr/>
          <w:p>
            <w:pPr>
              <w:pStyle w:val="Compact"/>
              <w:jc w:val="left"/>
            </w:pPr>
            <w:r>
              <w:t xml:space="preserve">1.35</w:t>
            </w:r>
          </w:p>
        </w:tc>
        <w:tc>
          <w:tcPr/>
          <w:p>
            <w:pPr>
              <w:pStyle w:val="Compact"/>
              <w:jc w:val="left"/>
            </w:pPr>
            <w:r>
              <w:t xml:space="preserve">60.0%</w:t>
            </w:r>
          </w:p>
        </w:tc>
        <w:tc>
          <w:tcPr/>
          <w:p>
            <w:pPr>
              <w:pStyle w:val="Compact"/>
              <w:jc w:val="left"/>
            </w:pPr>
            <w:r>
              <w:t xml:space="preserve">FSC-certified packaging vendor invoice</w:t>
            </w:r>
          </w:p>
        </w:tc>
      </w:tr>
      <w:tr>
        <w:tc>
          <w:tcPr/>
          <w:p>
            <w:pPr>
              <w:pStyle w:val="Compact"/>
              <w:jc w:val="left"/>
            </w:pPr>
            <w:r>
              <w:t xml:space="preserve">Protective Plastic Liner</w:t>
            </w:r>
          </w:p>
        </w:tc>
        <w:tc>
          <w:tcPr/>
          <w:p>
            <w:pPr>
              <w:pStyle w:val="Compact"/>
              <w:jc w:val="left"/>
            </w:pPr>
            <w:r>
              <w:t xml:space="preserve">Low-density polyethylene (LDPE) film</w:t>
            </w:r>
          </w:p>
        </w:tc>
        <w:tc>
          <w:tcPr/>
          <w:p>
            <w:pPr>
              <w:pStyle w:val="Compact"/>
              <w:jc w:val="left"/>
            </w:pPr>
            <w:r>
              <w:t xml:space="preserve">0.15</w:t>
            </w:r>
          </w:p>
        </w:tc>
        <w:tc>
          <w:tcPr/>
          <w:p>
            <w:pPr>
              <w:pStyle w:val="Compact"/>
              <w:jc w:val="left"/>
            </w:pPr>
            <w:r>
              <w:t xml:space="preserve">0.0%</w:t>
            </w:r>
          </w:p>
        </w:tc>
        <w:tc>
          <w:tcPr/>
          <w:p>
            <w:pPr>
              <w:pStyle w:val="Compact"/>
              <w:jc w:val="left"/>
            </w:pPr>
            <w:r>
              <w:t xml:space="preserve">Packaging mass measurement</w:t>
            </w:r>
          </w:p>
        </w:tc>
      </w:tr>
      <w:tr>
        <w:tc>
          <w:tcPr>
            <w:gridSpan w:val="2"/>
          </w:tcPr>
          <w:p>
            <w:pPr>
              <w:pStyle w:val="Compact"/>
              <w:jc w:val="left"/>
            </w:pPr>
            <w:r>
              <w:t xml:space="preserve">Total Assembled Product + Packaging</w:t>
            </w:r>
          </w:p>
        </w:tc>
        <w:tc>
          <w:tcPr/>
          <w:p>
            <w:pPr>
              <w:pStyle w:val="Compact"/>
              <w:jc w:val="left"/>
            </w:pPr>
            <w:r>
              <w:t xml:space="preserve">16.70</w:t>
            </w:r>
          </w:p>
        </w:tc>
        <w:tc>
          <w:tcPr/>
          <w:p>
            <w:pPr>
              <w:pStyle w:val="Compact"/>
              <w:jc w:val="left"/>
            </w:pPr>
            <w:r>
              <w:t xml:space="preserve">-</w:t>
            </w:r>
          </w:p>
        </w:tc>
        <w:tc>
          <w:tcPr/>
          <w:p>
            <w:pPr>
              <w:pStyle w:val="Compact"/>
              <w:jc w:val="left"/>
            </w:pPr>
            <w:r>
              <w:t xml:space="preserve">Mass balance checked (±0.05 kg)</w:t>
            </w:r>
          </w:p>
        </w:tc>
      </w:tr>
    </w:tbl>
    <w:bookmarkEnd w:id="28"/>
    <w:bookmarkStart w:id="29" w:name="facility-energy-operational-consumables"/>
    <w:p>
      <w:pPr>
        <w:pStyle w:val="Heading2"/>
      </w:pPr>
      <w:r>
        <w:t xml:space="preserve">3.2 Facility Energy &amp; Operational Consumables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Source / Utility Vector</w:t>
            </w:r>
          </w:p>
        </w:tc>
        <w:tc>
          <w:tcPr/>
          <w:p>
            <w:pPr>
              <w:pStyle w:val="Compact"/>
              <w:jc w:val="left"/>
            </w:pPr>
            <w:r>
              <w:t xml:space="preserve">Activity Quantity per Unit</w:t>
            </w:r>
          </w:p>
        </w:tc>
        <w:tc>
          <w:tcPr/>
          <w:p>
            <w:pPr>
              <w:pStyle w:val="Compact"/>
              <w:jc w:val="left"/>
            </w:pPr>
            <w:r>
              <w:t xml:space="preserve">Metering Method</w:t>
            </w:r>
          </w:p>
        </w:tc>
        <w:tc>
          <w:tcPr/>
          <w:p>
            <w:pPr>
              <w:pStyle w:val="Compact"/>
              <w:jc w:val="left"/>
            </w:pPr>
            <w:r>
              <w:t xml:space="preserve">Boundary Attribution</w:t>
            </w:r>
          </w:p>
        </w:tc>
      </w:tr>
      <w:tr>
        <w:tc>
          <w:tcPr/>
          <w:p>
            <w:pPr>
              <w:pStyle w:val="Compact"/>
              <w:jc w:val="left"/>
            </w:pPr>
            <w:r>
              <w:t xml:space="preserve">Direct Liquefied Petroleum Gas (LPG)</w:t>
            </w:r>
          </w:p>
        </w:tc>
        <w:tc>
          <w:tcPr/>
          <w:p>
            <w:pPr>
              <w:pStyle w:val="Compact"/>
              <w:jc w:val="left"/>
            </w:pPr>
            <w:r>
              <w:t xml:space="preserve">0.45 kg</w:t>
            </w:r>
          </w:p>
        </w:tc>
        <w:tc>
          <w:tcPr/>
          <w:p>
            <w:pPr>
              <w:pStyle w:val="Compact"/>
              <w:jc w:val="left"/>
            </w:pPr>
            <w:r>
              <w:t xml:space="preserve">Dedicated sub-metering on powder line</w:t>
            </w:r>
          </w:p>
        </w:tc>
        <w:tc>
          <w:tcPr/>
          <w:p>
            <w:pPr>
              <w:pStyle w:val="Compact"/>
              <w:jc w:val="left"/>
            </w:pPr>
            <w:r>
              <w:t xml:space="preserve">Scope 1 (Stationary combustion)</w:t>
            </w:r>
          </w:p>
        </w:tc>
      </w:tr>
      <w:tr>
        <w:tc>
          <w:tcPr/>
          <w:p>
            <w:pPr>
              <w:pStyle w:val="Compact"/>
              <w:jc w:val="left"/>
            </w:pPr>
            <w:r>
              <w:t xml:space="preserve">Facility Backup Generator Diesel</w:t>
            </w:r>
          </w:p>
        </w:tc>
        <w:tc>
          <w:tcPr/>
          <w:p>
            <w:pPr>
              <w:pStyle w:val="Compact"/>
              <w:jc w:val="left"/>
            </w:pPr>
            <w:r>
              <w:t xml:space="preserve">0.08 liters</w:t>
            </w:r>
          </w:p>
        </w:tc>
        <w:tc>
          <w:tcPr/>
          <w:p>
            <w:pPr>
              <w:pStyle w:val="Compact"/>
              <w:jc w:val="left"/>
            </w:pPr>
            <w:r>
              <w:t xml:space="preserve">Fuel delivery logbook &amp; run hours</w:t>
            </w:r>
          </w:p>
        </w:tc>
        <w:tc>
          <w:tcPr/>
          <w:p>
            <w:pPr>
              <w:pStyle w:val="Compact"/>
              <w:jc w:val="left"/>
            </w:pPr>
            <w:r>
              <w:t xml:space="preserve">Scope 1 (Mobile/stationary combustion)</w:t>
            </w:r>
          </w:p>
        </w:tc>
      </w:tr>
      <w:tr>
        <w:tc>
          <w:tcPr/>
          <w:p>
            <w:pPr>
              <w:pStyle w:val="Compact"/>
              <w:jc w:val="left"/>
            </w:pPr>
            <w:r>
              <w:t xml:space="preserve">Purchased Electricity (Vietnam EVN)</w:t>
            </w:r>
          </w:p>
        </w:tc>
        <w:tc>
          <w:tcPr/>
          <w:p>
            <w:pPr>
              <w:pStyle w:val="Compact"/>
              <w:jc w:val="left"/>
            </w:pPr>
            <w:r>
              <w:t xml:space="preserve">18.50 kWh</w:t>
            </w:r>
          </w:p>
        </w:tc>
        <w:tc>
          <w:tcPr/>
          <w:p>
            <w:pPr>
              <w:pStyle w:val="Compact"/>
              <w:jc w:val="left"/>
            </w:pPr>
            <w:r>
              <w:t xml:space="preserve">Smart meters on assembly/compressors</w:t>
            </w:r>
          </w:p>
        </w:tc>
        <w:tc>
          <w:tcPr/>
          <w:p>
            <w:pPr>
              <w:pStyle w:val="Compact"/>
              <w:jc w:val="left"/>
            </w:pPr>
            <w:r>
              <w:t xml:space="preserve">Scope 2 (Location-based accounting)</w:t>
            </w:r>
          </w:p>
        </w:tc>
      </w:tr>
      <w:tr>
        <w:tc>
          <w:tcPr/>
          <w:p>
            <w:pPr>
              <w:pStyle w:val="Compact"/>
              <w:jc w:val="left"/>
            </w:pPr>
            <w:r>
              <w:t xml:space="preserve">Process Water Consumption</w:t>
            </w:r>
          </w:p>
        </w:tc>
        <w:tc>
          <w:tcPr/>
          <w:p>
            <w:pPr>
              <w:pStyle w:val="Compact"/>
              <w:jc w:val="left"/>
            </w:pPr>
            <w:r>
              <w:t xml:space="preserve">42.00 liters</w:t>
            </w:r>
          </w:p>
        </w:tc>
        <w:tc>
          <w:tcPr/>
          <w:p>
            <w:pPr>
              <w:pStyle w:val="Compact"/>
              <w:jc w:val="left"/>
            </w:pPr>
            <w:r>
              <w:t xml:space="preserve">Municipal utility bills</w:t>
            </w:r>
          </w:p>
        </w:tc>
        <w:tc>
          <w:tcPr/>
          <w:p>
            <w:pPr>
              <w:pStyle w:val="Compact"/>
              <w:jc w:val="left"/>
            </w:pPr>
            <w:r>
              <w:t xml:space="preserve">Scope 3, Category 1</w:t>
            </w:r>
          </w:p>
        </w:tc>
      </w:tr>
    </w:tbl>
    <w:p>
      <w:r>
        <w:pict>
          <v:rect style="width:0;height:1.5pt" o:hralign="center" o:hrstd="t" o:hr="t"/>
        </w:pict>
      </w:r>
    </w:p>
    <w:bookmarkEnd w:id="29"/>
    <w:bookmarkEnd w:id="30"/>
    <w:bookmarkStart w:id="36" w:name="X6aa4347cee5018c7dacc1fecae26e2dbaa3ffeb"/>
    <w:p>
      <w:pPr>
        <w:pStyle w:val="Heading1"/>
      </w:pPr>
      <w:r>
        <w:t xml:space="preserve">4. Emissions Calculation &amp; Carbon Quantifications</w:t>
      </w:r>
    </w:p>
    <w:p>
      <w:pPr>
        <w:pStyle w:val="FirstParagraph"/>
      </w:pPr>
      <w:r>
        <w:t xml:space="preserve">Emissions were calculated through the activity-factor multiplication framework established by the GHG Protocol:</w:t>
      </w:r>
    </w:p>
    <w:p>
      <w:pPr>
        <w:pStyle w:val="BodyText"/>
      </w:pPr>
      <w:r>
        <w:t xml:space="preserve">Emissions (kg CO</w:t>
      </w:r>
      <w:r>
        <w:rPr>
          <w:vertAlign w:val="subscript"/>
        </w:rPr>
        <w:t xml:space="preserve">2</w:t>
      </w:r>
      <w:r>
        <w:t xml:space="preserve">e) = Activity Data × Emission Factor (kg CO</w:t>
      </w:r>
      <w:r>
        <w:rPr>
          <w:vertAlign w:val="subscript"/>
        </w:rPr>
        <w:t xml:space="preserve">2</w:t>
      </w:r>
      <w:r>
        <w:t xml:space="preserve">e / unit of activity)</w:t>
      </w:r>
    </w:p>
    <w:p>
      <w:pPr>
        <w:pStyle w:val="BodyText"/>
      </w:pPr>
      <w:r>
        <w:t xml:space="preserve">Global Warming Potentials (GWPs) from the IPCC Sixth Assessment Report (AR6 - 100-year time horizon) were applied.</w:t>
      </w:r>
    </w:p>
    <w:bookmarkStart w:id="31" w:name="scope-1-direct-greenhouse-gas-emissions"/>
    <w:p>
      <w:pPr>
        <w:pStyle w:val="Heading2"/>
      </w:pPr>
      <w:r>
        <w:t xml:space="preserve">4.1 Scope 1: Direct Greenhouse Gas Emissions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Factor Source</w:t>
            </w:r>
          </w:p>
        </w:tc>
        <w:tc>
          <w:tcPr/>
          <w:p>
            <w:pPr>
              <w:pStyle w:val="Compact"/>
              <w:jc w:val="left"/>
            </w:pPr>
            <w:r>
              <w:t xml:space="preserve">Total (kg CO</w:t>
            </w:r>
            <w:r>
              <w:rPr>
                <w:vertAlign w:val="subscript"/>
              </w:rPr>
              <w:t xml:space="preserve">2</w:t>
            </w:r>
            <w:r>
              <w:t xml:space="preserve">e)</w:t>
            </w:r>
          </w:p>
        </w:tc>
      </w:tr>
      <w:tr>
        <w:tc>
          <w:tcPr/>
          <w:p>
            <w:pPr>
              <w:pStyle w:val="Compact"/>
              <w:jc w:val="left"/>
            </w:pPr>
            <w:r>
              <w:t xml:space="preserve">LPG Curing Oven Combustion</w:t>
            </w:r>
          </w:p>
        </w:tc>
        <w:tc>
          <w:tcPr/>
          <w:p>
            <w:pPr>
              <w:pStyle w:val="Compact"/>
              <w:jc w:val="left"/>
            </w:pPr>
            <w:r>
              <w:t xml:space="preserve">0.45 kg</w:t>
            </w:r>
          </w:p>
        </w:tc>
        <w:tc>
          <w:tcPr/>
          <w:p>
            <w:pPr>
              <w:pStyle w:val="Compact"/>
              <w:jc w:val="left"/>
            </w:pPr>
            <w:r>
              <w:t xml:space="preserve">3.024 kg CO</w:t>
            </w:r>
            <w:r>
              <w:rPr>
                <w:vertAlign w:val="subscript"/>
              </w:rPr>
              <w:t xml:space="preserve">2</w:t>
            </w:r>
            <w:r>
              <w:t xml:space="preserve">e / kg</w:t>
            </w:r>
          </w:p>
        </w:tc>
        <w:tc>
          <w:tcPr/>
          <w:p>
            <w:pPr>
              <w:pStyle w:val="Compact"/>
              <w:jc w:val="left"/>
            </w:pPr>
            <w:r>
              <w:t xml:space="preserve">UK DEFRA / GHG Protocol Stationary Fuel</w:t>
            </w:r>
          </w:p>
        </w:tc>
        <w:tc>
          <w:tcPr/>
          <w:p>
            <w:pPr>
              <w:pStyle w:val="Compact"/>
              <w:jc w:val="left"/>
            </w:pPr>
            <w:r>
              <w:t xml:space="preserve">1.36</w:t>
            </w:r>
          </w:p>
        </w:tc>
      </w:tr>
      <w:tr>
        <w:tc>
          <w:tcPr/>
          <w:p>
            <w:pPr>
              <w:pStyle w:val="Compact"/>
              <w:jc w:val="left"/>
            </w:pPr>
            <w:r>
              <w:t xml:space="preserve">Backup Generator Diesel</w:t>
            </w:r>
          </w:p>
        </w:tc>
        <w:tc>
          <w:tcPr/>
          <w:p>
            <w:pPr>
              <w:pStyle w:val="Compact"/>
              <w:jc w:val="left"/>
            </w:pPr>
            <w:r>
              <w:t xml:space="preserve">0.08 L</w:t>
            </w:r>
          </w:p>
        </w:tc>
        <w:tc>
          <w:tcPr/>
          <w:p>
            <w:pPr>
              <w:pStyle w:val="Compact"/>
              <w:jc w:val="left"/>
            </w:pPr>
            <w:r>
              <w:t xml:space="preserve">2.687 kg CO</w:t>
            </w:r>
            <w:r>
              <w:rPr>
                <w:vertAlign w:val="subscript"/>
              </w:rPr>
              <w:t xml:space="preserve">2</w:t>
            </w:r>
            <w:r>
              <w:t xml:space="preserve">e / L</w:t>
            </w:r>
          </w:p>
        </w:tc>
        <w:tc>
          <w:tcPr/>
          <w:p>
            <w:pPr>
              <w:pStyle w:val="Compact"/>
              <w:jc w:val="left"/>
            </w:pPr>
            <w:r>
              <w:t xml:space="preserve">UK DEFRA Stationary Fuel Factors</w:t>
            </w:r>
          </w:p>
        </w:tc>
        <w:tc>
          <w:tcPr/>
          <w:p>
            <w:pPr>
              <w:pStyle w:val="Compact"/>
              <w:jc w:val="left"/>
            </w:pPr>
            <w:r>
              <w:t xml:space="preserve">0.21</w:t>
            </w:r>
          </w:p>
        </w:tc>
      </w:tr>
      <w:tr>
        <w:tc>
          <w:tcPr>
            <w:gridSpan w:val="4"/>
          </w:tcPr>
          <w:p>
            <w:pPr>
              <w:pStyle w:val="Compact"/>
              <w:jc w:val="left"/>
            </w:pPr>
            <w:r>
              <w:t xml:space="preserve">Subtotal Scope 1 Emissions</w:t>
            </w:r>
          </w:p>
        </w:tc>
        <w:tc>
          <w:tcPr/>
          <w:p>
            <w:pPr>
              <w:pStyle w:val="Compact"/>
              <w:jc w:val="left"/>
            </w:pPr>
            <w:r>
              <w:t xml:space="preserve">1.57</w:t>
            </w:r>
          </w:p>
        </w:tc>
      </w:tr>
    </w:tbl>
    <w:bookmarkEnd w:id="31"/>
    <w:bookmarkStart w:id="32" w:name="X940f739cc6425d99b84e128f190b13e064c5cd0"/>
    <w:p>
      <w:pPr>
        <w:pStyle w:val="Heading2"/>
      </w:pPr>
      <w:r>
        <w:t xml:space="preserve">4.2 Scope 2: Indirect Emissions from Purchased Energy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Consumed</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Factor Source</w:t>
            </w:r>
          </w:p>
        </w:tc>
        <w:tc>
          <w:tcPr/>
          <w:p>
            <w:pPr>
              <w:pStyle w:val="Compact"/>
              <w:jc w:val="left"/>
            </w:pPr>
            <w:r>
              <w:t xml:space="preserve">Total (kg CO</w:t>
            </w:r>
            <w:r>
              <w:rPr>
                <w:vertAlign w:val="subscript"/>
              </w:rPr>
              <w:t xml:space="preserve">2</w:t>
            </w:r>
            <w:r>
              <w:t xml:space="preserve">e)</w:t>
            </w:r>
          </w:p>
        </w:tc>
      </w:tr>
      <w:tr>
        <w:tc>
          <w:tcPr/>
          <w:p>
            <w:pPr>
              <w:pStyle w:val="Compact"/>
              <w:jc w:val="left"/>
            </w:pPr>
            <w:r>
              <w:t xml:space="preserve">Purchased Electricity (Location-based)</w:t>
            </w:r>
          </w:p>
        </w:tc>
        <w:tc>
          <w:tcPr/>
          <w:p>
            <w:pPr>
              <w:pStyle w:val="Compact"/>
              <w:jc w:val="left"/>
            </w:pPr>
            <w:r>
              <w:t xml:space="preserve">18.50 kWh</w:t>
            </w:r>
          </w:p>
        </w:tc>
        <w:tc>
          <w:tcPr/>
          <w:p>
            <w:pPr>
              <w:pStyle w:val="Compact"/>
              <w:jc w:val="left"/>
            </w:pPr>
            <w:r>
              <w:t xml:space="preserve">0.7221 kg CO</w:t>
            </w:r>
            <w:r>
              <w:rPr>
                <w:vertAlign w:val="subscript"/>
              </w:rPr>
              <w:t xml:space="preserve">2</w:t>
            </w:r>
            <w:r>
              <w:t xml:space="preserve">e / kWh</w:t>
            </w:r>
          </w:p>
        </w:tc>
        <w:tc>
          <w:tcPr/>
          <w:p>
            <w:pPr>
              <w:pStyle w:val="Compact"/>
              <w:jc w:val="left"/>
            </w:pPr>
            <w:r>
              <w:t xml:space="preserve">Vietnam Department of Climate Change (DCC) / IEA 2024</w:t>
            </w:r>
          </w:p>
        </w:tc>
        <w:tc>
          <w:tcPr/>
          <w:p>
            <w:pPr>
              <w:pStyle w:val="Compact"/>
              <w:jc w:val="left"/>
            </w:pPr>
            <w:r>
              <w:t xml:space="preserve">13.36</w:t>
            </w:r>
          </w:p>
        </w:tc>
      </w:tr>
      <w:tr>
        <w:tc>
          <w:tcPr>
            <w:gridSpan w:val="4"/>
          </w:tcPr>
          <w:p>
            <w:pPr>
              <w:pStyle w:val="Compact"/>
              <w:jc w:val="left"/>
            </w:pPr>
            <w:r>
              <w:t xml:space="preserve">Subtotal Scope 2 Emissions</w:t>
            </w:r>
          </w:p>
        </w:tc>
        <w:tc>
          <w:tcPr/>
          <w:p>
            <w:pPr>
              <w:pStyle w:val="Compact"/>
              <w:jc w:val="left"/>
            </w:pPr>
            <w:r>
              <w:t xml:space="preserve">13.36</w:t>
            </w:r>
          </w:p>
        </w:tc>
      </w:tr>
    </w:tbl>
    <w:bookmarkEnd w:id="32"/>
    <w:bookmarkStart w:id="33" w:name="scope-3-upstream-value-chain-emissions"/>
    <w:p>
      <w:pPr>
        <w:pStyle w:val="Heading2"/>
      </w:pPr>
      <w:r>
        <w:t xml:space="preserve">4.3 Scope 3: Upstream Value Chain Emissions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 3 Category &amp; Component</w:t>
            </w:r>
          </w:p>
        </w:tc>
        <w:tc>
          <w:tcPr/>
          <w:p>
            <w:pPr>
              <w:pStyle w:val="Compact"/>
              <w:jc w:val="left"/>
            </w:pPr>
            <w:r>
              <w:t xml:space="preserve">Activity Amount</w:t>
            </w:r>
          </w:p>
        </w:tc>
        <w:tc>
          <w:tcPr/>
          <w:p>
            <w:pPr>
              <w:pStyle w:val="Compact"/>
              <w:jc w:val="left"/>
            </w:pPr>
            <w:r>
              <w:t xml:space="preserve">Emission Factor</w:t>
            </w:r>
          </w:p>
        </w:tc>
        <w:tc>
          <w:tcPr/>
          <w:p>
            <w:pPr>
              <w:pStyle w:val="Compact"/>
              <w:jc w:val="left"/>
            </w:pPr>
            <w:r>
              <w:t xml:space="preserve">Factor Source</w:t>
            </w:r>
          </w:p>
        </w:tc>
        <w:tc>
          <w:tcPr/>
          <w:p>
            <w:pPr>
              <w:pStyle w:val="Compact"/>
              <w:jc w:val="left"/>
            </w:pPr>
            <w:r>
              <w:t xml:space="preserve">Total (kg CO</w:t>
            </w:r>
            <w:r>
              <w:rPr>
                <w:vertAlign w:val="subscript"/>
              </w:rPr>
              <w:t xml:space="preserve">2</w:t>
            </w:r>
            <w:r>
              <w:t xml:space="preserve">e)</w:t>
            </w:r>
          </w:p>
        </w:tc>
      </w:tr>
      <w:tr>
        <w:tc>
          <w:tcPr>
            <w:gridSpan w:val="5"/>
          </w:tcPr>
          <w:p>
            <w:pPr>
              <w:pStyle w:val="Compact"/>
              <w:jc w:val="left"/>
            </w:pPr>
            <w:r>
              <w:t xml:space="preserve">Category 1: Purchased Goods and Services (Materials)</w:t>
            </w:r>
          </w:p>
        </w:tc>
      </w:tr>
      <w:tr>
        <w:tc>
          <w:tcPr/>
          <w:p>
            <w:pPr>
              <w:pStyle w:val="Compact"/>
              <w:jc w:val="left"/>
            </w:pPr>
            <w:r>
              <w:t xml:space="preserve">Die-cast Aluminum (65% secondary ingot)</w:t>
            </w:r>
          </w:p>
        </w:tc>
        <w:tc>
          <w:tcPr/>
          <w:p>
            <w:pPr>
              <w:pStyle w:val="Compact"/>
              <w:jc w:val="left"/>
            </w:pPr>
            <w:r>
              <w:t xml:space="preserve">4.20 kg</w:t>
            </w:r>
          </w:p>
        </w:tc>
        <w:tc>
          <w:tcPr/>
          <w:p>
            <w:pPr>
              <w:pStyle w:val="Compact"/>
              <w:jc w:val="left"/>
            </w:pPr>
            <w:r>
              <w:t xml:space="preserve">6.450 kg CO</w:t>
            </w:r>
            <w:r>
              <w:rPr>
                <w:vertAlign w:val="subscript"/>
              </w:rPr>
              <w:t xml:space="preserve">2</w:t>
            </w:r>
            <w:r>
              <w:t xml:space="preserve">e / kg</w:t>
            </w:r>
          </w:p>
        </w:tc>
        <w:tc>
          <w:tcPr/>
          <w:p>
            <w:pPr>
              <w:pStyle w:val="Compact"/>
              <w:jc w:val="left"/>
            </w:pPr>
            <w:r>
              <w:t xml:space="preserve">Ecoinvent 3.10 (Global/Asia mix)</w:t>
            </w:r>
          </w:p>
        </w:tc>
        <w:tc>
          <w:tcPr/>
          <w:p>
            <w:pPr>
              <w:pStyle w:val="Compact"/>
              <w:jc w:val="left"/>
            </w:pPr>
            <w:r>
              <w:t xml:space="preserve">27.09</w:t>
            </w:r>
          </w:p>
        </w:tc>
      </w:tr>
      <w:tr>
        <w:tc>
          <w:tcPr/>
          <w:p>
            <w:pPr>
              <w:pStyle w:val="Compact"/>
              <w:jc w:val="left"/>
            </w:pPr>
            <w:r>
              <w:t xml:space="preserve">Cold-Rolled Steel (Gas lift &amp; plates)</w:t>
            </w:r>
          </w:p>
        </w:tc>
        <w:tc>
          <w:tcPr/>
          <w:p>
            <w:pPr>
              <w:pStyle w:val="Compact"/>
              <w:jc w:val="left"/>
            </w:pPr>
            <w:r>
              <w:t xml:space="preserve">3.80 kg</w:t>
            </w:r>
          </w:p>
        </w:tc>
        <w:tc>
          <w:tcPr/>
          <w:p>
            <w:pPr>
              <w:pStyle w:val="Compact"/>
              <w:jc w:val="left"/>
            </w:pPr>
            <w:r>
              <w:t xml:space="preserve">2.210 kg CO</w:t>
            </w:r>
            <w:r>
              <w:rPr>
                <w:vertAlign w:val="subscript"/>
              </w:rPr>
              <w:t xml:space="preserve">2</w:t>
            </w:r>
            <w:r>
              <w:t xml:space="preserve">e / kg</w:t>
            </w:r>
          </w:p>
        </w:tc>
        <w:tc>
          <w:tcPr/>
          <w:p>
            <w:pPr>
              <w:pStyle w:val="Compact"/>
              <w:jc w:val="left"/>
            </w:pPr>
            <w:r>
              <w:t xml:space="preserve">worldsteel LCI / Ecoinvent 3.10</w:t>
            </w:r>
          </w:p>
        </w:tc>
        <w:tc>
          <w:tcPr/>
          <w:p>
            <w:pPr>
              <w:pStyle w:val="Compact"/>
              <w:jc w:val="left"/>
            </w:pPr>
            <w:r>
              <w:t xml:space="preserve">8.40</w:t>
            </w:r>
          </w:p>
        </w:tc>
      </w:tr>
      <w:tr>
        <w:tc>
          <w:tcPr/>
          <w:p>
            <w:pPr>
              <w:pStyle w:val="Compact"/>
              <w:jc w:val="left"/>
            </w:pPr>
            <w:r>
              <w:t xml:space="preserve">Polyamide 66 GF30 (Frames/Spine)</w:t>
            </w:r>
          </w:p>
        </w:tc>
        <w:tc>
          <w:tcPr/>
          <w:p>
            <w:pPr>
              <w:pStyle w:val="Compact"/>
              <w:jc w:val="left"/>
            </w:pPr>
            <w:r>
              <w:t xml:space="preserve">3.50 kg</w:t>
            </w:r>
          </w:p>
        </w:tc>
        <w:tc>
          <w:tcPr/>
          <w:p>
            <w:pPr>
              <w:pStyle w:val="Compact"/>
              <w:jc w:val="left"/>
            </w:pPr>
            <w:r>
              <w:t xml:space="preserve">6.780 kg CO</w:t>
            </w:r>
            <w:r>
              <w:rPr>
                <w:vertAlign w:val="subscript"/>
              </w:rPr>
              <w:t xml:space="preserve">2</w:t>
            </w:r>
            <w:r>
              <w:t xml:space="preserve">e / kg</w:t>
            </w:r>
          </w:p>
        </w:tc>
        <w:tc>
          <w:tcPr/>
          <w:p>
            <w:pPr>
              <w:pStyle w:val="Compact"/>
              <w:jc w:val="left"/>
            </w:pPr>
            <w:r>
              <w:t xml:space="preserve">PlasticsEurope / Ecoinvent 3.10</w:t>
            </w:r>
          </w:p>
        </w:tc>
        <w:tc>
          <w:tcPr/>
          <w:p>
            <w:pPr>
              <w:pStyle w:val="Compact"/>
              <w:jc w:val="left"/>
            </w:pPr>
            <w:r>
              <w:t xml:space="preserve">23.73</w:t>
            </w:r>
          </w:p>
        </w:tc>
      </w:tr>
      <w:tr>
        <w:tc>
          <w:tcPr/>
          <w:p>
            <w:pPr>
              <w:pStyle w:val="Compact"/>
              <w:jc w:val="left"/>
            </w:pPr>
            <w:r>
              <w:t xml:space="preserve">Molded Polyurethane Foam</w:t>
            </w:r>
          </w:p>
        </w:tc>
        <w:tc>
          <w:tcPr/>
          <w:p>
            <w:pPr>
              <w:pStyle w:val="Compact"/>
              <w:jc w:val="left"/>
            </w:pPr>
            <w:r>
              <w:t xml:space="preserve">1.60 kg</w:t>
            </w:r>
          </w:p>
        </w:tc>
        <w:tc>
          <w:tcPr/>
          <w:p>
            <w:pPr>
              <w:pStyle w:val="Compact"/>
              <w:jc w:val="left"/>
            </w:pPr>
            <w:r>
              <w:t xml:space="preserve">4.650 kg CO</w:t>
            </w:r>
            <w:r>
              <w:rPr>
                <w:vertAlign w:val="subscript"/>
              </w:rPr>
              <w:t xml:space="preserve">2</w:t>
            </w:r>
            <w:r>
              <w:t xml:space="preserve">e / kg</w:t>
            </w:r>
          </w:p>
        </w:tc>
        <w:tc>
          <w:tcPr/>
          <w:p>
            <w:pPr>
              <w:pStyle w:val="Compact"/>
              <w:jc w:val="left"/>
            </w:pPr>
            <w:r>
              <w:t xml:space="preserve">Ecoinvent 3.10 (Flexible PU block)</w:t>
            </w:r>
          </w:p>
        </w:tc>
        <w:tc>
          <w:tcPr/>
          <w:p>
            <w:pPr>
              <w:pStyle w:val="Compact"/>
              <w:jc w:val="left"/>
            </w:pPr>
            <w:r>
              <w:t xml:space="preserve">7.44</w:t>
            </w:r>
          </w:p>
        </w:tc>
      </w:tr>
      <w:tr>
        <w:tc>
          <w:tcPr/>
          <w:p>
            <w:pPr>
              <w:pStyle w:val="Compact"/>
              <w:jc w:val="left"/>
            </w:pPr>
            <w:r>
              <w:t xml:space="preserve">100% Recycled PET Mesh Upholstery</w:t>
            </w:r>
          </w:p>
        </w:tc>
        <w:tc>
          <w:tcPr/>
          <w:p>
            <w:pPr>
              <w:pStyle w:val="Compact"/>
              <w:jc w:val="left"/>
            </w:pPr>
            <w:r>
              <w:t xml:space="preserve">0.60 kg</w:t>
            </w:r>
          </w:p>
        </w:tc>
        <w:tc>
          <w:tcPr/>
          <w:p>
            <w:pPr>
              <w:pStyle w:val="Compact"/>
              <w:jc w:val="left"/>
            </w:pPr>
            <w:r>
              <w:t xml:space="preserve">2.850 kg CO</w:t>
            </w:r>
            <w:r>
              <w:rPr>
                <w:vertAlign w:val="subscript"/>
              </w:rPr>
              <w:t xml:space="preserve">2</w:t>
            </w:r>
            <w:r>
              <w:t xml:space="preserve">e / kg</w:t>
            </w:r>
          </w:p>
        </w:tc>
        <w:tc>
          <w:tcPr/>
          <w:p>
            <w:pPr>
              <w:pStyle w:val="Compact"/>
              <w:jc w:val="left"/>
            </w:pPr>
            <w:r>
              <w:t xml:space="preserve">Textile Exchange / Ecoinvent 3.10</w:t>
            </w:r>
          </w:p>
        </w:tc>
        <w:tc>
          <w:tcPr/>
          <w:p>
            <w:pPr>
              <w:pStyle w:val="Compact"/>
              <w:jc w:val="left"/>
            </w:pPr>
            <w:r>
              <w:t xml:space="preserve">1.71</w:t>
            </w:r>
          </w:p>
        </w:tc>
      </w:tr>
      <w:tr>
        <w:tc>
          <w:tcPr/>
          <w:p>
            <w:pPr>
              <w:pStyle w:val="Compact"/>
              <w:jc w:val="left"/>
            </w:pPr>
            <w:r>
              <w:t xml:space="preserve">Arm Pad TPU &amp; Nylon Castors</w:t>
            </w:r>
          </w:p>
        </w:tc>
        <w:tc>
          <w:tcPr/>
          <w:p>
            <w:pPr>
              <w:pStyle w:val="Compact"/>
              <w:jc w:val="left"/>
            </w:pPr>
            <w:r>
              <w:t xml:space="preserve">0.70 kg</w:t>
            </w:r>
          </w:p>
        </w:tc>
        <w:tc>
          <w:tcPr/>
          <w:p>
            <w:pPr>
              <w:pStyle w:val="Compact"/>
              <w:jc w:val="left"/>
            </w:pPr>
            <w:r>
              <w:t xml:space="preserve">3.720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2.60</w:t>
            </w:r>
          </w:p>
        </w:tc>
      </w:tr>
      <w:tr>
        <w:tc>
          <w:tcPr/>
          <w:p>
            <w:pPr>
              <w:pStyle w:val="Compact"/>
              <w:jc w:val="left"/>
            </w:pPr>
            <w:r>
              <w:t xml:space="preserve">Hardware, Screws &amp; Internal Springs</w:t>
            </w:r>
          </w:p>
        </w:tc>
        <w:tc>
          <w:tcPr/>
          <w:p>
            <w:pPr>
              <w:pStyle w:val="Compact"/>
              <w:jc w:val="left"/>
            </w:pPr>
            <w:r>
              <w:t xml:space="preserve">0.80 kg</w:t>
            </w:r>
          </w:p>
        </w:tc>
        <w:tc>
          <w:tcPr/>
          <w:p>
            <w:pPr>
              <w:pStyle w:val="Compact"/>
              <w:jc w:val="left"/>
            </w:pPr>
            <w:r>
              <w:t xml:space="preserve">1.740 kg CO</w:t>
            </w:r>
            <w:r>
              <w:rPr>
                <w:vertAlign w:val="subscript"/>
              </w:rPr>
              <w:t xml:space="preserve">2</w:t>
            </w:r>
            <w:r>
              <w:t xml:space="preserve">e / kg</w:t>
            </w:r>
          </w:p>
        </w:tc>
        <w:tc>
          <w:tcPr/>
          <w:p>
            <w:pPr>
              <w:pStyle w:val="Compact"/>
              <w:jc w:val="left"/>
            </w:pPr>
            <w:r>
              <w:t xml:space="preserve">Ecoinvent 3.10 (Steel parts coating)</w:t>
            </w:r>
          </w:p>
        </w:tc>
        <w:tc>
          <w:tcPr/>
          <w:p>
            <w:pPr>
              <w:pStyle w:val="Compact"/>
              <w:jc w:val="left"/>
            </w:pPr>
            <w:r>
              <w:t xml:space="preserve">1.39</w:t>
            </w:r>
          </w:p>
        </w:tc>
      </w:tr>
      <w:tr>
        <w:tc>
          <w:tcPr>
            <w:gridSpan w:val="5"/>
          </w:tcPr>
          <w:p>
            <w:pPr>
              <w:pStyle w:val="Compact"/>
              <w:jc w:val="left"/>
            </w:pPr>
            <w:r>
              <w:t xml:space="preserve">Category 1 (Packaging)</w:t>
            </w:r>
          </w:p>
        </w:tc>
      </w:tr>
      <w:tr>
        <w:tc>
          <w:tcPr/>
          <w:p>
            <w:pPr>
              <w:pStyle w:val="Compact"/>
              <w:jc w:val="left"/>
            </w:pPr>
            <w:r>
              <w:t xml:space="preserve">Corrugated Board Packaging (Fossil Only)</w:t>
            </w:r>
          </w:p>
        </w:tc>
        <w:tc>
          <w:tcPr/>
          <w:p>
            <w:pPr>
              <w:pStyle w:val="Compact"/>
              <w:jc w:val="left"/>
            </w:pPr>
            <w:r>
              <w:t xml:space="preserve">1.35 kg</w:t>
            </w:r>
          </w:p>
        </w:tc>
        <w:tc>
          <w:tcPr/>
          <w:p>
            <w:pPr>
              <w:pStyle w:val="Compact"/>
              <w:jc w:val="left"/>
            </w:pPr>
            <w:r>
              <w:t xml:space="preserve">0.820 kg CO</w:t>
            </w:r>
            <w:r>
              <w:rPr>
                <w:vertAlign w:val="subscript"/>
              </w:rPr>
              <w:t xml:space="preserve">2</w:t>
            </w:r>
            <w:r>
              <w:t xml:space="preserve">e / kg</w:t>
            </w:r>
          </w:p>
        </w:tc>
        <w:tc>
          <w:tcPr/>
          <w:p>
            <w:pPr>
              <w:pStyle w:val="Compact"/>
              <w:jc w:val="left"/>
            </w:pPr>
            <w:r>
              <w:t xml:space="preserve">FEFCO European Database (fossil)</w:t>
            </w:r>
          </w:p>
        </w:tc>
        <w:tc>
          <w:tcPr/>
          <w:p>
            <w:pPr>
              <w:pStyle w:val="Compact"/>
              <w:jc w:val="left"/>
            </w:pPr>
            <w:r>
              <w:t xml:space="preserve">1.11</w:t>
            </w:r>
          </w:p>
        </w:tc>
      </w:tr>
      <w:tr>
        <w:tc>
          <w:tcPr/>
          <w:p>
            <w:pPr>
              <w:pStyle w:val="Compact"/>
              <w:jc w:val="left"/>
            </w:pPr>
            <w:r>
              <w:t xml:space="preserve">LDPE Plastic Protective Bag</w:t>
            </w:r>
          </w:p>
        </w:tc>
        <w:tc>
          <w:tcPr/>
          <w:p>
            <w:pPr>
              <w:pStyle w:val="Compact"/>
              <w:jc w:val="left"/>
            </w:pPr>
            <w:r>
              <w:t xml:space="preserve">0.15 kg</w:t>
            </w:r>
          </w:p>
        </w:tc>
        <w:tc>
          <w:tcPr/>
          <w:p>
            <w:pPr>
              <w:pStyle w:val="Compact"/>
              <w:jc w:val="left"/>
            </w:pPr>
            <w:r>
              <w:t xml:space="preserve">2.050 kg CO</w:t>
            </w:r>
            <w:r>
              <w:rPr>
                <w:vertAlign w:val="subscript"/>
              </w:rPr>
              <w:t xml:space="preserve">2</w:t>
            </w:r>
            <w:r>
              <w:t xml:space="preserve">e / kg</w:t>
            </w:r>
          </w:p>
        </w:tc>
        <w:tc>
          <w:tcPr/>
          <w:p>
            <w:pPr>
              <w:pStyle w:val="Compact"/>
              <w:jc w:val="left"/>
            </w:pPr>
            <w:r>
              <w:t xml:space="preserve">Ecoinvent 3.10</w:t>
            </w:r>
          </w:p>
        </w:tc>
        <w:tc>
          <w:tcPr/>
          <w:p>
            <w:pPr>
              <w:pStyle w:val="Compact"/>
              <w:jc w:val="left"/>
            </w:pPr>
            <w:r>
              <w:t xml:space="preserve">0.31</w:t>
            </w:r>
          </w:p>
        </w:tc>
      </w:tr>
      <w:tr>
        <w:tc>
          <w:tcPr>
            <w:gridSpan w:val="5"/>
          </w:tcPr>
          <w:p>
            <w:pPr>
              <w:pStyle w:val="Compact"/>
              <w:jc w:val="left"/>
            </w:pPr>
            <w:r>
              <w:t xml:space="preserve">Category 3: Fuel- and Energy-Related Activities (Not in Scope 1 or 2)</w:t>
            </w:r>
          </w:p>
        </w:tc>
      </w:tr>
      <w:tr>
        <w:tc>
          <w:tcPr/>
          <w:p>
            <w:pPr>
              <w:pStyle w:val="Compact"/>
              <w:jc w:val="left"/>
            </w:pPr>
            <w:r>
              <w:t xml:space="preserve">WTT &amp; T&amp;D Losses (Vietnam Grid &amp; Fuels)</w:t>
            </w:r>
          </w:p>
        </w:tc>
        <w:tc>
          <w:tcPr/>
          <w:p>
            <w:pPr>
              <w:pStyle w:val="Compact"/>
              <w:jc w:val="left"/>
            </w:pPr>
            <w:r>
              <w:t xml:space="preserve">18.50 kWh eq</w:t>
            </w:r>
          </w:p>
        </w:tc>
        <w:tc>
          <w:tcPr/>
          <w:p>
            <w:pPr>
              <w:pStyle w:val="Compact"/>
              <w:jc w:val="left"/>
            </w:pPr>
            <w:r>
              <w:t xml:space="preserve">0.128 kg CO</w:t>
            </w:r>
            <w:r>
              <w:rPr>
                <w:vertAlign w:val="subscript"/>
              </w:rPr>
              <w:t xml:space="preserve">2</w:t>
            </w:r>
            <w:r>
              <w:t xml:space="preserve">e / kWh</w:t>
            </w:r>
          </w:p>
        </w:tc>
        <w:tc>
          <w:tcPr/>
          <w:p>
            <w:pPr>
              <w:pStyle w:val="Compact"/>
              <w:jc w:val="left"/>
            </w:pPr>
            <w:r>
              <w:t xml:space="preserve">UK DEFRA / IEA Transmission Factors</w:t>
            </w:r>
          </w:p>
        </w:tc>
        <w:tc>
          <w:tcPr/>
          <w:p>
            <w:pPr>
              <w:pStyle w:val="Compact"/>
              <w:jc w:val="left"/>
            </w:pPr>
            <w:r>
              <w:t xml:space="preserve">2.37</w:t>
            </w:r>
          </w:p>
        </w:tc>
      </w:tr>
      <w:tr>
        <w:tc>
          <w:tcPr>
            <w:gridSpan w:val="5"/>
          </w:tcPr>
          <w:p>
            <w:pPr>
              <w:pStyle w:val="Compact"/>
              <w:jc w:val="left"/>
            </w:pPr>
            <w:r>
              <w:t xml:space="preserve">Category 4: Upstream Transportation and Logistics</w:t>
            </w:r>
          </w:p>
        </w:tc>
      </w:tr>
      <w:tr>
        <w:tc>
          <w:tcPr/>
          <w:p>
            <w:pPr>
              <w:pStyle w:val="Compact"/>
              <w:jc w:val="left"/>
            </w:pPr>
            <w:r>
              <w:t xml:space="preserve">North America to Vietnam (Ocean Freight)</w:t>
            </w:r>
          </w:p>
        </w:tc>
        <w:tc>
          <w:tcPr/>
          <w:p>
            <w:pPr>
              <w:pStyle w:val="Compact"/>
              <w:jc w:val="left"/>
            </w:pPr>
            <w:r>
              <w:t xml:space="preserve">4.60 kg × 13,200 km</w:t>
            </w:r>
          </w:p>
        </w:tc>
        <w:tc>
          <w:tcPr/>
          <w:p>
            <w:pPr>
              <w:pStyle w:val="Compact"/>
              <w:jc w:val="left"/>
            </w:pPr>
            <w:r>
              <w:t xml:space="preserve">0.0161 kg CO</w:t>
            </w:r>
            <w:r>
              <w:rPr>
                <w:vertAlign w:val="subscript"/>
              </w:rPr>
              <w:t xml:space="preserve">2</w:t>
            </w:r>
            <w:r>
              <w:t xml:space="preserve">e / t·km</w:t>
            </w:r>
          </w:p>
        </w:tc>
        <w:tc>
          <w:tcPr/>
          <w:p>
            <w:pPr>
              <w:pStyle w:val="Compact"/>
              <w:jc w:val="left"/>
            </w:pPr>
            <w:r>
              <w:t xml:space="preserve">IMO Clean Cargo / GLEC Framework</w:t>
            </w:r>
          </w:p>
        </w:tc>
        <w:tc>
          <w:tcPr/>
          <w:p>
            <w:pPr>
              <w:pStyle w:val="Compact"/>
              <w:jc w:val="left"/>
            </w:pPr>
            <w:r>
              <w:t xml:space="preserve">0.98</w:t>
            </w:r>
          </w:p>
        </w:tc>
      </w:tr>
      <w:tr>
        <w:tc>
          <w:tcPr/>
          <w:p>
            <w:pPr>
              <w:pStyle w:val="Compact"/>
              <w:jc w:val="left"/>
            </w:pPr>
            <w:r>
              <w:t xml:space="preserve">Regional Ocean Shipping (Polymers/Mesh)</w:t>
            </w:r>
          </w:p>
        </w:tc>
        <w:tc>
          <w:tcPr/>
          <w:p>
            <w:pPr>
              <w:pStyle w:val="Compact"/>
              <w:jc w:val="left"/>
            </w:pPr>
            <w:r>
              <w:t xml:space="preserve">4.80 kg × 2,800 km</w:t>
            </w:r>
          </w:p>
        </w:tc>
        <w:tc>
          <w:tcPr/>
          <w:p>
            <w:pPr>
              <w:pStyle w:val="Compact"/>
              <w:jc w:val="left"/>
            </w:pPr>
            <w:r>
              <w:t xml:space="preserve">0.0185 kg CO</w:t>
            </w:r>
            <w:r>
              <w:rPr>
                <w:vertAlign w:val="subscript"/>
              </w:rPr>
              <w:t xml:space="preserve">2</w:t>
            </w:r>
            <w:r>
              <w:t xml:space="preserve">e / t·km</w:t>
            </w:r>
          </w:p>
        </w:tc>
        <w:tc>
          <w:tcPr/>
          <w:p>
            <w:pPr>
              <w:pStyle w:val="Compact"/>
              <w:jc w:val="left"/>
            </w:pPr>
            <w:r>
              <w:t xml:space="preserve">GLEC Framework Container Vessel</w:t>
            </w:r>
          </w:p>
        </w:tc>
        <w:tc>
          <w:tcPr/>
          <w:p>
            <w:pPr>
              <w:pStyle w:val="Compact"/>
              <w:jc w:val="left"/>
            </w:pPr>
            <w:r>
              <w:t xml:space="preserve">0.25</w:t>
            </w:r>
          </w:p>
        </w:tc>
      </w:tr>
      <w:tr>
        <w:tc>
          <w:tcPr/>
          <w:p>
            <w:pPr>
              <w:pStyle w:val="Compact"/>
              <w:jc w:val="left"/>
            </w:pPr>
            <w:r>
              <w:t xml:space="preserve">Intermodal Rail &amp; Heavy Duty Trucking</w:t>
            </w:r>
          </w:p>
        </w:tc>
        <w:tc>
          <w:tcPr/>
          <w:p>
            <w:pPr>
              <w:pStyle w:val="Compact"/>
              <w:jc w:val="left"/>
            </w:pPr>
            <w:r>
              <w:t xml:space="preserve">16.70 kg × 850 km</w:t>
            </w:r>
          </w:p>
        </w:tc>
        <w:tc>
          <w:tcPr/>
          <w:p>
            <w:pPr>
              <w:pStyle w:val="Compact"/>
              <w:jc w:val="left"/>
            </w:pPr>
            <w:r>
              <w:t xml:space="preserve">0.1080 kg CO</w:t>
            </w:r>
            <w:r>
              <w:rPr>
                <w:vertAlign w:val="subscript"/>
              </w:rPr>
              <w:t xml:space="preserve">2</w:t>
            </w:r>
            <w:r>
              <w:t xml:space="preserve">e / t·km</w:t>
            </w:r>
          </w:p>
        </w:tc>
        <w:tc>
          <w:tcPr/>
          <w:p>
            <w:pPr>
              <w:pStyle w:val="Compact"/>
              <w:jc w:val="left"/>
            </w:pPr>
            <w:r>
              <w:t xml:space="preserve">GLEC Framework Road Freight</w:t>
            </w:r>
          </w:p>
        </w:tc>
        <w:tc>
          <w:tcPr/>
          <w:p>
            <w:pPr>
              <w:pStyle w:val="Compact"/>
              <w:jc w:val="left"/>
            </w:pPr>
            <w:r>
              <w:t xml:space="preserve">1.53</w:t>
            </w:r>
          </w:p>
        </w:tc>
      </w:tr>
      <w:tr>
        <w:tc>
          <w:tcPr>
            <w:gridSpan w:val="5"/>
          </w:tcPr>
          <w:p>
            <w:pPr>
              <w:pStyle w:val="Compact"/>
              <w:jc w:val="left"/>
            </w:pPr>
            <w:r>
              <w:t xml:space="preserve">Category 5: Waste Generated in Operations</w:t>
            </w:r>
          </w:p>
        </w:tc>
      </w:tr>
      <w:tr>
        <w:tc>
          <w:tcPr/>
          <w:p>
            <w:pPr>
              <w:pStyle w:val="Compact"/>
              <w:jc w:val="left"/>
            </w:pPr>
            <w:r>
              <w:t xml:space="preserve">Scrap Plastic, Foam Trimmings &amp; General Waste</w:t>
            </w:r>
          </w:p>
        </w:tc>
        <w:tc>
          <w:tcPr/>
          <w:p>
            <w:pPr>
              <w:pStyle w:val="Compact"/>
              <w:jc w:val="left"/>
            </w:pPr>
            <w:r>
              <w:t xml:space="preserve">0.85 kg</w:t>
            </w:r>
          </w:p>
        </w:tc>
        <w:tc>
          <w:tcPr/>
          <w:p>
            <w:pPr>
              <w:pStyle w:val="Compact"/>
              <w:jc w:val="left"/>
            </w:pPr>
            <w:r>
              <w:t xml:space="preserve">0.720 kg CO</w:t>
            </w:r>
            <w:r>
              <w:rPr>
                <w:vertAlign w:val="subscript"/>
              </w:rPr>
              <w:t xml:space="preserve">2</w:t>
            </w:r>
            <w:r>
              <w:t xml:space="preserve">e / kg</w:t>
            </w:r>
          </w:p>
        </w:tc>
        <w:tc>
          <w:tcPr/>
          <w:p>
            <w:pPr>
              <w:pStyle w:val="Compact"/>
              <w:jc w:val="left"/>
            </w:pPr>
            <w:r>
              <w:t xml:space="preserve">Ecoinvent 3.10 (Landfill / Incineration)</w:t>
            </w:r>
          </w:p>
        </w:tc>
        <w:tc>
          <w:tcPr/>
          <w:p>
            <w:pPr>
              <w:pStyle w:val="Compact"/>
              <w:jc w:val="left"/>
            </w:pPr>
            <w:r>
              <w:t xml:space="preserve">0.61</w:t>
            </w:r>
          </w:p>
        </w:tc>
      </w:tr>
      <w:tr>
        <w:tc>
          <w:tcPr>
            <w:gridSpan w:val="4"/>
          </w:tcPr>
          <w:p>
            <w:pPr>
              <w:pStyle w:val="Compact"/>
              <w:jc w:val="left"/>
            </w:pPr>
            <w:r>
              <w:t xml:space="preserve">Subtotal Scope 3 Upstream Emissions</w:t>
            </w:r>
          </w:p>
        </w:tc>
        <w:tc>
          <w:tcPr/>
          <w:p>
            <w:pPr>
              <w:pStyle w:val="Compact"/>
              <w:jc w:val="left"/>
            </w:pPr>
            <w:r>
              <w:t xml:space="preserve">81.41</w:t>
            </w:r>
          </w:p>
        </w:tc>
      </w:tr>
    </w:tbl>
    <w:bookmarkEnd w:id="33"/>
    <w:bookmarkStart w:id="34" w:name="X23c20112cf8bc1a2183d5b4cf0b839d2f589046"/>
    <w:p>
      <w:pPr>
        <w:pStyle w:val="Heading2"/>
      </w:pPr>
      <w:r>
        <w:t xml:space="preserve">4.4 2026 GHG Protocol Land Sector and Removals (LSR) Accounting</w:t>
      </w:r>
    </w:p>
    <w:p>
      <w:pPr>
        <w:pStyle w:val="FirstParagraph"/>
      </w:pPr>
      <w:r>
        <w:t xml:space="preserve">Under the updated</w:t>
      </w:r>
      <w:r>
        <w:t xml:space="preserve"> </w:t>
      </w:r>
      <w:r>
        <w:rPr>
          <w:bCs/>
          <w:b/>
        </w:rPr>
        <w:t xml:space="preserve">GHG Protocol Land Sector and Removals (LSR) Standard (2026)</w:t>
      </w:r>
      <w:r>
        <w:t xml:space="preserve">, biogenic emissions and removals must not be combined or netted into fossil GHG metrics. They are cataloged separately below:</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LSR Inventory Parameter</w:t>
            </w:r>
          </w:p>
        </w:tc>
        <w:tc>
          <w:tcPr/>
          <w:p>
            <w:pPr>
              <w:pStyle w:val="Compact"/>
              <w:jc w:val="left"/>
            </w:pPr>
            <w:r>
              <w:t xml:space="preserve">Physical Basis</w:t>
            </w:r>
          </w:p>
        </w:tc>
        <w:tc>
          <w:tcPr/>
          <w:p>
            <w:pPr>
              <w:pStyle w:val="Compact"/>
              <w:jc w:val="left"/>
            </w:pPr>
            <w:r>
              <w:t xml:space="preserve">Calculation Factor</w:t>
            </w:r>
          </w:p>
        </w:tc>
        <w:tc>
          <w:tcPr/>
          <w:p>
            <w:pPr>
              <w:pStyle w:val="Compact"/>
              <w:jc w:val="left"/>
            </w:pPr>
            <w:r>
              <w:t xml:space="preserve">Result Unit</w:t>
            </w:r>
          </w:p>
        </w:tc>
        <w:tc>
          <w:tcPr/>
          <w:p>
            <w:pPr>
              <w:pStyle w:val="Compact"/>
              <w:jc w:val="left"/>
            </w:pPr>
            <w:r>
              <w:t xml:space="preserve">Reported Balance</w:t>
            </w:r>
          </w:p>
        </w:tc>
      </w:tr>
      <w:tr>
        <w:tc>
          <w:tcPr/>
          <w:p>
            <w:pPr>
              <w:pStyle w:val="Compact"/>
              <w:jc w:val="left"/>
            </w:pPr>
            <w:r>
              <w:rPr>
                <w:bCs/>
                <w:b/>
              </w:rPr>
              <w:t xml:space="preserve">Biogenic Carbon Removals (Packaging)</w:t>
            </w:r>
          </w:p>
        </w:tc>
        <w:tc>
          <w:tcPr/>
          <w:p>
            <w:pPr>
              <w:pStyle w:val="Compact"/>
              <w:jc w:val="left"/>
            </w:pPr>
            <w:r>
              <w:t xml:space="preserve">1.35 kg corrugated box (0.50 kg C / kg dry pulp; 72% dry fiber)</w:t>
            </w:r>
          </w:p>
        </w:tc>
        <w:tc>
          <w:tcPr/>
          <w:p>
            <w:pPr>
              <w:pStyle w:val="Compact"/>
              <w:jc w:val="left"/>
            </w:pPr>
            <w:r>
              <w:t xml:space="preserve">-44/12 × 0.50 × 0.72</w:t>
            </w:r>
          </w:p>
        </w:tc>
        <w:tc>
          <w:tcPr/>
          <w:p>
            <w:pPr>
              <w:pStyle w:val="Compact"/>
              <w:jc w:val="left"/>
            </w:pPr>
            <w:r>
              <w:t xml:space="preserve">kg CO</w:t>
            </w:r>
            <w:r>
              <w:rPr>
                <w:vertAlign w:val="subscript"/>
              </w:rPr>
              <w:t xml:space="preserve">2</w:t>
            </w:r>
            <w:r>
              <w:t xml:space="preserve"> </w:t>
            </w:r>
            <w:r>
              <w:t xml:space="preserve">/ unit</w:t>
            </w:r>
          </w:p>
        </w:tc>
        <w:tc>
          <w:tcPr/>
          <w:p>
            <w:pPr>
              <w:pStyle w:val="Compact"/>
              <w:jc w:val="left"/>
            </w:pPr>
            <w:r>
              <w:rPr>
                <w:bCs/>
                <w:b/>
              </w:rPr>
              <w:t xml:space="preserve">-1.98</w:t>
            </w:r>
          </w:p>
        </w:tc>
      </w:tr>
      <w:tr>
        <w:tc>
          <w:tcPr/>
          <w:p>
            <w:pPr>
              <w:pStyle w:val="Compact"/>
              <w:jc w:val="left"/>
            </w:pPr>
            <w:r>
              <w:rPr>
                <w:bCs/>
                <w:b/>
              </w:rPr>
              <w:t xml:space="preserve">Direct / Statistical Land Use Change (sLUC)</w:t>
            </w:r>
          </w:p>
        </w:tc>
        <w:tc>
          <w:tcPr/>
          <w:p>
            <w:pPr>
              <w:pStyle w:val="Compact"/>
              <w:jc w:val="left"/>
            </w:pPr>
            <w:r>
              <w:t xml:space="preserve">Forest plantation management for industrial pulpwood</w:t>
            </w:r>
          </w:p>
        </w:tc>
        <w:tc>
          <w:tcPr/>
          <w:p>
            <w:pPr>
              <w:pStyle w:val="Compact"/>
              <w:jc w:val="left"/>
            </w:pPr>
            <w:r>
              <w:t xml:space="preserve">0.089 kg CO</w:t>
            </w:r>
            <w:r>
              <w:rPr>
                <w:vertAlign w:val="subscript"/>
              </w:rPr>
              <w:t xml:space="preserve">2</w:t>
            </w:r>
            <w:r>
              <w:t xml:space="preserve">e / kg pulp</w:t>
            </w:r>
          </w:p>
        </w:tc>
        <w:tc>
          <w:tcPr/>
          <w:p>
            <w:pPr>
              <w:pStyle w:val="Compact"/>
              <w:jc w:val="left"/>
            </w:pPr>
            <w:r>
              <w:t xml:space="preserve">kg CO</w:t>
            </w:r>
            <w:r>
              <w:rPr>
                <w:vertAlign w:val="subscript"/>
              </w:rPr>
              <w:t xml:space="preserve">2</w:t>
            </w:r>
            <w:r>
              <w:t xml:space="preserve">e / unit</w:t>
            </w:r>
          </w:p>
        </w:tc>
        <w:tc>
          <w:tcPr/>
          <w:p>
            <w:pPr>
              <w:pStyle w:val="Compact"/>
              <w:jc w:val="left"/>
            </w:pPr>
            <w:r>
              <w:rPr>
                <w:bCs/>
                <w:b/>
              </w:rPr>
              <w:t xml:space="preserve">+0.12</w:t>
            </w:r>
          </w:p>
        </w:tc>
      </w:tr>
      <w:tr>
        <w:tc>
          <w:tcPr/>
          <w:p>
            <w:pPr>
              <w:pStyle w:val="Compact"/>
              <w:jc w:val="left"/>
            </w:pPr>
            <w:r>
              <w:rPr>
                <w:bCs/>
                <w:b/>
              </w:rPr>
              <w:t xml:space="preserve">Biogenic Emissions from Processing</w:t>
            </w:r>
          </w:p>
        </w:tc>
        <w:tc>
          <w:tcPr/>
          <w:p>
            <w:pPr>
              <w:pStyle w:val="Compact"/>
              <w:jc w:val="left"/>
            </w:pPr>
            <w:r>
              <w:t xml:space="preserve">Thermal black liquor combusted during upstream kraft pulping</w:t>
            </w:r>
          </w:p>
        </w:tc>
        <w:tc>
          <w:tcPr/>
          <w:p>
            <w:pPr>
              <w:pStyle w:val="Compact"/>
              <w:jc w:val="left"/>
            </w:pPr>
            <w:r>
              <w:t xml:space="preserve">0.165 kg CO</w:t>
            </w:r>
            <w:r>
              <w:rPr>
                <w:vertAlign w:val="subscript"/>
              </w:rPr>
              <w:t xml:space="preserve">2</w:t>
            </w:r>
            <w:r>
              <w:t xml:space="preserve"> </w:t>
            </w:r>
            <w:r>
              <w:t xml:space="preserve">/ kg paper</w:t>
            </w:r>
          </w:p>
        </w:tc>
        <w:tc>
          <w:tcPr/>
          <w:p>
            <w:pPr>
              <w:pStyle w:val="Compact"/>
              <w:jc w:val="left"/>
            </w:pPr>
            <w:r>
              <w:t xml:space="preserve">kg CO</w:t>
            </w:r>
            <w:r>
              <w:rPr>
                <w:vertAlign w:val="subscript"/>
              </w:rPr>
              <w:t xml:space="preserve">2</w:t>
            </w:r>
            <w:r>
              <w:t xml:space="preserve"> </w:t>
            </w:r>
            <w:r>
              <w:t xml:space="preserve">/ unit</w:t>
            </w:r>
          </w:p>
        </w:tc>
        <w:tc>
          <w:tcPr/>
          <w:p>
            <w:pPr>
              <w:pStyle w:val="Compact"/>
              <w:jc w:val="left"/>
            </w:pPr>
            <w:r>
              <w:rPr>
                <w:bCs/>
                <w:b/>
              </w:rPr>
              <w:t xml:space="preserve">+0.22</w:t>
            </w:r>
          </w:p>
        </w:tc>
      </w:tr>
    </w:tbl>
    <w:bookmarkEnd w:id="34"/>
    <w:bookmarkStart w:id="35" w:name="Xb8e44b9660bb3f1481007143a1c3d276b6ee889"/>
    <w:p>
      <w:pPr>
        <w:pStyle w:val="Heading2"/>
      </w:pPr>
      <w:r>
        <w:t xml:space="preserve">4.5 Total Cradle-to-Gate Carbon Balance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 Category</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Percentage Contribution</w:t>
            </w:r>
          </w:p>
        </w:tc>
        <w:tc>
          <w:tcPr/>
          <w:p>
            <w:pPr>
              <w:pStyle w:val="Compact"/>
              <w:jc w:val="left"/>
            </w:pPr>
            <w:r>
              <w:t xml:space="preserve">Verification Confidence</w:t>
            </w:r>
          </w:p>
        </w:tc>
      </w:tr>
      <w:tr>
        <w:tc>
          <w:tcPr/>
          <w:p>
            <w:pPr>
              <w:pStyle w:val="Compact"/>
              <w:jc w:val="left"/>
            </w:pPr>
            <w:r>
              <w:rPr>
                <w:bCs/>
                <w:b/>
              </w:rPr>
              <w:t xml:space="preserve">Scope 1 (Direct Facility Combustion)</w:t>
            </w:r>
          </w:p>
        </w:tc>
        <w:tc>
          <w:tcPr/>
          <w:p>
            <w:pPr>
              <w:pStyle w:val="Compact"/>
              <w:jc w:val="left"/>
            </w:pPr>
            <w:r>
              <w:t xml:space="preserve">1.57</w:t>
            </w:r>
          </w:p>
        </w:tc>
        <w:tc>
          <w:tcPr/>
          <w:p>
            <w:pPr>
              <w:pStyle w:val="Compact"/>
              <w:jc w:val="left"/>
            </w:pPr>
            <w:r>
              <w:t xml:space="preserve">1.63%</w:t>
            </w:r>
          </w:p>
        </w:tc>
        <w:tc>
          <w:tcPr/>
          <w:p>
            <w:pPr>
              <w:pStyle w:val="Compact"/>
              <w:jc w:val="left"/>
            </w:pPr>
            <w:r>
              <w:t xml:space="preserve">High (Direct on-site metering)</w:t>
            </w:r>
          </w:p>
        </w:tc>
      </w:tr>
      <w:tr>
        <w:tc>
          <w:tcPr/>
          <w:p>
            <w:pPr>
              <w:pStyle w:val="Compact"/>
              <w:jc w:val="left"/>
            </w:pPr>
            <w:r>
              <w:rPr>
                <w:bCs/>
                <w:b/>
              </w:rPr>
              <w:t xml:space="preserve">Scope 2 (Purchased Electricity - Location Based)</w:t>
            </w:r>
          </w:p>
        </w:tc>
        <w:tc>
          <w:tcPr/>
          <w:p>
            <w:pPr>
              <w:pStyle w:val="Compact"/>
              <w:jc w:val="left"/>
            </w:pPr>
            <w:r>
              <w:t xml:space="preserve">13.36</w:t>
            </w:r>
          </w:p>
        </w:tc>
        <w:tc>
          <w:tcPr/>
          <w:p>
            <w:pPr>
              <w:pStyle w:val="Compact"/>
              <w:jc w:val="left"/>
            </w:pPr>
            <w:r>
              <w:t xml:space="preserve">13.87%</w:t>
            </w:r>
          </w:p>
        </w:tc>
        <w:tc>
          <w:tcPr/>
          <w:p>
            <w:pPr>
              <w:pStyle w:val="Compact"/>
              <w:jc w:val="left"/>
            </w:pPr>
            <w:r>
              <w:t xml:space="preserve">High (Smart-meter logged at panel)</w:t>
            </w:r>
          </w:p>
        </w:tc>
      </w:tr>
      <w:tr>
        <w:tc>
          <w:tcPr/>
          <w:p>
            <w:pPr>
              <w:pStyle w:val="Compact"/>
              <w:jc w:val="left"/>
            </w:pPr>
            <w:r>
              <w:rPr>
                <w:bCs/>
                <w:b/>
              </w:rPr>
              <w:t xml:space="preserve">Scope 3 (Upstream Supply Chain - Category 1)</w:t>
            </w:r>
          </w:p>
        </w:tc>
        <w:tc>
          <w:tcPr/>
          <w:p>
            <w:pPr>
              <w:pStyle w:val="Compact"/>
              <w:jc w:val="left"/>
            </w:pPr>
            <w:r>
              <w:t xml:space="preserve">72.36</w:t>
            </w:r>
          </w:p>
        </w:tc>
        <w:tc>
          <w:tcPr/>
          <w:p>
            <w:pPr>
              <w:pStyle w:val="Compact"/>
              <w:jc w:val="left"/>
            </w:pPr>
            <w:r>
              <w:t xml:space="preserve">75.11%</w:t>
            </w:r>
          </w:p>
        </w:tc>
        <w:tc>
          <w:tcPr/>
          <w:p>
            <w:pPr>
              <w:pStyle w:val="Compact"/>
              <w:jc w:val="left"/>
            </w:pPr>
            <w:r>
              <w:t xml:space="preserve">High-Medium (Certified BOM &amp; Ecoinvent)</w:t>
            </w:r>
          </w:p>
        </w:tc>
      </w:tr>
      <w:tr>
        <w:tc>
          <w:tcPr/>
          <w:p>
            <w:pPr>
              <w:pStyle w:val="Compact"/>
              <w:jc w:val="left"/>
            </w:pPr>
            <w:r>
              <w:rPr>
                <w:bCs/>
                <w:b/>
              </w:rPr>
              <w:t xml:space="preserve">Scope 3 (Fuel- &amp; Energy-Related - Category 3)</w:t>
            </w:r>
          </w:p>
        </w:tc>
        <w:tc>
          <w:tcPr/>
          <w:p>
            <w:pPr>
              <w:pStyle w:val="Compact"/>
              <w:jc w:val="left"/>
            </w:pPr>
            <w:r>
              <w:t xml:space="preserve">2.37</w:t>
            </w:r>
          </w:p>
        </w:tc>
        <w:tc>
          <w:tcPr/>
          <w:p>
            <w:pPr>
              <w:pStyle w:val="Compact"/>
              <w:jc w:val="left"/>
            </w:pPr>
            <w:r>
              <w:t xml:space="preserve">2.46%</w:t>
            </w:r>
          </w:p>
        </w:tc>
        <w:tc>
          <w:tcPr/>
          <w:p>
            <w:pPr>
              <w:pStyle w:val="Compact"/>
              <w:jc w:val="left"/>
            </w:pPr>
            <w:r>
              <w:t xml:space="preserve">High (National standard calculations)</w:t>
            </w:r>
          </w:p>
        </w:tc>
      </w:tr>
      <w:tr>
        <w:tc>
          <w:tcPr/>
          <w:p>
            <w:pPr>
              <w:pStyle w:val="Compact"/>
              <w:jc w:val="left"/>
            </w:pPr>
            <w:r>
              <w:rPr>
                <w:bCs/>
                <w:b/>
              </w:rPr>
              <w:t xml:space="preserve">Scope 3 (Upstream Logistics - Category 4)</w:t>
            </w:r>
          </w:p>
        </w:tc>
        <w:tc>
          <w:tcPr/>
          <w:p>
            <w:pPr>
              <w:pStyle w:val="Compact"/>
              <w:jc w:val="left"/>
            </w:pPr>
            <w:r>
              <w:t xml:space="preserve">2.76</w:t>
            </w:r>
          </w:p>
        </w:tc>
        <w:tc>
          <w:tcPr/>
          <w:p>
            <w:pPr>
              <w:pStyle w:val="Compact"/>
              <w:jc w:val="left"/>
            </w:pPr>
            <w:r>
              <w:t xml:space="preserve">2.86%</w:t>
            </w:r>
          </w:p>
        </w:tc>
        <w:tc>
          <w:tcPr/>
          <w:p>
            <w:pPr>
              <w:pStyle w:val="Compact"/>
              <w:jc w:val="left"/>
            </w:pPr>
            <w:r>
              <w:t xml:space="preserve">Medium (Actual route shipping distances)</w:t>
            </w:r>
          </w:p>
        </w:tc>
      </w:tr>
      <w:tr>
        <w:tc>
          <w:tcPr/>
          <w:p>
            <w:pPr>
              <w:pStyle w:val="Compact"/>
              <w:jc w:val="left"/>
            </w:pPr>
            <w:r>
              <w:rPr>
                <w:bCs/>
                <w:b/>
              </w:rPr>
              <w:t xml:space="preserve">Scope 3 (Operational Waste - Category 5)</w:t>
            </w:r>
          </w:p>
        </w:tc>
        <w:tc>
          <w:tcPr/>
          <w:p>
            <w:pPr>
              <w:pStyle w:val="Compact"/>
              <w:jc w:val="left"/>
            </w:pPr>
            <w:r>
              <w:t xml:space="preserve">0.61</w:t>
            </w:r>
          </w:p>
        </w:tc>
        <w:tc>
          <w:tcPr/>
          <w:p>
            <w:pPr>
              <w:pStyle w:val="Compact"/>
              <w:jc w:val="left"/>
            </w:pPr>
            <w:r>
              <w:t xml:space="preserve">0.63%</w:t>
            </w:r>
          </w:p>
        </w:tc>
        <w:tc>
          <w:tcPr/>
          <w:p>
            <w:pPr>
              <w:pStyle w:val="Compact"/>
              <w:jc w:val="left"/>
            </w:pPr>
            <w:r>
              <w:t xml:space="preserve">Medium (Hauler manifest data)</w:t>
            </w:r>
          </w:p>
        </w:tc>
      </w:tr>
      <w:tr>
        <w:tc>
          <w:tcPr/>
          <w:p>
            <w:pPr>
              <w:pStyle w:val="Compact"/>
              <w:jc w:val="left"/>
            </w:pPr>
            <w:r>
              <w:t xml:space="preserve">Gross Fossil Cradle-to-Gate Footprint</w:t>
            </w:r>
          </w:p>
        </w:tc>
        <w:tc>
          <w:tcPr/>
          <w:p>
            <w:pPr>
              <w:pStyle w:val="Compact"/>
              <w:jc w:val="left"/>
            </w:pPr>
            <w:r>
              <w:t xml:space="preserve">96.34</w:t>
            </w:r>
          </w:p>
        </w:tc>
        <w:tc>
          <w:tcPr/>
          <w:p>
            <w:pPr>
              <w:pStyle w:val="Compact"/>
              <w:jc w:val="left"/>
            </w:pPr>
            <w:r>
              <w:t xml:space="preserve">100.00%</w:t>
            </w:r>
          </w:p>
        </w:tc>
        <w:tc>
          <w:tcPr/>
          <w:p>
            <w:pPr>
              <w:pStyle w:val="Compact"/>
              <w:jc w:val="left"/>
            </w:pPr>
            <w:r>
              <w:t xml:space="preserve">Meets 95% Scope 3 Boundary Mandate</w:t>
            </w:r>
          </w:p>
        </w:tc>
      </w:tr>
      <w:tr>
        <w:tc>
          <w:tcPr/>
          <w:p>
            <w:pPr>
              <w:pStyle w:val="Compact"/>
              <w:jc w:val="left"/>
            </w:pPr>
            <w:r>
              <w:rPr>
                <w:iCs/>
                <w:i/>
              </w:rPr>
              <w:t xml:space="preserve">Segregated LSR Land Use Change (LUC)</w:t>
            </w:r>
          </w:p>
        </w:tc>
        <w:tc>
          <w:tcPr/>
          <w:p>
            <w:pPr>
              <w:pStyle w:val="Compact"/>
              <w:jc w:val="left"/>
            </w:pPr>
            <w:r>
              <w:t xml:space="preserve">+0.12</w:t>
            </w:r>
          </w:p>
        </w:tc>
        <w:tc>
          <w:tcPr/>
          <w:p>
            <w:pPr>
              <w:pStyle w:val="Compact"/>
              <w:jc w:val="left"/>
            </w:pPr>
            <w:r>
              <w:t xml:space="preserve">-</w:t>
            </w:r>
          </w:p>
        </w:tc>
        <w:tc>
          <w:tcPr/>
          <w:p>
            <w:pPr>
              <w:pStyle w:val="Compact"/>
              <w:jc w:val="left"/>
            </w:pPr>
            <w:r>
              <w:t xml:space="preserve">Forestry certification audit</w:t>
            </w:r>
          </w:p>
        </w:tc>
      </w:tr>
      <w:tr>
        <w:tc>
          <w:tcPr/>
          <w:p>
            <w:pPr>
              <w:pStyle w:val="Compact"/>
              <w:jc w:val="left"/>
            </w:pPr>
            <w:r>
              <w:rPr>
                <w:iCs/>
                <w:i/>
              </w:rPr>
              <w:t xml:space="preserve">Segregated Biogenic Atmospheric Removals</w:t>
            </w:r>
          </w:p>
        </w:tc>
        <w:tc>
          <w:tcPr/>
          <w:p>
            <w:pPr>
              <w:pStyle w:val="Compact"/>
              <w:jc w:val="left"/>
            </w:pPr>
            <w:r>
              <w:t xml:space="preserve">-1.98</w:t>
            </w:r>
          </w:p>
        </w:tc>
        <w:tc>
          <w:tcPr/>
          <w:p>
            <w:pPr>
              <w:pStyle w:val="Compact"/>
              <w:jc w:val="left"/>
            </w:pPr>
            <w:r>
              <w:t xml:space="preserve">-</w:t>
            </w:r>
          </w:p>
        </w:tc>
        <w:tc>
          <w:tcPr/>
          <w:p>
            <w:pPr>
              <w:pStyle w:val="Compact"/>
              <w:jc w:val="left"/>
            </w:pPr>
            <w:r>
              <w:t xml:space="preserve">Stored temporarily in corrugate packaging</w:t>
            </w:r>
          </w:p>
        </w:tc>
      </w:tr>
    </w:tbl>
    <w:p>
      <w:r>
        <w:pict>
          <v:rect style="width:0;height:1.5pt" o:hralign="center" o:hrstd="t" o:hr="t"/>
        </w:pict>
      </w:r>
    </w:p>
    <w:bookmarkEnd w:id="35"/>
    <w:bookmarkEnd w:id="36"/>
    <w:bookmarkStart w:id="40" w:name="Xf8a2d1e692a3c54d5f0c55dafce1b79802fa590"/>
    <w:p>
      <w:pPr>
        <w:pStyle w:val="Heading1"/>
      </w:pPr>
      <w:r>
        <w:t xml:space="preserve">5. Review, Data Quality &amp; Decarbonization Roadmap</w:t>
      </w:r>
    </w:p>
    <w:bookmarkStart w:id="37" w:name="hotspot-evaluation-sensitivity-analysis"/>
    <w:p>
      <w:pPr>
        <w:pStyle w:val="Heading2"/>
      </w:pPr>
      <w:r>
        <w:t xml:space="preserve">5.1 Hotspot Evaluation &amp; Sensitivity Analysis</w:t>
      </w:r>
    </w:p>
    <w:p>
      <w:pPr>
        <w:numPr>
          <w:ilvl w:val="0"/>
          <w:numId w:val="1004"/>
        </w:numPr>
        <w:pStyle w:val="Compact"/>
      </w:pPr>
      <w:r>
        <w:rPr>
          <w:bCs/>
          <w:b/>
        </w:rPr>
        <w:t xml:space="preserve">Structural Polymers and Die-Cast Metals:</w:t>
      </w:r>
      <w:r>
        <w:t xml:space="preserve"> </w:t>
      </w:r>
      <w:r>
        <w:t xml:space="preserve">Die-cast aluminum (27.09 kg CO</w:t>
      </w:r>
      <w:r>
        <w:rPr>
          <w:vertAlign w:val="subscript"/>
        </w:rPr>
        <w:t xml:space="preserve">2</w:t>
      </w:r>
      <w:r>
        <w:t xml:space="preserve">e) and glass-filled polyamide 66 (23.73 kg CO</w:t>
      </w:r>
      <w:r>
        <w:rPr>
          <w:vertAlign w:val="subscript"/>
        </w:rPr>
        <w:t xml:space="preserve">2</w:t>
      </w:r>
      <w:r>
        <w:t xml:space="preserve">e) represent a combined</w:t>
      </w:r>
      <w:r>
        <w:t xml:space="preserve"> </w:t>
      </w:r>
      <w:r>
        <w:rPr>
          <w:bCs/>
          <w:b/>
        </w:rPr>
        <w:t xml:space="preserve">52.7%</w:t>
      </w:r>
      <w:r>
        <w:t xml:space="preserve"> </w:t>
      </w:r>
      <w:r>
        <w:t xml:space="preserve">of the product\'s gross cradle-to-gate impact. A sensitivity analysis reveals that raising secondary aluminum scrap utilization from 65% to 85% yields a net product footprint reduction of</w:t>
      </w:r>
      <w:r>
        <w:t xml:space="preserve"> </w:t>
      </w:r>
      <w:r>
        <w:rPr>
          <w:bCs/>
          <w:b/>
        </w:rPr>
        <w:t xml:space="preserve">4.82 kg CO</w:t>
      </w:r>
      <w:r>
        <w:rPr>
          <w:vertAlign w:val="subscript"/>
          <w:bCs/>
          <w:b/>
        </w:rPr>
        <w:t xml:space="preserve">2</w:t>
      </w:r>
      <w:r>
        <w:rPr>
          <w:bCs/>
          <w:b/>
        </w:rPr>
        <w:t xml:space="preserve">e (-5.0%)</w:t>
      </w:r>
      <w:r>
        <w:t xml:space="preserve">.</w:t>
      </w:r>
    </w:p>
    <w:p>
      <w:pPr>
        <w:numPr>
          <w:ilvl w:val="0"/>
          <w:numId w:val="1004"/>
        </w:numPr>
        <w:pStyle w:val="Compact"/>
      </w:pPr>
      <w:r>
        <w:rPr>
          <w:bCs/>
          <w:b/>
        </w:rPr>
        <w:t xml:space="preserve">Grid Intensity of Assembly Operations:</w:t>
      </w:r>
      <w:r>
        <w:t xml:space="preserve"> </w:t>
      </w:r>
      <w:r>
        <w:t xml:space="preserve">Vietnam\'s EVN electrical grid (dominated by coal and gas generation at 0.722 kg CO</w:t>
      </w:r>
      <w:r>
        <w:rPr>
          <w:vertAlign w:val="subscript"/>
        </w:rPr>
        <w:t xml:space="preserve">2</w:t>
      </w:r>
      <w:r>
        <w:t xml:space="preserve">e/kWh) produces 13.36 kg CO</w:t>
      </w:r>
      <w:r>
        <w:rPr>
          <w:vertAlign w:val="subscript"/>
        </w:rPr>
        <w:t xml:space="preserve">2</w:t>
      </w:r>
      <w:r>
        <w:t xml:space="preserve">e per chair. Installing on-site rooftop photovoltaic arrays (with an amortized factor of 0.045 kg CO</w:t>
      </w:r>
      <w:r>
        <w:rPr>
          <w:vertAlign w:val="subscript"/>
        </w:rPr>
        <w:t xml:space="preserve">2</w:t>
      </w:r>
      <w:r>
        <w:t xml:space="preserve">e/kWh) could reduce Scope 2 emissions by up to</w:t>
      </w:r>
      <w:r>
        <w:t xml:space="preserve"> </w:t>
      </w:r>
      <w:r>
        <w:rPr>
          <w:bCs/>
          <w:b/>
        </w:rPr>
        <w:t xml:space="preserve">78%</w:t>
      </w:r>
      <w:r>
        <w:t xml:space="preserve">, shaving</w:t>
      </w:r>
      <w:r>
        <w:t xml:space="preserve"> </w:t>
      </w:r>
      <w:r>
        <w:rPr>
          <w:bCs/>
          <w:b/>
        </w:rPr>
        <w:t xml:space="preserve">10.4 kg CO</w:t>
      </w:r>
      <w:r>
        <w:rPr>
          <w:vertAlign w:val="subscript"/>
          <w:bCs/>
          <w:b/>
        </w:rPr>
        <w:t xml:space="preserve">2</w:t>
      </w:r>
      <w:r>
        <w:rPr>
          <w:bCs/>
          <w:b/>
        </w:rPr>
        <w:t xml:space="preserve">e</w:t>
      </w:r>
      <w:r>
        <w:t xml:space="preserve"> </w:t>
      </w:r>
      <w:r>
        <w:t xml:space="preserve">per unit.</w:t>
      </w:r>
    </w:p>
    <w:p>
      <w:pPr>
        <w:numPr>
          <w:ilvl w:val="0"/>
          <w:numId w:val="1004"/>
        </w:numPr>
        <w:pStyle w:val="Compact"/>
      </w:pPr>
      <w:r>
        <w:rPr>
          <w:bCs/>
          <w:b/>
        </w:rPr>
        <w:t xml:space="preserve">Polyurethane Cushion Substitution:</w:t>
      </w:r>
      <w:r>
        <w:t xml:space="preserve"> </w:t>
      </w:r>
      <w:r>
        <w:t xml:space="preserve">Replacing virgin petrochemical polyols with 25% bio-succinic or castor-based polyols could reduce foam stage emissions by 1.25 kg CO</w:t>
      </w:r>
      <w:r>
        <w:rPr>
          <w:vertAlign w:val="subscript"/>
        </w:rPr>
        <w:t xml:space="preserve">2</w:t>
      </w:r>
      <w:r>
        <w:t xml:space="preserve">e without compromising cyclic fatigue performance.</w:t>
      </w:r>
    </w:p>
    <w:bookmarkEnd w:id="37"/>
    <w:bookmarkStart w:id="38" w:name="data-quality-dqr-assessment-matrix"/>
    <w:p>
      <w:pPr>
        <w:pStyle w:val="Heading2"/>
      </w:pPr>
      <w:r>
        <w:t xml:space="preserve">5.2 Data Quality &amp; DQR Assessment Matrix</w:t>
      </w:r>
    </w:p>
    <w:p>
      <w:pPr>
        <w:pStyle w:val="FirstParagraph"/>
      </w:pPr>
      <w:r>
        <w:t xml:space="preserve">In conformance with the GHG Protocol Product Standard, data reliability was scored across four quality parameters:</w:t>
      </w:r>
    </w:p>
    <w:p>
      <w:pPr>
        <w:numPr>
          <w:ilvl w:val="0"/>
          <w:numId w:val="1005"/>
        </w:numPr>
        <w:pStyle w:val="Compact"/>
      </w:pPr>
      <w:r>
        <w:rPr>
          <w:bCs/>
          <w:b/>
        </w:rPr>
        <w:t xml:space="preserve">Technological Representativeness: Very Good.</w:t>
      </w:r>
      <w:r>
        <w:t xml:space="preserve"> </w:t>
      </w:r>
      <w:r>
        <w:t xml:space="preserve">Tier 1 plant-specific manufacturing equipment (cold-chamber die casting and electric screw molding machines) was measured directly.</w:t>
      </w:r>
    </w:p>
    <w:p>
      <w:pPr>
        <w:numPr>
          <w:ilvl w:val="0"/>
          <w:numId w:val="1005"/>
        </w:numPr>
        <w:pStyle w:val="Compact"/>
      </w:pPr>
      <w:r>
        <w:rPr>
          <w:bCs/>
          <w:b/>
        </w:rPr>
        <w:t xml:space="preserve">Geographical Representativeness: Good.</w:t>
      </w:r>
      <w:r>
        <w:t xml:space="preserve"> </w:t>
      </w:r>
      <w:r>
        <w:t xml:space="preserve">Electricity grid and fuel emission factors reflect national Vietnamese data; international shipping routes were accurately modeled using GLEC standards.</w:t>
      </w:r>
    </w:p>
    <w:p>
      <w:pPr>
        <w:numPr>
          <w:ilvl w:val="0"/>
          <w:numId w:val="1005"/>
        </w:numPr>
        <w:pStyle w:val="Compact"/>
      </w:pPr>
      <w:r>
        <w:rPr>
          <w:bCs/>
          <w:b/>
        </w:rPr>
        <w:t xml:space="preserve">Temporal Representativeness: Excellent.</w:t>
      </w:r>
      <w:r>
        <w:t xml:space="preserve"> </w:t>
      </w:r>
      <w:r>
        <w:t xml:space="preserve">All activity records correspond to the trailing 12-month period ending Q3 2026.</w:t>
      </w:r>
    </w:p>
    <w:p>
      <w:pPr>
        <w:numPr>
          <w:ilvl w:val="0"/>
          <w:numId w:val="1005"/>
        </w:numPr>
        <w:pStyle w:val="Compact"/>
      </w:pPr>
      <w:r>
        <w:rPr>
          <w:bCs/>
          <w:b/>
        </w:rPr>
        <w:t xml:space="preserve">Completeness: 97.8% Value Chain Coverage.</w:t>
      </w:r>
      <w:r>
        <w:t xml:space="preserve"> </w:t>
      </w:r>
      <w:r>
        <w:t xml:space="preserve">All material flows down to a 0.05 kg cut-off threshold were mapped, surpassing the 2026 mandatory 95% threshold.</w:t>
      </w:r>
    </w:p>
    <w:bookmarkEnd w:id="38"/>
    <w:bookmarkStart w:id="39" w:name="X871156f6404240102bb059d2838de894d79a59e"/>
    <w:p>
      <w:pPr>
        <w:pStyle w:val="Heading2"/>
      </w:pPr>
      <w:r>
        <w:t xml:space="preserve">5.3 Recommended Interventions for Product Decarbonization</w:t>
      </w:r>
    </w:p>
    <w:p>
      <w:pPr>
        <w:numPr>
          <w:ilvl w:val="0"/>
          <w:numId w:val="1006"/>
        </w:numPr>
        <w:pStyle w:val="Compact"/>
      </w:pPr>
      <w:r>
        <w:rPr>
          <w:bCs/>
          <w:b/>
        </w:rPr>
        <w:t xml:space="preserve">Shift to 100% Recycled Secondary Aluminum:</w:t>
      </w:r>
      <w:r>
        <w:t xml:space="preserve"> </w:t>
      </w:r>
      <w:r>
        <w:t xml:space="preserve">Mandate ingot chemistry certified to contain minimum 85-90% post-consumer recycled aluminum for the 5-star base.</w:t>
      </w:r>
    </w:p>
    <w:p>
      <w:pPr>
        <w:numPr>
          <w:ilvl w:val="0"/>
          <w:numId w:val="1006"/>
        </w:numPr>
        <w:pStyle w:val="Compact"/>
      </w:pPr>
      <w:r>
        <w:rPr>
          <w:bCs/>
          <w:b/>
        </w:rPr>
        <w:t xml:space="preserve">Procure Low-Carbon / Bio-Attributed Polyamides:</w:t>
      </w:r>
      <w:r>
        <w:t xml:space="preserve"> </w:t>
      </w:r>
      <w:r>
        <w:t xml:space="preserve">Transition spine and arm components to mass-balanced bio-circular PA66 compounds, targeting a 30% reduction in polymer footprint.</w:t>
      </w:r>
    </w:p>
    <w:p>
      <w:pPr>
        <w:numPr>
          <w:ilvl w:val="0"/>
          <w:numId w:val="1006"/>
        </w:numPr>
        <w:pStyle w:val="Compact"/>
      </w:pPr>
      <w:r>
        <w:rPr>
          <w:bCs/>
          <w:b/>
        </w:rPr>
        <w:t xml:space="preserve">Execute On-site Solar Power Purchase Agreement (PPA):</w:t>
      </w:r>
      <w:r>
        <w:t xml:space="preserve"> </w:t>
      </w:r>
      <w:r>
        <w:t xml:space="preserve">Transition the Vietnam assembly facility to direct solar self-consumption to mitigate Scope 2 risks.</w:t>
      </w:r>
    </w:p>
    <w:p>
      <w:pPr>
        <w:numPr>
          <w:ilvl w:val="0"/>
          <w:numId w:val="1006"/>
        </w:numPr>
        <w:pStyle w:val="Compact"/>
      </w:pPr>
      <w:r>
        <w:rPr>
          <w:bCs/>
          <w:b/>
        </w:rPr>
        <w:t xml:space="preserve">Consolidate North American Component Freight:</w:t>
      </w:r>
      <w:r>
        <w:t xml:space="preserve"> </w:t>
      </w:r>
      <w:r>
        <w:t xml:space="preserve">Transition freight shipping from partial container loads (LCL) to full consolidated 40-foot high-cube containers (FCL) to optimize logistical mass density.</w:t>
      </w:r>
    </w:p>
    <w:p>
      <w:pPr>
        <w:pStyle w:val="FirstParagraph"/>
      </w:pPr>
      <w:r>
        <w:t xml:space="preserve">Product Carbon Footprint Report • carboncalcpcf.com</w:t>
      </w:r>
    </w:p>
    <w:p>
      <w:pPr>
        <w:pStyle w:val="BodyText"/>
      </w:pPr>
      <w:r>
        <w:t xml:space="preserve">Confidential • Prepared by hoe siong woon • Page 2 of 2</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Commercial Ergonomic Chair | carboncalcpcf.com</dc:title>
  <dc:creator/>
  <dc:description>Comprehensive Cradle-to-Gate Product Carbon Footprint (PCF) report for an ergonomic office chair manufactured in Vietnam with a North American and global supply chain, prepared in accordance with the GHG Protocol Product Standard and the 2026 Land Sector and Removals (LSR) Standard.</dc:description>
  <dc:language>en</dc:language>
  <cp:keywords/>
  <dcterms:created xsi:type="dcterms:W3CDTF">2026-10-17T19:20:55Z</dcterms:created>
  <dcterms:modified xsi:type="dcterms:W3CDTF">2026-10-17T19:20:55Z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