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w:t>
      </w:r>
      <w:r>
        <w:t xml:space="preserve"> </w:t>
      </w:r>
      <w:r>
        <w:t xml:space="preserve">11</w:t>
      </w:r>
      <w:r>
        <w:t xml:space="preserve"> </w:t>
      </w:r>
      <w:r>
        <w:t xml:space="preserve">kW</w:t>
      </w:r>
      <w:r>
        <w:t xml:space="preserve"> </w:t>
      </w:r>
      <w:r>
        <w:t xml:space="preserve">Industrial</w:t>
      </w:r>
      <w:r>
        <w:t xml:space="preserve"> </w:t>
      </w:r>
      <w:r>
        <w:t xml:space="preserve">Electric</w:t>
      </w:r>
      <w:r>
        <w:t xml:space="preserve"> </w:t>
      </w:r>
      <w:r>
        <w:t xml:space="preserve">Motor</w:t>
      </w:r>
      <w:r>
        <w:t xml:space="preserve"> </w:t>
      </w:r>
      <w:r>
        <w:t xml:space="preserve">|</w:t>
      </w:r>
      <w:r>
        <w:t xml:space="preserve"> </w:t>
      </w:r>
      <w:r>
        <w:t xml:space="preserve">carboncalcpcf.com</w:t>
      </w:r>
    </w:p>
    <w:p>
      <w:pPr>
        <w:pStyle w:val="FirstParagraph"/>
      </w:pPr>
      <w:r>
        <w:t xml:space="preserve">carboncalcpcf.com</w:t>
      </w:r>
    </w:p>
    <w:p>
      <w:pPr>
        <w:pStyle w:val="BodyText"/>
      </w:pPr>
      <w:r>
        <w:t xml:space="preserve">Enterprise Carbon Accounting &amp; Life Cycle Assessment Platform</w:t>
      </w:r>
    </w:p>
    <w:p>
      <w:pPr>
        <w:pStyle w:val="BodyText"/>
      </w:pPr>
      <w:r>
        <w:t xml:space="preserve">Product Carbon Footprint (PCF) Verification Report</w:t>
      </w:r>
    </w:p>
    <w:bookmarkStart w:id="20" w:name="X4089e52c86e24eb07cdd4eddf9e40295844333c"/>
    <w:p>
      <w:pPr>
        <w:pStyle w:val="Heading1"/>
      </w:pPr>
      <w:r>
        <w:t xml:space="preserve">11 kW High-Efficiency Industrial Electric Motor (IE4 Class)</w:t>
      </w:r>
    </w:p>
    <w:p>
      <w:pPr>
        <w:pStyle w:val="FirstParagraph"/>
      </w:pPr>
      <w:r>
        <w:t xml:space="preserve">Cradle-to-Gate Greenhouse Gas Inventory, Material Stage Breakdown, and Value Chain Emission Assessment</w:t>
      </w:r>
    </w:p>
    <w:p>
      <w:pPr>
        <w:pStyle w:val="BodyText"/>
      </w:pPr>
      <w:r>
        <w:t xml:space="preserve">Accounting Standard:</w:t>
      </w:r>
      <w:r>
        <w:t xml:space="preserve"> </w:t>
      </w:r>
      <w:r>
        <w:t xml:space="preserve">GHG Protocol Product Standard (w/ 2026 LSR Guidance)</w:t>
      </w:r>
    </w:p>
    <w:p>
      <w:pPr>
        <w:pStyle w:val="BodyText"/>
      </w:pPr>
      <w:r>
        <w:t xml:space="preserve">Functional Unit:</w:t>
      </w:r>
      <w:r>
        <w:t xml:space="preserve"> </w:t>
      </w:r>
      <w:r>
        <w:t xml:space="preserve">1.0 Unit (IE4 11 kW AC Induction Motor)</w:t>
      </w:r>
    </w:p>
    <w:p>
      <w:pPr>
        <w:pStyle w:val="BodyText"/>
      </w:pPr>
      <w:r>
        <w:t xml:space="preserve">System Boundary:</w:t>
      </w:r>
      <w:r>
        <w:t xml:space="preserve"> </w:t>
      </w:r>
      <w:r>
        <w:t xml:space="preserve">Cradle-to-Gate (Factory Gate)</w:t>
      </w:r>
    </w:p>
    <w:p>
      <w:pPr>
        <w:pStyle w:val="BodyText"/>
      </w:pPr>
      <w:r>
        <w:t xml:space="preserve">Final Assembly Site:</w:t>
      </w:r>
      <w:r>
        <w:t xml:space="preserve"> </w:t>
      </w:r>
      <w:r>
        <w:t xml:space="preserve">Eindhoven, Netherlands</w:t>
      </w:r>
    </w:p>
    <w:p>
      <w:pPr>
        <w:pStyle w:val="BodyText"/>
      </w:pPr>
      <w:r>
        <w:t xml:space="preserve">Supply Chain Focus:</w:t>
      </w:r>
      <w:r>
        <w:t xml:space="preserve"> </w:t>
      </w:r>
      <w:r>
        <w:t xml:space="preserve">Europe-Focused (Tier 1 &amp; Tier 2)</w:t>
      </w:r>
    </w:p>
    <w:p>
      <w:pPr>
        <w:pStyle w:val="BodyText"/>
      </w:pPr>
      <w:r>
        <w:t xml:space="preserve">Scope 3 Coverage:</w:t>
      </w:r>
      <w:r>
        <w:t xml:space="preserve"> </w:t>
      </w:r>
      <w:r>
        <w:t xml:space="preserve">98.4% (&gt;95% Compliance Achieved)</w:t>
      </w:r>
    </w:p>
    <w:p>
      <w:pPr>
        <w:pStyle w:val="BodyText"/>
      </w:pPr>
      <w:r>
        <w:t xml:space="preserve">Reporting Period:</w:t>
      </w:r>
      <w:r>
        <w:t xml:space="preserve"> </w:t>
      </w:r>
      <w:r>
        <w:t xml:space="preserve">Calendar Year 2025 / 2026 Reference</w:t>
      </w:r>
    </w:p>
    <w:p>
      <w:pPr>
        <w:pStyle w:val="BodyText"/>
      </w:pPr>
      <w:r>
        <w:t xml:space="preserve">Assessment Verification:</w:t>
      </w:r>
      <w:r>
        <w:t xml:space="preserve"> </w:t>
      </w:r>
      <w:r>
        <w:t xml:space="preserve">Senior Sustainability Consultant Review</w:t>
      </w:r>
    </w:p>
    <w:bookmarkEnd w:id="20"/>
    <w:p>
      <w:pPr>
        <w:pStyle w:val="BodyText"/>
      </w:pPr>
      <w:r>
        <w:rPr>
          <w:bCs/>
          <w:b/>
        </w:rPr>
        <w:t xml:space="preserve">Disclaimer:</w:t>
      </w:r>
      <w:r>
        <w:t xml:space="preserve"> </w:t>
      </w:r>
      <w:r>
        <w:t xml:space="preserve">This Product Carbon Footprint report is generated based on certified activity data, primary site measurements from the Netherlands production facility, audited European tier-1 supplier declarations, and secondary characterization factors derived from Ecoinvent v3.10 and DEFRA databases. All calculations align with the GHG Protocol Product Life Cycle Accounting and Reporting Standard and the 2026 Land Sector and Removals (LSR) Standard. No forward-looking guarantees of future operational performance are implied.</w:t>
      </w:r>
    </w:p>
    <w:p>
      <w:pPr>
        <w:pStyle w:val="BodyText"/>
      </w:pPr>
      <w:r>
        <w:rPr>
          <w:bCs/>
          <w:b/>
        </w:rPr>
        <w:t xml:space="preserve">carboncalcpcf.com</w:t>
      </w:r>
      <w:r>
        <w:t xml:space="preserve"> </w:t>
      </w:r>
      <w:r>
        <w:t xml:space="preserve">| Product Carbon Footprint Report</w:t>
      </w:r>
      <w:r>
        <w:t xml:space="preserve"> </w:t>
      </w:r>
      <w:r>
        <w:t xml:space="preserve">Generated Date: October 2026 | Ref: PCF-NL-IND-2026-088</w:t>
      </w:r>
    </w:p>
    <w:bookmarkStart w:id="22" w:name="executive-summary"/>
    <w:p>
      <w:pPr>
        <w:pStyle w:val="Heading2"/>
      </w:pPr>
      <w:r>
        <w:t xml:space="preserve">Executive Summary</w:t>
      </w:r>
    </w:p>
    <w:p>
      <w:pPr>
        <w:pStyle w:val="FirstParagraph"/>
      </w:pPr>
      <w:r>
        <w:t xml:space="preserve">This report presents the Cradle-to-Gate Product Carbon Footprint (PCF) of an</w:t>
      </w:r>
      <w:r>
        <w:t xml:space="preserve"> </w:t>
      </w:r>
      <w:r>
        <w:rPr>
          <w:bCs/>
          <w:b/>
        </w:rPr>
        <w:t xml:space="preserve">11 kW Super Premium Efficiency (IE4) Industrial Electric Motor</w:t>
      </w:r>
      <w:r>
        <w:t xml:space="preserve"> </w:t>
      </w:r>
      <w:r>
        <w:t xml:space="preserve">manufactured at an industrial facility in</w:t>
      </w:r>
      <w:r>
        <w:t xml:space="preserve"> </w:t>
      </w:r>
      <w:r>
        <w:rPr>
          <w:bCs/>
          <w:b/>
        </w:rPr>
        <w:t xml:space="preserve">Eindhoven, Netherlands</w:t>
      </w:r>
      <w:r>
        <w:t xml:space="preserve">. The study evaluates the complete upstream and direct life cycle burdens required to produce and package 1.0 unit ready for distribution at the factory gate, adhering rigorously to the</w:t>
      </w:r>
      <w:r>
        <w:t xml:space="preserve"> </w:t>
      </w:r>
      <w:r>
        <w:rPr>
          <w:bCs/>
          <w:b/>
        </w:rPr>
        <w:t xml:space="preserve">GHG Protocol Product Life Cycle Accounting and Reporting Standard</w:t>
      </w:r>
      <w:r>
        <w:t xml:space="preserve"> </w:t>
      </w:r>
      <w:r>
        <w:t xml:space="preserve">and the mandatory</w:t>
      </w:r>
      <w:r>
        <w:t xml:space="preserve"> </w:t>
      </w:r>
      <w:r>
        <w:rPr>
          <w:bCs/>
          <w:b/>
        </w:rPr>
        <w:t xml:space="preserve">2026 Land Sector and Removals (LSR) Standard</w:t>
      </w:r>
      <w:r>
        <w:t xml:space="preserve"> </w:t>
      </w:r>
      <w:r>
        <w:t xml:space="preserve">updates.</w:t>
      </w:r>
    </w:p>
    <w:p>
      <w:pPr>
        <w:pStyle w:val="BodyText"/>
      </w:pPr>
      <w:r>
        <w:rPr>
          <w:bCs/>
          <w:b/>
        </w:rPr>
        <w:t xml:space="preserve">Key Result:</w:t>
      </w:r>
      <w:r>
        <w:t xml:space="preserve"> </w:t>
      </w:r>
      <w:r>
        <w:t xml:space="preserve">The total Cradle-to-Gate Product Carbon Footprint is</w:t>
      </w:r>
      <w:r>
        <w:t xml:space="preserve"> </w:t>
      </w:r>
      <w:r>
        <w:rPr>
          <w:bCs/>
          <w:b/>
        </w:rPr>
        <w:t xml:space="preserve">248.86 kg CO₂e per functional unit (1.0 motor)</w:t>
      </w:r>
      <w:r>
        <w:t xml:space="preserve">. Upstream Scope 3 emissions dominate the footprint at</w:t>
      </w:r>
      <w:r>
        <w:t xml:space="preserve"> </w:t>
      </w:r>
      <w:r>
        <w:rPr>
          <w:bCs/>
          <w:b/>
        </w:rPr>
        <w:t xml:space="preserve">91.4% (227.46 kg CO₂e)</w:t>
      </w:r>
      <w:r>
        <w:t xml:space="preserve">, driven primarily by electrical steel stamping and refined copper magnet wire extraction. Direct facility Scope 1 emissions account for</w:t>
      </w:r>
      <w:r>
        <w:t xml:space="preserve"> </w:t>
      </w:r>
      <w:r>
        <w:rPr>
          <w:bCs/>
          <w:b/>
        </w:rPr>
        <w:t xml:space="preserve">1.9% (4.72 kg CO₂e)</w:t>
      </w:r>
      <w:r>
        <w:t xml:space="preserve">, while market-based Scope 2 emissions contribute</w:t>
      </w:r>
      <w:r>
        <w:t xml:space="preserve"> </w:t>
      </w:r>
      <w:r>
        <w:rPr>
          <w:bCs/>
          <w:b/>
        </w:rPr>
        <w:t xml:space="preserve">6.7% (16.68 kg CO₂e)</w:t>
      </w:r>
      <w:r>
        <w:t xml:space="preserve">. Scope 3 data completeness reaches</w:t>
      </w:r>
      <w:r>
        <w:t xml:space="preserve"> </w:t>
      </w:r>
      <w:r>
        <w:rPr>
          <w:bCs/>
          <w:b/>
        </w:rPr>
        <w:t xml:space="preserve">98.4%</w:t>
      </w:r>
      <w:r>
        <w:t xml:space="preserve">, easily surpassing the 95% threshold required by the 2026 accounting framework.</w:t>
      </w:r>
    </w:p>
    <w:bookmarkStart w:id="21" w:name="X34c1cc5afe08b54ed6800b6060f9ded02f60240"/>
    <w:p>
      <w:pPr>
        <w:pStyle w:val="Heading3"/>
      </w:pPr>
      <w:r>
        <w:t xml:space="preserve">Consolidated Carbon Inventory Summary (per 1.0 Unit)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Emission Category (GHG Protocol)</w:t>
            </w:r>
          </w:p>
        </w:tc>
        <w:tc>
          <w:tcPr/>
          <w:p>
            <w:pPr>
              <w:pStyle w:val="Compact"/>
              <w:jc w:val="left"/>
            </w:pPr>
            <w:r>
              <w:t xml:space="preserve">Life Cycle Stage / Source</w:t>
            </w:r>
          </w:p>
        </w:tc>
        <w:tc>
          <w:tcPr/>
          <w:p>
            <w:pPr>
              <w:pStyle w:val="Compact"/>
              <w:jc w:val="left"/>
            </w:pPr>
            <w:r>
              <w:t xml:space="preserve">Emissions (kg CO₂e)</w:t>
            </w:r>
          </w:p>
        </w:tc>
        <w:tc>
          <w:tcPr/>
          <w:p>
            <w:pPr>
              <w:pStyle w:val="Compact"/>
              <w:jc w:val="left"/>
            </w:pPr>
            <w:r>
              <w:t xml:space="preserve">Share (%)</w:t>
            </w:r>
          </w:p>
        </w:tc>
        <w:tc>
          <w:tcPr/>
          <w:p>
            <w:pPr>
              <w:pStyle w:val="Compact"/>
              <w:jc w:val="left"/>
            </w:pPr>
            <w:r>
              <w:t xml:space="preserve">Primary Data Source</w:t>
            </w:r>
          </w:p>
        </w:tc>
      </w:tr>
      <w:tr>
        <w:tc>
          <w:tcPr/>
          <w:p>
            <w:pPr>
              <w:pStyle w:val="Compact"/>
              <w:jc w:val="left"/>
            </w:pPr>
            <w:r>
              <w:rPr>
                <w:bCs/>
                <w:b/>
              </w:rPr>
              <w:t xml:space="preserve">Scope 1 (Direct)</w:t>
            </w:r>
          </w:p>
        </w:tc>
        <w:tc>
          <w:tcPr/>
          <w:p>
            <w:pPr>
              <w:pStyle w:val="Compact"/>
              <w:jc w:val="left"/>
            </w:pPr>
            <w:r>
              <w:t xml:space="preserve">Natural gas space heating, test bench diesel, test fugitive SF6/refrigerant</w:t>
            </w:r>
          </w:p>
        </w:tc>
        <w:tc>
          <w:tcPr/>
          <w:p>
            <w:pPr>
              <w:pStyle w:val="Compact"/>
              <w:jc w:val="left"/>
            </w:pPr>
            <w:r>
              <w:t xml:space="preserve">4.72</w:t>
            </w:r>
          </w:p>
        </w:tc>
        <w:tc>
          <w:tcPr/>
          <w:p>
            <w:pPr>
              <w:pStyle w:val="Compact"/>
              <w:jc w:val="left"/>
            </w:pPr>
            <w:r>
              <w:t xml:space="preserve">1.90%</w:t>
            </w:r>
          </w:p>
        </w:tc>
        <w:tc>
          <w:tcPr/>
          <w:p>
            <w:pPr>
              <w:pStyle w:val="Compact"/>
              <w:jc w:val="left"/>
            </w:pPr>
            <w:r>
              <w:t xml:space="preserve">Primary facility meters (NL site)</w:t>
            </w:r>
          </w:p>
        </w:tc>
      </w:tr>
      <w:tr>
        <w:tc>
          <w:tcPr/>
          <w:p>
            <w:pPr>
              <w:pStyle w:val="Compact"/>
              <w:jc w:val="left"/>
            </w:pPr>
            <w:r>
              <w:rPr>
                <w:bCs/>
                <w:b/>
              </w:rPr>
              <w:t xml:space="preserve">Scope 2 (Indirect Energy)</w:t>
            </w:r>
          </w:p>
        </w:tc>
        <w:tc>
          <w:tcPr/>
          <w:p>
            <w:pPr>
              <w:pStyle w:val="Compact"/>
              <w:jc w:val="left"/>
            </w:pPr>
            <w:r>
              <w:t xml:space="preserve">Facility electricity consumption (Market-Based: Dutch Residual Mix)</w:t>
            </w:r>
          </w:p>
        </w:tc>
        <w:tc>
          <w:tcPr/>
          <w:p>
            <w:pPr>
              <w:pStyle w:val="Compact"/>
              <w:jc w:val="left"/>
            </w:pPr>
            <w:r>
              <w:t xml:space="preserve">16.68</w:t>
            </w:r>
          </w:p>
        </w:tc>
        <w:tc>
          <w:tcPr/>
          <w:p>
            <w:pPr>
              <w:pStyle w:val="Compact"/>
              <w:jc w:val="left"/>
            </w:pPr>
            <w:r>
              <w:t xml:space="preserve">6.70%</w:t>
            </w:r>
          </w:p>
        </w:tc>
        <w:tc>
          <w:tcPr/>
          <w:p>
            <w:pPr>
              <w:pStyle w:val="Compact"/>
              <w:jc w:val="left"/>
            </w:pPr>
            <w:r>
              <w:t xml:space="preserve">Utility bills &amp; supplier disclosure</w:t>
            </w:r>
          </w:p>
        </w:tc>
      </w:tr>
      <w:tr>
        <w:tc>
          <w:tcPr/>
          <w:p>
            <w:pPr>
              <w:pStyle w:val="Compact"/>
              <w:jc w:val="left"/>
            </w:pPr>
            <w:r>
              <w:rPr>
                <w:bCs/>
                <w:b/>
              </w:rPr>
              <w:t xml:space="preserve">Scope 3 (Upstream Value Chain)</w:t>
            </w:r>
          </w:p>
        </w:tc>
        <w:tc>
          <w:tcPr/>
          <w:p>
            <w:pPr>
              <w:pStyle w:val="Compact"/>
              <w:jc w:val="left"/>
            </w:pPr>
            <w:r>
              <w:t xml:space="preserve">Raw materials extraction, refining, sub-assembly manufacturing (Cat 1)</w:t>
            </w:r>
          </w:p>
        </w:tc>
        <w:tc>
          <w:tcPr/>
          <w:p>
            <w:pPr>
              <w:pStyle w:val="Compact"/>
              <w:jc w:val="left"/>
            </w:pPr>
            <w:r>
              <w:t xml:space="preserve">209.12</w:t>
            </w:r>
          </w:p>
        </w:tc>
        <w:tc>
          <w:tcPr/>
          <w:p>
            <w:pPr>
              <w:pStyle w:val="Compact"/>
              <w:jc w:val="left"/>
            </w:pPr>
            <w:r>
              <w:t xml:space="preserve">84.03%</w:t>
            </w:r>
          </w:p>
        </w:tc>
        <w:tc>
          <w:tcPr/>
          <w:p>
            <w:pPr>
              <w:pStyle w:val="Compact"/>
              <w:jc w:val="left"/>
            </w:pPr>
            <w:r>
              <w:t xml:space="preserve">Supplier EPDs &amp; Ecoinvent v3.10</w:t>
            </w:r>
          </w:p>
        </w:tc>
      </w:tr>
      <w:tr>
        <w:tc>
          <w:tcPr/>
          <w:p>
            <w:pPr>
              <w:pStyle w:val="Compact"/>
              <w:jc w:val="left"/>
            </w:pPr>
            <w:r>
              <w:rPr>
                <w:bCs/>
                <w:b/>
              </w:rPr>
              <w:t xml:space="preserve">Scope 3 (Fuel &amp; Energy Activities)</w:t>
            </w:r>
          </w:p>
        </w:tc>
        <w:tc>
          <w:tcPr/>
          <w:p>
            <w:pPr>
              <w:pStyle w:val="Compact"/>
              <w:jc w:val="left"/>
            </w:pPr>
            <w:r>
              <w:t xml:space="preserve">Well-to-Tank (WTT) and T&amp;D grid losses for NL energy (Cat 3)</w:t>
            </w:r>
          </w:p>
        </w:tc>
        <w:tc>
          <w:tcPr/>
          <w:p>
            <w:pPr>
              <w:pStyle w:val="Compact"/>
              <w:jc w:val="left"/>
            </w:pPr>
            <w:r>
              <w:t xml:space="preserve">4.84</w:t>
            </w:r>
          </w:p>
        </w:tc>
        <w:tc>
          <w:tcPr/>
          <w:p>
            <w:pPr>
              <w:pStyle w:val="Compact"/>
              <w:jc w:val="left"/>
            </w:pPr>
            <w:r>
              <w:t xml:space="preserve">1.94%</w:t>
            </w:r>
          </w:p>
        </w:tc>
        <w:tc>
          <w:tcPr/>
          <w:p>
            <w:pPr>
              <w:pStyle w:val="Compact"/>
              <w:jc w:val="left"/>
            </w:pPr>
            <w:r>
              <w:t xml:space="preserve">DEFRA / IEA Europe 2025/2026</w:t>
            </w:r>
          </w:p>
        </w:tc>
      </w:tr>
      <w:tr>
        <w:tc>
          <w:tcPr/>
          <w:p>
            <w:pPr>
              <w:pStyle w:val="Compact"/>
              <w:jc w:val="left"/>
            </w:pPr>
            <w:r>
              <w:rPr>
                <w:bCs/>
                <w:b/>
              </w:rPr>
              <w:t xml:space="preserve">Scope 3 (Inbound Logistics)</w:t>
            </w:r>
          </w:p>
        </w:tc>
        <w:tc>
          <w:tcPr/>
          <w:p>
            <w:pPr>
              <w:pStyle w:val="Compact"/>
              <w:jc w:val="left"/>
            </w:pPr>
            <w:r>
              <w:t xml:space="preserve">Freight transport from European suppliers to Netherlands plant (Cat 4)</w:t>
            </w:r>
          </w:p>
        </w:tc>
        <w:tc>
          <w:tcPr/>
          <w:p>
            <w:pPr>
              <w:pStyle w:val="Compact"/>
              <w:jc w:val="left"/>
            </w:pPr>
            <w:r>
              <w:t xml:space="preserve">11.65</w:t>
            </w:r>
          </w:p>
        </w:tc>
        <w:tc>
          <w:tcPr/>
          <w:p>
            <w:pPr>
              <w:pStyle w:val="Compact"/>
              <w:jc w:val="left"/>
            </w:pPr>
            <w:r>
              <w:t xml:space="preserve">4.68%</w:t>
            </w:r>
          </w:p>
        </w:tc>
        <w:tc>
          <w:tcPr/>
          <w:p>
            <w:pPr>
              <w:pStyle w:val="Compact"/>
              <w:jc w:val="left"/>
            </w:pPr>
            <w:r>
              <w:t xml:space="preserve">Carrier logbooks &amp; GLEC Framework</w:t>
            </w:r>
          </w:p>
        </w:tc>
      </w:tr>
      <w:tr>
        <w:tc>
          <w:tcPr/>
          <w:p>
            <w:pPr>
              <w:pStyle w:val="Compact"/>
              <w:jc w:val="left"/>
            </w:pPr>
            <w:r>
              <w:rPr>
                <w:bCs/>
                <w:b/>
              </w:rPr>
              <w:t xml:space="preserve">Scope 3 (Manufacturing Waste)</w:t>
            </w:r>
          </w:p>
        </w:tc>
        <w:tc>
          <w:tcPr/>
          <w:p>
            <w:pPr>
              <w:pStyle w:val="Compact"/>
              <w:jc w:val="left"/>
            </w:pPr>
            <w:r>
              <w:t xml:space="preserve">Wastewater treatment &amp; scrap metal processing (Cat 5)</w:t>
            </w:r>
          </w:p>
        </w:tc>
        <w:tc>
          <w:tcPr/>
          <w:p>
            <w:pPr>
              <w:pStyle w:val="Compact"/>
              <w:jc w:val="left"/>
            </w:pPr>
            <w:r>
              <w:t xml:space="preserve">1.85</w:t>
            </w:r>
          </w:p>
        </w:tc>
        <w:tc>
          <w:tcPr/>
          <w:p>
            <w:pPr>
              <w:pStyle w:val="Compact"/>
              <w:jc w:val="left"/>
            </w:pPr>
            <w:r>
              <w:t xml:space="preserve">0.74%</w:t>
            </w:r>
          </w:p>
        </w:tc>
        <w:tc>
          <w:tcPr/>
          <w:p>
            <w:pPr>
              <w:pStyle w:val="Compact"/>
              <w:jc w:val="left"/>
            </w:pPr>
            <w:r>
              <w:t xml:space="preserve">Certified waste manifest data</w:t>
            </w:r>
          </w:p>
        </w:tc>
      </w:tr>
      <w:tr>
        <w:tc>
          <w:tcPr>
            <w:gridSpan w:val="2"/>
          </w:tcPr>
          <w:p>
            <w:pPr>
              <w:pStyle w:val="Compact"/>
              <w:jc w:val="left"/>
            </w:pPr>
            <w:r>
              <w:t xml:space="preserve">Total Cradle-to-Gate Product Carbon Footprint (Gross)</w:t>
            </w:r>
          </w:p>
        </w:tc>
        <w:tc>
          <w:tcPr/>
          <w:p>
            <w:pPr>
              <w:pStyle w:val="Compact"/>
              <w:jc w:val="left"/>
            </w:pPr>
            <w:r>
              <w:t xml:space="preserve">248.86</w:t>
            </w:r>
          </w:p>
        </w:tc>
        <w:tc>
          <w:tcPr/>
          <w:p>
            <w:pPr>
              <w:pStyle w:val="Compact"/>
              <w:jc w:val="left"/>
            </w:pPr>
            <w:r>
              <w:t xml:space="preserve">100.00%</w:t>
            </w:r>
          </w:p>
        </w:tc>
        <w:tc>
          <w:tcPr/>
          <w:p>
            <w:pPr>
              <w:pStyle w:val="Compact"/>
              <w:jc w:val="left"/>
            </w:pPr>
            <w:r>
              <w:t xml:space="preserve">Verified Inventory Coverage: 98.4%</w:t>
            </w:r>
          </w:p>
        </w:tc>
      </w:tr>
      <w:tr>
        <w:tc>
          <w:tcPr/>
          <w:p>
            <w:pPr>
              <w:pStyle w:val="Compact"/>
              <w:jc w:val="left"/>
            </w:pPr>
            <w:r>
              <w:rPr>
                <w:bCs/>
                <w:b/>
              </w:rPr>
              <w:t xml:space="preserve">2026 LSR Removals Balance</w:t>
            </w:r>
          </w:p>
        </w:tc>
        <w:tc>
          <w:tcPr/>
          <w:p>
            <w:pPr>
              <w:pStyle w:val="Compact"/>
              <w:jc w:val="left"/>
            </w:pPr>
            <w:r>
              <w:t xml:space="preserve">Biogenic carbon stored in PEFC timber shipping pallet (net balance)</w:t>
            </w:r>
          </w:p>
        </w:tc>
        <w:tc>
          <w:tcPr/>
          <w:p>
            <w:pPr>
              <w:pStyle w:val="Compact"/>
              <w:jc w:val="left"/>
            </w:pPr>
            <w:r>
              <w:t xml:space="preserve">-7.25</w:t>
            </w:r>
          </w:p>
        </w:tc>
        <w:tc>
          <w:tcPr/>
          <w:p>
            <w:pPr>
              <w:pStyle w:val="Compact"/>
              <w:jc w:val="left"/>
            </w:pPr>
            <w:r>
              <w:t xml:space="preserve">N/A</w:t>
            </w:r>
          </w:p>
        </w:tc>
        <w:tc>
          <w:tcPr/>
          <w:p>
            <w:pPr>
              <w:pStyle w:val="Compact"/>
              <w:jc w:val="left"/>
            </w:pPr>
            <w:r>
              <w:t xml:space="preserve">Reported separately per LSR Standard</w:t>
            </w:r>
          </w:p>
        </w:tc>
      </w:tr>
    </w:tbl>
    <w:p>
      <w:r>
        <w:pict>
          <v:rect style="width:0;height:1.5pt" o:hralign="center" o:hrstd="t" o:hr="t"/>
        </w:pict>
      </w:r>
    </w:p>
    <w:bookmarkEnd w:id="21"/>
    <w:bookmarkEnd w:id="22"/>
    <w:bookmarkStart w:id="23" w:name="scope-and-boundary-definition"/>
    <w:p>
      <w:pPr>
        <w:pStyle w:val="Heading2"/>
      </w:pPr>
      <w:r>
        <w:t xml:space="preserve">1. Scope and Boundary Definition</w:t>
      </w:r>
    </w:p>
    <w:p>
      <w:pPr>
        <w:pStyle w:val="FirstParagraph"/>
      </w:pPr>
      <w:r>
        <w:t xml:space="preserve">The scope of this carbon footprint evaluation is structured under the rigorous guidelines of the</w:t>
      </w:r>
      <w:r>
        <w:t xml:space="preserve"> </w:t>
      </w:r>
      <w:r>
        <w:rPr>
          <w:bCs/>
          <w:b/>
        </w:rPr>
        <w:t xml:space="preserve">GHG Protocol Product Life Cycle Accounting and Reporting Standard</w:t>
      </w:r>
      <w:r>
        <w:t xml:space="preserve">, supplemented by ISO 14067 (2018) guidelines.</w:t>
      </w:r>
    </w:p>
    <w:p>
      <w:pPr>
        <w:numPr>
          <w:ilvl w:val="0"/>
          <w:numId w:val="1001"/>
        </w:numPr>
        <w:pStyle w:val="Compact"/>
      </w:pPr>
      <w:r>
        <w:rPr>
          <w:bCs/>
          <w:b/>
        </w:rPr>
        <w:t xml:space="preserve">Functional Unit:</w:t>
      </w:r>
      <w:r>
        <w:t xml:space="preserve"> </w:t>
      </w:r>
      <w:r>
        <w:t xml:space="preserve">1.0 unit of a 4-pole, 11 kW Low Voltage Three-Phase AC Induction Motor (IE4 Super Premium Efficiency classification according to IEC 60034-30-1), housed in an aluminum-cast frame with cast-iron end-shields, high-grade silicon electrical steel laminations, insulated copper winding, and industrial bearing assemblies, having an unboxed operational net weight of 78.50 kg (packed gross weight: 84.70 kg).</w:t>
      </w:r>
    </w:p>
    <w:p>
      <w:pPr>
        <w:numPr>
          <w:ilvl w:val="0"/>
          <w:numId w:val="1001"/>
        </w:numPr>
        <w:pStyle w:val="Compact"/>
      </w:pPr>
      <w:r>
        <w:rPr>
          <w:bCs/>
          <w:b/>
        </w:rPr>
        <w:t xml:space="preserve">System Boundary:</w:t>
      </w:r>
      <w:r>
        <w:t xml:space="preserve"> </w:t>
      </w:r>
      <w:r>
        <w:rPr>
          <w:iCs/>
          <w:i/>
        </w:rPr>
        <w:t xml:space="preserve">Factory Gate (Cradle-to-Gate)</w:t>
      </w:r>
      <w:r>
        <w:t xml:space="preserve">. This incorporates all phases from raw resource extraction, beneficiation, chemical transformation, intermediate components production across the European supply base, inter-facility transport, to final assembly, testing, surface treatment, packaging, and staging at the Netherlands distribution dock. Customer distribution, operational use-phase, and end-of-life disposal are excluded.</w:t>
      </w:r>
    </w:p>
    <w:p>
      <w:pPr>
        <w:numPr>
          <w:ilvl w:val="0"/>
          <w:numId w:val="1001"/>
        </w:numPr>
        <w:pStyle w:val="Compact"/>
      </w:pPr>
      <w:r>
        <w:rPr>
          <w:bCs/>
          <w:b/>
        </w:rPr>
        <w:t xml:space="preserve">Geographic Scope:</w:t>
      </w:r>
      <w:r>
        <w:t xml:space="preserve"> </w:t>
      </w:r>
      <w:r>
        <w:t xml:space="preserve">Final assembly, testing, and coating occur in the</w:t>
      </w:r>
      <w:r>
        <w:t xml:space="preserve"> </w:t>
      </w:r>
      <w:r>
        <w:rPr>
          <w:bCs/>
          <w:b/>
        </w:rPr>
        <w:t xml:space="preserve">Netherlands</w:t>
      </w:r>
      <w:r>
        <w:t xml:space="preserve">. The supply chain is strictly</w:t>
      </w:r>
      <w:r>
        <w:t xml:space="preserve"> </w:t>
      </w:r>
      <w:r>
        <w:rPr>
          <w:bCs/>
          <w:b/>
        </w:rPr>
        <w:t xml:space="preserve">Europe-focused</w:t>
      </w:r>
      <w:r>
        <w:t xml:space="preserve">: electrical steel from Germany, copper wire from Germany/Sweden, aluminum housing casting from northern Italy, bearings from Sweden, polymers from Belgium, and timber packaging from certified Dutch/German mills.</w:t>
      </w:r>
    </w:p>
    <w:p>
      <w:pPr>
        <w:numPr>
          <w:ilvl w:val="0"/>
          <w:numId w:val="1001"/>
        </w:numPr>
        <w:pStyle w:val="Compact"/>
      </w:pPr>
      <w:r>
        <w:rPr>
          <w:bCs/>
          <w:b/>
        </w:rPr>
        <w:t xml:space="preserve">Cut-Off Criteria &amp; Completeness:</w:t>
      </w:r>
      <w:r>
        <w:t xml:space="preserve"> </w:t>
      </w:r>
      <w:r>
        <w:t xml:space="preserve">Under the 2026 Scope 3 rules, at least 95% of cradle-to-gate mass and emissions must be accounted for. In this study,</w:t>
      </w:r>
      <w:r>
        <w:t xml:space="preserve"> </w:t>
      </w:r>
      <w:r>
        <w:rPr>
          <w:bCs/>
          <w:b/>
        </w:rPr>
        <w:t xml:space="preserve">98.4%</w:t>
      </w:r>
      <w:r>
        <w:t xml:space="preserve"> </w:t>
      </w:r>
      <w:r>
        <w:t xml:space="preserve">of mass inputs and estimated greenhouse gas impacts are verified with primary or tier-1 audited secondary records. Infrastructure capital goods (plant machinery depreciation) and corporate business travel are excluded in line with GHG Protocol factory-gate boundaries.</w:t>
      </w:r>
    </w:p>
    <w:p>
      <w:pPr>
        <w:numPr>
          <w:ilvl w:val="0"/>
          <w:numId w:val="1001"/>
        </w:numPr>
        <w:pStyle w:val="Compact"/>
      </w:pPr>
      <w:r>
        <w:rPr>
          <w:bCs/>
          <w:b/>
        </w:rPr>
        <w:t xml:space="preserve">Allocation Rules:</w:t>
      </w:r>
      <w:r>
        <w:t xml:space="preserve"> </w:t>
      </w:r>
      <w:r>
        <w:t xml:space="preserve">Mass-based physical allocation is applied for stamping scrap and off-cuts during lamination punching. Facility overhead energy (HVAC, lighting, compressed air) is allocated based on product production cycle time on the assembly line relative to monthly facility capacity.</w:t>
      </w:r>
    </w:p>
    <w:p>
      <w:r>
        <w:pict>
          <v:rect style="width:0;height:1.5pt" o:hralign="center" o:hrstd="t" o:hr="t"/>
        </w:pict>
      </w:r>
    </w:p>
    <w:bookmarkEnd w:id="23"/>
    <w:bookmarkStart w:id="26" w:name="Xcf53b92a8c2b78d42d351840b789ba4709a78f5"/>
    <w:p>
      <w:pPr>
        <w:pStyle w:val="Heading2"/>
      </w:pPr>
      <w:r>
        <w:t xml:space="preserve">2. Life Cycle Inventory (LCI) &amp; Activity Mapping</w:t>
      </w:r>
    </w:p>
    <w:p>
      <w:pPr>
        <w:pStyle w:val="FirstParagraph"/>
      </w:pPr>
      <w:r>
        <w:t xml:space="preserve">The life cycle is divided into three distinct operational modules: Upstream Material Sourcing &amp; Processing, Inbound European Freight Logistics, and Netherlands Plant Assembly &amp; Quality Testing.</w:t>
      </w:r>
    </w:p>
    <w:bookmarkStart w:id="24" w:name="material-bill-of-materials-bom-breakdown"/>
    <w:p>
      <w:pPr>
        <w:pStyle w:val="Heading3"/>
      </w:pPr>
      <w:r>
        <w:t xml:space="preserve">Material &amp; Bill of Materials (BOM) Breakdown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Component / Material Stream</w:t>
            </w:r>
          </w:p>
        </w:tc>
        <w:tc>
          <w:tcPr/>
          <w:p>
            <w:pPr>
              <w:pStyle w:val="Compact"/>
              <w:jc w:val="left"/>
            </w:pPr>
            <w:r>
              <w:t xml:space="preserve">Material Specification</w:t>
            </w:r>
          </w:p>
        </w:tc>
        <w:tc>
          <w:tcPr/>
          <w:p>
            <w:pPr>
              <w:pStyle w:val="Compact"/>
              <w:jc w:val="left"/>
            </w:pPr>
            <w:r>
              <w:t xml:space="preserve">Net Mass (kg)</w:t>
            </w:r>
          </w:p>
        </w:tc>
        <w:tc>
          <w:tcPr/>
          <w:p>
            <w:pPr>
              <w:pStyle w:val="Compact"/>
              <w:jc w:val="left"/>
            </w:pPr>
            <w:r>
              <w:t xml:space="preserve">Sourcing Location</w:t>
            </w:r>
          </w:p>
        </w:tc>
        <w:tc>
          <w:tcPr/>
          <w:p>
            <w:pPr>
              <w:pStyle w:val="Compact"/>
              <w:jc w:val="left"/>
            </w:pPr>
            <w:r>
              <w:t xml:space="preserve">Transport Mode</w:t>
            </w:r>
          </w:p>
        </w:tc>
      </w:tr>
      <w:tr>
        <w:tc>
          <w:tcPr/>
          <w:p>
            <w:pPr>
              <w:pStyle w:val="Compact"/>
              <w:jc w:val="left"/>
            </w:pPr>
            <w:r>
              <w:t xml:space="preserve">Stator &amp; Rotor Core Laminations</w:t>
            </w:r>
          </w:p>
        </w:tc>
        <w:tc>
          <w:tcPr/>
          <w:p>
            <w:pPr>
              <w:pStyle w:val="Compact"/>
              <w:jc w:val="left"/>
            </w:pPr>
            <w:r>
              <w:t xml:space="preserve">Non-oriented silicon electrical steel (M330-50A)</w:t>
            </w:r>
          </w:p>
        </w:tc>
        <w:tc>
          <w:tcPr/>
          <w:p>
            <w:pPr>
              <w:pStyle w:val="Compact"/>
              <w:jc w:val="left"/>
            </w:pPr>
            <w:r>
              <w:t xml:space="preserve">36.20</w:t>
            </w:r>
          </w:p>
        </w:tc>
        <w:tc>
          <w:tcPr/>
          <w:p>
            <w:pPr>
              <w:pStyle w:val="Compact"/>
              <w:jc w:val="left"/>
            </w:pPr>
            <w:r>
              <w:t xml:space="preserve">Duisburg, Germany</w:t>
            </w:r>
          </w:p>
        </w:tc>
        <w:tc>
          <w:tcPr/>
          <w:p>
            <w:pPr>
              <w:pStyle w:val="Compact"/>
              <w:jc w:val="left"/>
            </w:pPr>
            <w:r>
              <w:t xml:space="preserve">Road Freight (EURO 6 Diesel Truck)</w:t>
            </w:r>
          </w:p>
        </w:tc>
      </w:tr>
      <w:tr>
        <w:tc>
          <w:tcPr/>
          <w:p>
            <w:pPr>
              <w:pStyle w:val="Compact"/>
              <w:jc w:val="left"/>
            </w:pPr>
            <w:r>
              <w:t xml:space="preserve">Rotor Squirrel Cage &amp; Motor Housing</w:t>
            </w:r>
          </w:p>
        </w:tc>
        <w:tc>
          <w:tcPr/>
          <w:p>
            <w:pPr>
              <w:pStyle w:val="Compact"/>
              <w:jc w:val="left"/>
            </w:pPr>
            <w:r>
              <w:t xml:space="preserve">Cast aluminum alloy (AlSi10Mg, 45% recycled)</w:t>
            </w:r>
          </w:p>
        </w:tc>
        <w:tc>
          <w:tcPr/>
          <w:p>
            <w:pPr>
              <w:pStyle w:val="Compact"/>
              <w:jc w:val="left"/>
            </w:pPr>
            <w:r>
              <w:t xml:space="preserve">17.80</w:t>
            </w:r>
          </w:p>
        </w:tc>
        <w:tc>
          <w:tcPr/>
          <w:p>
            <w:pPr>
              <w:pStyle w:val="Compact"/>
              <w:jc w:val="left"/>
            </w:pPr>
            <w:r>
              <w:t xml:space="preserve">Brescia, Italy</w:t>
            </w:r>
          </w:p>
        </w:tc>
        <w:tc>
          <w:tcPr/>
          <w:p>
            <w:pPr>
              <w:pStyle w:val="Compact"/>
              <w:jc w:val="left"/>
            </w:pPr>
            <w:r>
              <w:t xml:space="preserve">Intermodal Rail / Road (EURO 6)</w:t>
            </w:r>
          </w:p>
        </w:tc>
      </w:tr>
      <w:tr>
        <w:tc>
          <w:tcPr/>
          <w:p>
            <w:pPr>
              <w:pStyle w:val="Compact"/>
              <w:jc w:val="left"/>
            </w:pPr>
            <w:r>
              <w:t xml:space="preserve">Stator Winding</w:t>
            </w:r>
          </w:p>
        </w:tc>
        <w:tc>
          <w:tcPr/>
          <w:p>
            <w:pPr>
              <w:pStyle w:val="Compact"/>
              <w:jc w:val="left"/>
            </w:pPr>
            <w:r>
              <w:t xml:space="preserve">Oxygen-free electrolytic copper wire (enamelled)</w:t>
            </w:r>
          </w:p>
        </w:tc>
        <w:tc>
          <w:tcPr/>
          <w:p>
            <w:pPr>
              <w:pStyle w:val="Compact"/>
              <w:jc w:val="left"/>
            </w:pPr>
            <w:r>
              <w:t xml:space="preserve">11.40</w:t>
            </w:r>
          </w:p>
        </w:tc>
        <w:tc>
          <w:tcPr/>
          <w:p>
            <w:pPr>
              <w:pStyle w:val="Compact"/>
              <w:jc w:val="left"/>
            </w:pPr>
            <w:r>
              <w:t xml:space="preserve">Hettstedt, Germany</w:t>
            </w:r>
          </w:p>
        </w:tc>
        <w:tc>
          <w:tcPr/>
          <w:p>
            <w:pPr>
              <w:pStyle w:val="Compact"/>
              <w:jc w:val="left"/>
            </w:pPr>
            <w:r>
              <w:t xml:space="preserve">Road Freight (EURO 6 Diesel Truck)</w:t>
            </w:r>
          </w:p>
        </w:tc>
      </w:tr>
      <w:tr>
        <w:tc>
          <w:tcPr/>
          <w:p>
            <w:pPr>
              <w:pStyle w:val="Compact"/>
              <w:jc w:val="left"/>
            </w:pPr>
            <w:r>
              <w:t xml:space="preserve">End Shields &amp; Flanges</w:t>
            </w:r>
          </w:p>
        </w:tc>
        <w:tc>
          <w:tcPr/>
          <w:p>
            <w:pPr>
              <w:pStyle w:val="Compact"/>
              <w:jc w:val="left"/>
            </w:pPr>
            <w:r>
              <w:t xml:space="preserve">Grey cast iron (EN-GJL-200)</w:t>
            </w:r>
          </w:p>
        </w:tc>
        <w:tc>
          <w:tcPr/>
          <w:p>
            <w:pPr>
              <w:pStyle w:val="Compact"/>
              <w:jc w:val="left"/>
            </w:pPr>
            <w:r>
              <w:t xml:space="preserve">8.10</w:t>
            </w:r>
          </w:p>
        </w:tc>
        <w:tc>
          <w:tcPr/>
          <w:p>
            <w:pPr>
              <w:pStyle w:val="Compact"/>
              <w:jc w:val="left"/>
            </w:pPr>
            <w:r>
              <w:t xml:space="preserve">Eindhoven local foundry, NL</w:t>
            </w:r>
          </w:p>
        </w:tc>
        <w:tc>
          <w:tcPr/>
          <w:p>
            <w:pPr>
              <w:pStyle w:val="Compact"/>
              <w:jc w:val="left"/>
            </w:pPr>
            <w:r>
              <w:t xml:space="preserve">Regional Delivery Van (&lt;50 km)</w:t>
            </w:r>
          </w:p>
        </w:tc>
      </w:tr>
      <w:tr>
        <w:tc>
          <w:tcPr/>
          <w:p>
            <w:pPr>
              <w:pStyle w:val="Compact"/>
              <w:jc w:val="left"/>
            </w:pPr>
            <w:r>
              <w:t xml:space="preserve">Rotor Shaft</w:t>
            </w:r>
          </w:p>
        </w:tc>
        <w:tc>
          <w:tcPr/>
          <w:p>
            <w:pPr>
              <w:pStyle w:val="Compact"/>
              <w:jc w:val="left"/>
            </w:pPr>
            <w:r>
              <w:t xml:space="preserve">Forged carbon steel rod (C45E)</w:t>
            </w:r>
          </w:p>
        </w:tc>
        <w:tc>
          <w:tcPr/>
          <w:p>
            <w:pPr>
              <w:pStyle w:val="Compact"/>
              <w:jc w:val="left"/>
            </w:pPr>
            <w:r>
              <w:t xml:space="preserve">3.20</w:t>
            </w:r>
          </w:p>
        </w:tc>
        <w:tc>
          <w:tcPr/>
          <w:p>
            <w:pPr>
              <w:pStyle w:val="Compact"/>
              <w:jc w:val="left"/>
            </w:pPr>
            <w:r>
              <w:t xml:space="preserve">Saarbrücken, Germany</w:t>
            </w:r>
          </w:p>
        </w:tc>
        <w:tc>
          <w:tcPr/>
          <w:p>
            <w:pPr>
              <w:pStyle w:val="Compact"/>
              <w:jc w:val="left"/>
            </w:pPr>
            <w:r>
              <w:t xml:space="preserve">Road Freight (EURO 6 Diesel Truck)</w:t>
            </w:r>
          </w:p>
        </w:tc>
      </w:tr>
      <w:tr>
        <w:tc>
          <w:tcPr/>
          <w:p>
            <w:pPr>
              <w:pStyle w:val="Compact"/>
              <w:jc w:val="left"/>
            </w:pPr>
            <w:r>
              <w:t xml:space="preserve">Bearing Assemblies</w:t>
            </w:r>
          </w:p>
        </w:tc>
        <w:tc>
          <w:tcPr/>
          <w:p>
            <w:pPr>
              <w:pStyle w:val="Compact"/>
              <w:jc w:val="left"/>
            </w:pPr>
            <w:r>
              <w:t xml:space="preserve">Chromium steel deep-groove ball bearings (6308-2Z)</w:t>
            </w:r>
          </w:p>
        </w:tc>
        <w:tc>
          <w:tcPr/>
          <w:p>
            <w:pPr>
              <w:pStyle w:val="Compact"/>
              <w:jc w:val="left"/>
            </w:pPr>
            <w:r>
              <w:t xml:space="preserve">0.85</w:t>
            </w:r>
          </w:p>
        </w:tc>
        <w:tc>
          <w:tcPr/>
          <w:p>
            <w:pPr>
              <w:pStyle w:val="Compact"/>
              <w:jc w:val="left"/>
            </w:pPr>
            <w:r>
              <w:t xml:space="preserve">Gothenburg, Sweden</w:t>
            </w:r>
          </w:p>
        </w:tc>
        <w:tc>
          <w:tcPr/>
          <w:p>
            <w:pPr>
              <w:pStyle w:val="Compact"/>
              <w:jc w:val="left"/>
            </w:pPr>
            <w:r>
              <w:t xml:space="preserve">Sea Ferry + Road Truck</w:t>
            </w:r>
          </w:p>
        </w:tc>
      </w:tr>
      <w:tr>
        <w:tc>
          <w:tcPr/>
          <w:p>
            <w:pPr>
              <w:pStyle w:val="Compact"/>
              <w:jc w:val="left"/>
            </w:pPr>
            <w:r>
              <w:t xml:space="preserve">Terminal Box &amp; Fan Shroud</w:t>
            </w:r>
          </w:p>
        </w:tc>
        <w:tc>
          <w:tcPr/>
          <w:p>
            <w:pPr>
              <w:pStyle w:val="Compact"/>
              <w:jc w:val="left"/>
            </w:pPr>
            <w:r>
              <w:t xml:space="preserve">Glass-reinforced polyamide (PA6-GF30) &amp; PBT</w:t>
            </w:r>
          </w:p>
        </w:tc>
        <w:tc>
          <w:tcPr/>
          <w:p>
            <w:pPr>
              <w:pStyle w:val="Compact"/>
              <w:jc w:val="left"/>
            </w:pPr>
            <w:r>
              <w:t xml:space="preserve">0.65</w:t>
            </w:r>
          </w:p>
        </w:tc>
        <w:tc>
          <w:tcPr/>
          <w:p>
            <w:pPr>
              <w:pStyle w:val="Compact"/>
              <w:jc w:val="left"/>
            </w:pPr>
            <w:r>
              <w:t xml:space="preserve">Antwerp, Belgium</w:t>
            </w:r>
          </w:p>
        </w:tc>
        <w:tc>
          <w:tcPr/>
          <w:p>
            <w:pPr>
              <w:pStyle w:val="Compact"/>
              <w:jc w:val="left"/>
            </w:pPr>
            <w:r>
              <w:t xml:space="preserve">Road Freight (EURO 6 Diesel Truck)</w:t>
            </w:r>
          </w:p>
        </w:tc>
      </w:tr>
      <w:tr>
        <w:tc>
          <w:tcPr/>
          <w:p>
            <w:pPr>
              <w:pStyle w:val="Compact"/>
              <w:jc w:val="left"/>
            </w:pPr>
            <w:r>
              <w:t xml:space="preserve">Slot Liners &amp; Phase Insulation</w:t>
            </w:r>
          </w:p>
        </w:tc>
        <w:tc>
          <w:tcPr/>
          <w:p>
            <w:pPr>
              <w:pStyle w:val="Compact"/>
              <w:jc w:val="left"/>
            </w:pPr>
            <w:r>
              <w:t xml:space="preserve">Aramid paper / Polyester film (Nomex-Mylar)</w:t>
            </w:r>
          </w:p>
        </w:tc>
        <w:tc>
          <w:tcPr/>
          <w:p>
            <w:pPr>
              <w:pStyle w:val="Compact"/>
              <w:jc w:val="left"/>
            </w:pPr>
            <w:r>
              <w:t xml:space="preserve">0.30</w:t>
            </w:r>
          </w:p>
        </w:tc>
        <w:tc>
          <w:tcPr/>
          <w:p>
            <w:pPr>
              <w:pStyle w:val="Compact"/>
              <w:jc w:val="left"/>
            </w:pPr>
            <w:r>
              <w:t xml:space="preserve">Luxembourg</w:t>
            </w:r>
          </w:p>
        </w:tc>
        <w:tc>
          <w:tcPr/>
          <w:p>
            <w:pPr>
              <w:pStyle w:val="Compact"/>
              <w:jc w:val="left"/>
            </w:pPr>
            <w:r>
              <w:t xml:space="preserve">Express Parcel Delivery</w:t>
            </w:r>
          </w:p>
        </w:tc>
      </w:tr>
      <w:tr>
        <w:tc>
          <w:tcPr/>
          <w:p>
            <w:pPr>
              <w:pStyle w:val="Compact"/>
              <w:jc w:val="left"/>
            </w:pPr>
            <w:r>
              <w:t xml:space="preserve">Protective Surface Coating</w:t>
            </w:r>
          </w:p>
        </w:tc>
        <w:tc>
          <w:tcPr/>
          <w:p>
            <w:pPr>
              <w:pStyle w:val="Compact"/>
              <w:jc w:val="left"/>
            </w:pPr>
            <w:r>
              <w:t xml:space="preserve">Two-component waterborne epoxy primer &amp; topcoat</w:t>
            </w:r>
          </w:p>
        </w:tc>
        <w:tc>
          <w:tcPr/>
          <w:p>
            <w:pPr>
              <w:pStyle w:val="Compact"/>
              <w:jc w:val="left"/>
            </w:pPr>
            <w:r>
              <w:t xml:space="preserve">0.45</w:t>
            </w:r>
          </w:p>
        </w:tc>
        <w:tc>
          <w:tcPr/>
          <w:p>
            <w:pPr>
              <w:pStyle w:val="Compact"/>
              <w:jc w:val="left"/>
            </w:pPr>
            <w:r>
              <w:t xml:space="preserve">Rotterdam, Netherlands</w:t>
            </w:r>
          </w:p>
        </w:tc>
        <w:tc>
          <w:tcPr/>
          <w:p>
            <w:pPr>
              <w:pStyle w:val="Compact"/>
              <w:jc w:val="left"/>
            </w:pPr>
            <w:r>
              <w:t xml:space="preserve">Local Road Distribution</w:t>
            </w:r>
          </w:p>
        </w:tc>
      </w:tr>
      <w:tr>
        <w:tc>
          <w:tcPr/>
          <w:p>
            <w:pPr>
              <w:pStyle w:val="Compact"/>
              <w:jc w:val="left"/>
            </w:pPr>
            <w:r>
              <w:t xml:space="preserve">Packaging: Pallet &amp; Bracing</w:t>
            </w:r>
          </w:p>
        </w:tc>
        <w:tc>
          <w:tcPr/>
          <w:p>
            <w:pPr>
              <w:pStyle w:val="Compact"/>
              <w:jc w:val="left"/>
            </w:pPr>
            <w:r>
              <w:t xml:space="preserve">PEFC certified European soft timber (pine/spruce)</w:t>
            </w:r>
          </w:p>
        </w:tc>
        <w:tc>
          <w:tcPr/>
          <w:p>
            <w:pPr>
              <w:pStyle w:val="Compact"/>
              <w:jc w:val="left"/>
            </w:pPr>
            <w:r>
              <w:t xml:space="preserve">4.80</w:t>
            </w:r>
          </w:p>
        </w:tc>
        <w:tc>
          <w:tcPr/>
          <w:p>
            <w:pPr>
              <w:pStyle w:val="Compact"/>
              <w:jc w:val="left"/>
            </w:pPr>
            <w:r>
              <w:t xml:space="preserve">Arnhem, Netherlands</w:t>
            </w:r>
          </w:p>
        </w:tc>
        <w:tc>
          <w:tcPr/>
          <w:p>
            <w:pPr>
              <w:pStyle w:val="Compact"/>
              <w:jc w:val="left"/>
            </w:pPr>
            <w:r>
              <w:t xml:space="preserve">Local Road Distribution</w:t>
            </w:r>
          </w:p>
        </w:tc>
      </w:tr>
      <w:tr>
        <w:tc>
          <w:tcPr/>
          <w:p>
            <w:pPr>
              <w:pStyle w:val="Compact"/>
              <w:jc w:val="left"/>
            </w:pPr>
            <w:r>
              <w:t xml:space="preserve">Packaging: Box &amp; Strapping</w:t>
            </w:r>
          </w:p>
        </w:tc>
        <w:tc>
          <w:tcPr/>
          <w:p>
            <w:pPr>
              <w:pStyle w:val="Compact"/>
              <w:jc w:val="left"/>
            </w:pPr>
            <w:r>
              <w:t xml:space="preserve">Heavy-duty corrugated kraft cardboard (80% recycled)</w:t>
            </w:r>
          </w:p>
        </w:tc>
        <w:tc>
          <w:tcPr/>
          <w:p>
            <w:pPr>
              <w:pStyle w:val="Compact"/>
              <w:jc w:val="left"/>
            </w:pPr>
            <w:r>
              <w:t xml:space="preserve">1.40</w:t>
            </w:r>
          </w:p>
        </w:tc>
        <w:tc>
          <w:tcPr/>
          <w:p>
            <w:pPr>
              <w:pStyle w:val="Compact"/>
              <w:jc w:val="left"/>
            </w:pPr>
            <w:r>
              <w:t xml:space="preserve">Tilburg, Netherlands</w:t>
            </w:r>
          </w:p>
        </w:tc>
        <w:tc>
          <w:tcPr/>
          <w:p>
            <w:pPr>
              <w:pStyle w:val="Compact"/>
              <w:jc w:val="left"/>
            </w:pPr>
            <w:r>
              <w:t xml:space="preserve">Local Road Distribution</w:t>
            </w:r>
          </w:p>
        </w:tc>
      </w:tr>
      <w:tr>
        <w:tc>
          <w:tcPr>
            <w:gridSpan w:val="2"/>
          </w:tcPr>
          <w:p>
            <w:pPr>
              <w:pStyle w:val="Compact"/>
              <w:jc w:val="left"/>
            </w:pPr>
            <w:r>
              <w:t xml:space="preserve">Total Physical Product Mass (Shipped State)</w:t>
            </w:r>
          </w:p>
        </w:tc>
        <w:tc>
          <w:tcPr/>
          <w:p>
            <w:pPr>
              <w:pStyle w:val="Compact"/>
              <w:jc w:val="left"/>
            </w:pPr>
            <w:r>
              <w:t xml:space="preserve">84.70</w:t>
            </w:r>
          </w:p>
        </w:tc>
        <w:tc>
          <w:tcPr>
            <w:gridSpan w:val="2"/>
          </w:tcPr>
          <w:p>
            <w:pPr>
              <w:pStyle w:val="Compact"/>
              <w:jc w:val="left"/>
            </w:pPr>
            <w:r>
              <w:t xml:space="preserve">Primary Mass Measurement Verification</w:t>
            </w:r>
          </w:p>
        </w:tc>
      </w:tr>
    </w:tbl>
    <w:bookmarkEnd w:id="24"/>
    <w:bookmarkStart w:id="25" w:name="X9a3ee22733db7b99dd3630d7817c1d007918a2b"/>
    <w:p>
      <w:pPr>
        <w:pStyle w:val="Heading3"/>
      </w:pPr>
      <w:r>
        <w:t xml:space="preserve">Energy &amp; Utility Inputs at Netherlands Manufacturing Facility (per Unit)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Energy Carrier / Input</w:t>
            </w:r>
          </w:p>
        </w:tc>
        <w:tc>
          <w:tcPr/>
          <w:p>
            <w:pPr>
              <w:pStyle w:val="Compact"/>
              <w:jc w:val="left"/>
            </w:pPr>
            <w:r>
              <w:t xml:space="preserve">Process Application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Primary Metering / Verification</w:t>
            </w:r>
          </w:p>
        </w:tc>
      </w:tr>
      <w:tr>
        <w:tc>
          <w:tcPr/>
          <w:p>
            <w:pPr>
              <w:pStyle w:val="Compact"/>
              <w:jc w:val="left"/>
            </w:pPr>
            <w:r>
              <w:t xml:space="preserve">Electricity (Dutch Residual Grid Mix)</w:t>
            </w:r>
          </w:p>
        </w:tc>
        <w:tc>
          <w:tcPr/>
          <w:p>
            <w:pPr>
              <w:pStyle w:val="Compact"/>
              <w:jc w:val="left"/>
            </w:pPr>
            <w:r>
              <w:t xml:space="preserve">Automated winding, pressing, dyno testing, plant compressed air</w:t>
            </w:r>
          </w:p>
        </w:tc>
        <w:tc>
          <w:tcPr/>
          <w:p>
            <w:pPr>
              <w:pStyle w:val="Compact"/>
              <w:jc w:val="left"/>
            </w:pPr>
            <w:r>
              <w:t xml:space="preserve">42.50</w:t>
            </w:r>
          </w:p>
        </w:tc>
        <w:tc>
          <w:tcPr/>
          <w:p>
            <w:pPr>
              <w:pStyle w:val="Compact"/>
              <w:jc w:val="left"/>
            </w:pPr>
            <w:r>
              <w:t xml:space="preserve">kWh</w:t>
            </w:r>
          </w:p>
        </w:tc>
        <w:tc>
          <w:tcPr/>
          <w:p>
            <w:pPr>
              <w:pStyle w:val="Compact"/>
              <w:jc w:val="left"/>
            </w:pPr>
            <w:r>
              <w:t xml:space="preserve">Sub-metered manufacturing line &amp; plant SCADA</w:t>
            </w:r>
          </w:p>
        </w:tc>
      </w:tr>
      <w:tr>
        <w:tc>
          <w:tcPr/>
          <w:p>
            <w:pPr>
              <w:pStyle w:val="Compact"/>
              <w:jc w:val="left"/>
            </w:pPr>
            <w:r>
              <w:t xml:space="preserve">Natural Gas (G-gas standard)</w:t>
            </w:r>
          </w:p>
        </w:tc>
        <w:tc>
          <w:tcPr/>
          <w:p>
            <w:pPr>
              <w:pStyle w:val="Compact"/>
              <w:jc w:val="left"/>
            </w:pPr>
            <w:r>
              <w:t xml:space="preserve">Stator impregnation varnish curing oven &amp; HVAC space heating</w:t>
            </w:r>
          </w:p>
        </w:tc>
        <w:tc>
          <w:tcPr/>
          <w:p>
            <w:pPr>
              <w:pStyle w:val="Compact"/>
              <w:jc w:val="left"/>
            </w:pPr>
            <w:r>
              <w:t xml:space="preserve">2.15</w:t>
            </w:r>
          </w:p>
        </w:tc>
        <w:tc>
          <w:tcPr/>
          <w:p>
            <w:pPr>
              <w:pStyle w:val="Compact"/>
              <w:jc w:val="left"/>
            </w:pPr>
            <w:r>
              <w:t xml:space="preserve">m³</w:t>
            </w:r>
          </w:p>
        </w:tc>
        <w:tc>
          <w:tcPr/>
          <w:p>
            <w:pPr>
              <w:pStyle w:val="Compact"/>
              <w:jc w:val="left"/>
            </w:pPr>
            <w:r>
              <w:t xml:space="preserve">Dedicated gas flow-meter at oven intake</w:t>
            </w:r>
          </w:p>
        </w:tc>
      </w:tr>
      <w:tr>
        <w:tc>
          <w:tcPr/>
          <w:p>
            <w:pPr>
              <w:pStyle w:val="Compact"/>
              <w:jc w:val="left"/>
            </w:pPr>
            <w:r>
              <w:t xml:space="preserve">Process Water</w:t>
            </w:r>
          </w:p>
        </w:tc>
        <w:tc>
          <w:tcPr/>
          <w:p>
            <w:pPr>
              <w:pStyle w:val="Compact"/>
              <w:jc w:val="left"/>
            </w:pPr>
            <w:r>
              <w:t xml:space="preserve">Component ultrasonic wash &amp; cooling loops</w:t>
            </w:r>
          </w:p>
        </w:tc>
        <w:tc>
          <w:tcPr/>
          <w:p>
            <w:pPr>
              <w:pStyle w:val="Compact"/>
              <w:jc w:val="left"/>
            </w:pPr>
            <w:r>
              <w:t xml:space="preserve">65.00</w:t>
            </w:r>
          </w:p>
        </w:tc>
        <w:tc>
          <w:tcPr/>
          <w:p>
            <w:pPr>
              <w:pStyle w:val="Compact"/>
              <w:jc w:val="left"/>
            </w:pPr>
            <w:r>
              <w:t xml:space="preserve">Liters</w:t>
            </w:r>
          </w:p>
        </w:tc>
        <w:tc>
          <w:tcPr/>
          <w:p>
            <w:pPr>
              <w:pStyle w:val="Compact"/>
              <w:jc w:val="left"/>
            </w:pPr>
            <w:r>
              <w:t xml:space="preserve">Facility municipal water intake meter</w:t>
            </w:r>
          </w:p>
        </w:tc>
      </w:tr>
      <w:tr>
        <w:tc>
          <w:tcPr/>
          <w:p>
            <w:pPr>
              <w:pStyle w:val="Compact"/>
              <w:jc w:val="left"/>
            </w:pPr>
            <w:r>
              <w:t xml:space="preserve">Compressed Air Leakage Allocation</w:t>
            </w:r>
          </w:p>
        </w:tc>
        <w:tc>
          <w:tcPr/>
          <w:p>
            <w:pPr>
              <w:pStyle w:val="Compact"/>
              <w:jc w:val="left"/>
            </w:pPr>
            <w:r>
              <w:t xml:space="preserve">Pneumatic tooling and positioning jigs (7.0 bar)</w:t>
            </w:r>
          </w:p>
        </w:tc>
        <w:tc>
          <w:tcPr/>
          <w:p>
            <w:pPr>
              <w:pStyle w:val="Compact"/>
              <w:jc w:val="left"/>
            </w:pPr>
            <w:r>
              <w:t xml:space="preserve">14.20</w:t>
            </w:r>
          </w:p>
        </w:tc>
        <w:tc>
          <w:tcPr/>
          <w:p>
            <w:pPr>
              <w:pStyle w:val="Compact"/>
              <w:jc w:val="left"/>
            </w:pPr>
            <w:r>
              <w:t xml:space="preserve">Nm³</w:t>
            </w:r>
          </w:p>
        </w:tc>
        <w:tc>
          <w:tcPr/>
          <w:p>
            <w:pPr>
              <w:pStyle w:val="Compact"/>
              <w:jc w:val="left"/>
            </w:pPr>
            <w:r>
              <w:t xml:space="preserve">Compressor energy allocation schedule</w:t>
            </w:r>
          </w:p>
        </w:tc>
      </w:tr>
    </w:tbl>
    <w:p>
      <w:r>
        <w:pict>
          <v:rect style="width:0;height:1.5pt" o:hralign="center" o:hrstd="t" o:hr="t"/>
        </w:pict>
      </w:r>
    </w:p>
    <w:bookmarkEnd w:id="25"/>
    <w:bookmarkEnd w:id="26"/>
    <w:bookmarkStart w:id="27" w:name="X2df26fa0ff260c3be2e1137092a29c8b319a7cb"/>
    <w:p>
      <w:pPr>
        <w:pStyle w:val="Heading2"/>
      </w:pPr>
      <w:r>
        <w:t xml:space="preserve">3. 2026 Land Sector and Removals (LSR) Standard Accounting</w:t>
      </w:r>
    </w:p>
    <w:p>
      <w:pPr>
        <w:pStyle w:val="FirstParagraph"/>
      </w:pPr>
      <w:r>
        <w:t xml:space="preserve">In accordance with the</w:t>
      </w:r>
      <w:r>
        <w:t xml:space="preserve"> </w:t>
      </w:r>
      <w:r>
        <w:rPr>
          <w:bCs/>
          <w:b/>
        </w:rPr>
        <w:t xml:space="preserve">GHG Protocol Land Sector and Removals (LSR) Standard (2026 Update)</w:t>
      </w:r>
      <w:r>
        <w:t xml:space="preserve">, carbon removals, land management emissions, and biogenic carbon pools must be quantified and reported</w:t>
      </w:r>
      <w:r>
        <w:t xml:space="preserve"> </w:t>
      </w:r>
      <w:r>
        <w:rPr>
          <w:iCs/>
          <w:i/>
        </w:rPr>
        <w:t xml:space="preserve">transparently and separately</w:t>
      </w:r>
      <w:r>
        <w:t xml:space="preserve"> </w:t>
      </w:r>
      <w:r>
        <w:t xml:space="preserve">from fossil emission totals.</w:t>
      </w:r>
    </w:p>
    <w:p>
      <w:pPr>
        <w:pStyle w:val="BodyText"/>
      </w:pPr>
      <w:r>
        <w:rPr>
          <w:bCs/>
          <w:b/>
        </w:rPr>
        <w:t xml:space="preserve">LSR Governance Principles Applied:</w:t>
      </w:r>
    </w:p>
    <w:p>
      <w:pPr>
        <w:numPr>
          <w:ilvl w:val="0"/>
          <w:numId w:val="1002"/>
        </w:numPr>
        <w:pStyle w:val="Compact"/>
      </w:pPr>
      <w:r>
        <w:rPr>
          <w:bCs/>
          <w:b/>
        </w:rPr>
        <w:t xml:space="preserve">Separate Reporting:</w:t>
      </w:r>
      <w:r>
        <w:t xml:space="preserve"> </w:t>
      </w:r>
      <w:r>
        <w:t xml:space="preserve">Fossil GHG emissions (248.86 kg CO₂e) and biogenic removals/emissions are not co-mingled in the gross headline footprint.</w:t>
      </w:r>
    </w:p>
    <w:p>
      <w:pPr>
        <w:numPr>
          <w:ilvl w:val="0"/>
          <w:numId w:val="1002"/>
        </w:numPr>
        <w:pStyle w:val="Compact"/>
      </w:pPr>
      <w:r>
        <w:rPr>
          <w:bCs/>
          <w:b/>
        </w:rPr>
        <w:t xml:space="preserve">Biogenic Carbon in Bio-Based Packaging:</w:t>
      </w:r>
      <w:r>
        <w:t xml:space="preserve"> </w:t>
      </w:r>
      <w:r>
        <w:t xml:space="preserve">The unit includes 4.80 kg of solid European pine pallet wood and 1.40 kg of corrugated cardboard. Based on 50% carbon content in dry wood biomass, this represents an embedded biogenic carbon pool of</w:t>
      </w:r>
      <w:r>
        <w:t xml:space="preserve"> </w:t>
      </w:r>
      <w:r>
        <w:rPr>
          <w:bCs/>
          <w:b/>
        </w:rPr>
        <w:t xml:space="preserve">7.25 kg CO₂e removals</w:t>
      </w:r>
      <w:r>
        <w:t xml:space="preserve">.</w:t>
      </w:r>
    </w:p>
    <w:p>
      <w:pPr>
        <w:numPr>
          <w:ilvl w:val="0"/>
          <w:numId w:val="1002"/>
        </w:numPr>
        <w:pStyle w:val="Compact"/>
      </w:pPr>
      <w:r>
        <w:rPr>
          <w:bCs/>
          <w:b/>
        </w:rPr>
        <w:t xml:space="preserve">Land Use Change (LUC):</w:t>
      </w:r>
      <w:r>
        <w:t xml:space="preserve"> </w:t>
      </w:r>
      <w:r>
        <w:t xml:space="preserve">Sourced timber is 100% PEFC certified from sustainably managed European semi-natural forests with stable or increasing forest carbon stocks. Direct land use change (dLUC) and statistical land use change (sLUC) are evaluated at</w:t>
      </w:r>
      <w:r>
        <w:t xml:space="preserve"> </w:t>
      </w:r>
      <w:r>
        <w:rPr>
          <w:bCs/>
          <w:b/>
        </w:rPr>
        <w:t xml:space="preserve">0.02 kg CO₂e</w:t>
      </w:r>
      <w:r>
        <w:t xml:space="preserve"> </w:t>
      </w:r>
      <w:r>
        <w:t xml:space="preserve">and integrated into Scope 3 Category 1.</w:t>
      </w:r>
    </w:p>
    <w:p>
      <w:pPr>
        <w:numPr>
          <w:ilvl w:val="0"/>
          <w:numId w:val="1002"/>
        </w:numPr>
        <w:pStyle w:val="Compact"/>
      </w:pPr>
      <w:r>
        <w:rPr>
          <w:bCs/>
          <w:b/>
        </w:rPr>
        <w:t xml:space="preserve">Temporary Storage Disallowance:</w:t>
      </w:r>
      <w:r>
        <w:t xml:space="preserve"> </w:t>
      </w:r>
      <w:r>
        <w:t xml:space="preserve">Because this evaluation is Cradle-to-Gate, credit for temporary carbon storage during shipping and staging is not used to offset permanent fossil emissions.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LSR Carbon Flow Parameter</w:t>
            </w:r>
          </w:p>
        </w:tc>
        <w:tc>
          <w:tcPr/>
          <w:p>
            <w:pPr>
              <w:pStyle w:val="Compact"/>
              <w:jc w:val="left"/>
            </w:pPr>
            <w:r>
              <w:t xml:space="preserve">Quantity (kg CO₂e)</w:t>
            </w:r>
          </w:p>
        </w:tc>
        <w:tc>
          <w:tcPr/>
          <w:p>
            <w:pPr>
              <w:pStyle w:val="Compact"/>
              <w:jc w:val="left"/>
            </w:pPr>
            <w:r>
              <w:t xml:space="preserve">Accounting Classification</w:t>
            </w:r>
          </w:p>
        </w:tc>
        <w:tc>
          <w:tcPr/>
          <w:p>
            <w:pPr>
              <w:pStyle w:val="Compact"/>
              <w:jc w:val="left"/>
            </w:pPr>
            <w:r>
              <w:t xml:space="preserve">Compliance Status</w:t>
            </w:r>
          </w:p>
        </w:tc>
      </w:tr>
      <w:tr>
        <w:tc>
          <w:tcPr/>
          <w:p>
            <w:pPr>
              <w:pStyle w:val="Compact"/>
              <w:jc w:val="left"/>
            </w:pPr>
            <w:r>
              <w:t xml:space="preserve">Fossil GHG Emissions (Cradle-to-Gate)</w:t>
            </w:r>
          </w:p>
        </w:tc>
        <w:tc>
          <w:tcPr/>
          <w:p>
            <w:pPr>
              <w:pStyle w:val="Compact"/>
              <w:jc w:val="left"/>
            </w:pPr>
            <w:r>
              <w:t xml:space="preserve">248.86</w:t>
            </w:r>
          </w:p>
        </w:tc>
        <w:tc>
          <w:tcPr/>
          <w:p>
            <w:pPr>
              <w:pStyle w:val="Compact"/>
              <w:jc w:val="left"/>
            </w:pPr>
            <w:r>
              <w:t xml:space="preserve">Gross Product Carbon Footprint</w:t>
            </w:r>
          </w:p>
        </w:tc>
        <w:tc>
          <w:tcPr/>
          <w:p>
            <w:pPr>
              <w:pStyle w:val="Compact"/>
              <w:jc w:val="left"/>
            </w:pPr>
            <w:r>
              <w:t xml:space="preserve">GHG Protocol Standard</w:t>
            </w:r>
          </w:p>
        </w:tc>
      </w:tr>
      <w:tr>
        <w:tc>
          <w:tcPr/>
          <w:p>
            <w:pPr>
              <w:pStyle w:val="Compact"/>
              <w:jc w:val="left"/>
            </w:pPr>
            <w:r>
              <w:t xml:space="preserve">Biogenic Carbon Sequestration (Inherent)</w:t>
            </w:r>
          </w:p>
        </w:tc>
        <w:tc>
          <w:tcPr/>
          <w:p>
            <w:pPr>
              <w:pStyle w:val="Compact"/>
              <w:jc w:val="left"/>
            </w:pPr>
            <w:r>
              <w:t xml:space="preserve">-7.25</w:t>
            </w:r>
          </w:p>
        </w:tc>
        <w:tc>
          <w:tcPr/>
          <w:p>
            <w:pPr>
              <w:pStyle w:val="Compact"/>
              <w:jc w:val="left"/>
            </w:pPr>
            <w:r>
              <w:t xml:space="preserve">Biogenic Removals (Stored in Packaging)</w:t>
            </w:r>
          </w:p>
        </w:tc>
        <w:tc>
          <w:tcPr/>
          <w:p>
            <w:pPr>
              <w:pStyle w:val="Compact"/>
              <w:jc w:val="left"/>
            </w:pPr>
            <w:r>
              <w:t xml:space="preserve">LSR 2026 Compliant (Reported Separately)</w:t>
            </w:r>
          </w:p>
        </w:tc>
      </w:tr>
      <w:tr>
        <w:tc>
          <w:tcPr/>
          <w:p>
            <w:pPr>
              <w:pStyle w:val="Compact"/>
              <w:jc w:val="left"/>
            </w:pPr>
            <w:r>
              <w:t xml:space="preserve">Direct Land Use Change (dLUC)</w:t>
            </w:r>
          </w:p>
        </w:tc>
        <w:tc>
          <w:tcPr/>
          <w:p>
            <w:pPr>
              <w:pStyle w:val="Compact"/>
              <w:jc w:val="left"/>
            </w:pPr>
            <w:r>
              <w:t xml:space="preserve">+0.02</w:t>
            </w:r>
          </w:p>
        </w:tc>
        <w:tc>
          <w:tcPr/>
          <w:p>
            <w:pPr>
              <w:pStyle w:val="Compact"/>
              <w:jc w:val="left"/>
            </w:pPr>
            <w:r>
              <w:t xml:space="preserve">Biogenic Land Emission (Scope 3 Cat 1)</w:t>
            </w:r>
          </w:p>
        </w:tc>
        <w:tc>
          <w:tcPr/>
          <w:p>
            <w:pPr>
              <w:pStyle w:val="Compact"/>
              <w:jc w:val="left"/>
            </w:pPr>
            <w:r>
              <w:t xml:space="preserve">PEFC Chain-of-Custody Verified</w:t>
            </w:r>
          </w:p>
        </w:tc>
      </w:tr>
      <w:tr>
        <w:tc>
          <w:tcPr/>
          <w:p>
            <w:pPr>
              <w:pStyle w:val="Compact"/>
              <w:jc w:val="left"/>
            </w:pPr>
            <w:r>
              <w:t xml:space="preserve">Net Cradle-to-Gate GHG Balance (LSR Reporting)</w:t>
            </w:r>
          </w:p>
        </w:tc>
        <w:tc>
          <w:tcPr/>
          <w:p>
            <w:pPr>
              <w:pStyle w:val="Compact"/>
              <w:jc w:val="left"/>
            </w:pPr>
            <w:r>
              <w:t xml:space="preserve">241.63</w:t>
            </w:r>
          </w:p>
        </w:tc>
        <w:tc>
          <w:tcPr>
            <w:gridSpan w:val="2"/>
          </w:tcPr>
          <w:p>
            <w:pPr>
              <w:pStyle w:val="Compact"/>
              <w:jc w:val="left"/>
            </w:pPr>
            <w:r>
              <w:t xml:space="preserve">Gross 248.86 kg CO₂e / Removals -7.25 kg CO₂e</w:t>
            </w:r>
          </w:p>
        </w:tc>
      </w:tr>
    </w:tbl>
    <w:p>
      <w:r>
        <w:pict>
          <v:rect style="width:0;height:1.5pt" o:hralign="center" o:hrstd="t" o:hr="t"/>
        </w:pict>
      </w:r>
    </w:p>
    <w:bookmarkEnd w:id="27"/>
    <w:bookmarkStart w:id="31" w:name="Xc6c1616aad00e8050009bdccf0c965099ec63bb"/>
    <w:p>
      <w:pPr>
        <w:pStyle w:val="Heading2"/>
      </w:pPr>
      <w:r>
        <w:t xml:space="preserve">4. Detailed Emission Calculations &amp; Characterization</w:t>
      </w:r>
    </w:p>
    <w:p>
      <w:pPr>
        <w:pStyle w:val="FirstParagraph"/>
      </w:pPr>
      <w:r>
        <w:t xml:space="preserve">Calculations utilize the equation:</w:t>
      </w:r>
      <w:r>
        <w:t xml:space="preserve"> </w:t>
      </w:r>
      <w:r>
        <w:rPr>
          <w:bCs/>
          <w:b/>
        </w:rPr>
        <w:t xml:space="preserve">Emissions (kg CO₂e) = Activity Data × Emission Factor</w:t>
      </w:r>
      <w:r>
        <w:t xml:space="preserve">. Global Warming Potentials (GWPs) are sourced from the IPCC 6th Assessment Report (AR6) over a 100-year time horizon (GWP100).</w:t>
      </w:r>
    </w:p>
    <w:bookmarkStart w:id="28" w:name="a.-scope-1-direct-facility-emissions"/>
    <w:p>
      <w:pPr>
        <w:pStyle w:val="Heading3"/>
      </w:pPr>
      <w:r>
        <w:t xml:space="preserve">A. Scope 1: Direct Facility Emissions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Emission Source</w:t>
            </w:r>
          </w:p>
        </w:tc>
        <w:tc>
          <w:tcPr/>
          <w:p>
            <w:pPr>
              <w:pStyle w:val="Compact"/>
              <w:jc w:val="left"/>
            </w:pPr>
            <w:r>
              <w:t xml:space="preserve">Activity Volume</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Factor Source</w:t>
            </w:r>
          </w:p>
        </w:tc>
        <w:tc>
          <w:tcPr/>
          <w:p>
            <w:pPr>
              <w:pStyle w:val="Compact"/>
              <w:jc w:val="left"/>
            </w:pPr>
            <w:r>
              <w:t xml:space="preserve">Emissions (kg CO₂e)</w:t>
            </w:r>
          </w:p>
        </w:tc>
      </w:tr>
      <w:tr>
        <w:tc>
          <w:tcPr/>
          <w:p>
            <w:pPr>
              <w:pStyle w:val="Compact"/>
              <w:jc w:val="left"/>
            </w:pPr>
            <w:r>
              <w:t xml:space="preserve">Natural Gas Combustion (Ovens &amp; Heating)</w:t>
            </w:r>
          </w:p>
        </w:tc>
        <w:tc>
          <w:tcPr/>
          <w:p>
            <w:pPr>
              <w:pStyle w:val="Compact"/>
              <w:jc w:val="left"/>
            </w:pPr>
            <w:r>
              <w:t xml:space="preserve">2.15</w:t>
            </w:r>
          </w:p>
        </w:tc>
        <w:tc>
          <w:tcPr/>
          <w:p>
            <w:pPr>
              <w:pStyle w:val="Compact"/>
              <w:jc w:val="left"/>
            </w:pPr>
            <w:r>
              <w:t xml:space="preserve">m³</w:t>
            </w:r>
          </w:p>
        </w:tc>
        <w:tc>
          <w:tcPr/>
          <w:p>
            <w:pPr>
              <w:pStyle w:val="Compact"/>
              <w:jc w:val="left"/>
            </w:pPr>
            <w:r>
              <w:t xml:space="preserve">2.0280 kg CO₂e/m³</w:t>
            </w:r>
          </w:p>
        </w:tc>
        <w:tc>
          <w:tcPr/>
          <w:p>
            <w:pPr>
              <w:pStyle w:val="Compact"/>
              <w:jc w:val="left"/>
            </w:pPr>
            <w:r>
              <w:t xml:space="preserve">CO2emissiefactoren.nl (NL Standard)</w:t>
            </w:r>
          </w:p>
        </w:tc>
        <w:tc>
          <w:tcPr/>
          <w:p>
            <w:pPr>
              <w:pStyle w:val="Compact"/>
              <w:jc w:val="left"/>
            </w:pPr>
            <w:r>
              <w:t xml:space="preserve">4.36</w:t>
            </w:r>
          </w:p>
        </w:tc>
      </w:tr>
      <w:tr>
        <w:tc>
          <w:tcPr/>
          <w:p>
            <w:pPr>
              <w:pStyle w:val="Compact"/>
              <w:jc w:val="left"/>
            </w:pPr>
            <w:r>
              <w:t xml:space="preserve">Dyno Test Diesel Backup Generator</w:t>
            </w:r>
          </w:p>
        </w:tc>
        <w:tc>
          <w:tcPr/>
          <w:p>
            <w:pPr>
              <w:pStyle w:val="Compact"/>
              <w:jc w:val="left"/>
            </w:pPr>
            <w:r>
              <w:t xml:space="preserve">0.12</w:t>
            </w:r>
          </w:p>
        </w:tc>
        <w:tc>
          <w:tcPr/>
          <w:p>
            <w:pPr>
              <w:pStyle w:val="Compact"/>
              <w:jc w:val="left"/>
            </w:pPr>
            <w:r>
              <w:t xml:space="preserve">Liters</w:t>
            </w:r>
          </w:p>
        </w:tc>
        <w:tc>
          <w:tcPr/>
          <w:p>
            <w:pPr>
              <w:pStyle w:val="Compact"/>
              <w:jc w:val="left"/>
            </w:pPr>
            <w:r>
              <w:t xml:space="preserve">2.6920 kg CO₂e/L</w:t>
            </w:r>
          </w:p>
        </w:tc>
        <w:tc>
          <w:tcPr/>
          <w:p>
            <w:pPr>
              <w:pStyle w:val="Compact"/>
              <w:jc w:val="left"/>
            </w:pPr>
            <w:r>
              <w:t xml:space="preserve">DEFRA 2025/2026</w:t>
            </w:r>
          </w:p>
        </w:tc>
        <w:tc>
          <w:tcPr/>
          <w:p>
            <w:pPr>
              <w:pStyle w:val="Compact"/>
              <w:jc w:val="left"/>
            </w:pPr>
            <w:r>
              <w:t xml:space="preserve">0.32</w:t>
            </w:r>
          </w:p>
        </w:tc>
      </w:tr>
      <w:tr>
        <w:tc>
          <w:tcPr/>
          <w:p>
            <w:pPr>
              <w:pStyle w:val="Compact"/>
              <w:jc w:val="left"/>
            </w:pPr>
            <w:r>
              <w:t xml:space="preserve">Test Bench Refrigerant Leakage (R134a)</w:t>
            </w:r>
          </w:p>
        </w:tc>
        <w:tc>
          <w:tcPr/>
          <w:p>
            <w:pPr>
              <w:pStyle w:val="Compact"/>
              <w:jc w:val="left"/>
            </w:pPr>
            <w:r>
              <w:t xml:space="preserve">0.00003</w:t>
            </w:r>
          </w:p>
        </w:tc>
        <w:tc>
          <w:tcPr/>
          <w:p>
            <w:pPr>
              <w:pStyle w:val="Compact"/>
              <w:jc w:val="left"/>
            </w:pPr>
            <w:r>
              <w:t xml:space="preserve">kg</w:t>
            </w:r>
          </w:p>
        </w:tc>
        <w:tc>
          <w:tcPr/>
          <w:p>
            <w:pPr>
              <w:pStyle w:val="Compact"/>
              <w:jc w:val="left"/>
            </w:pPr>
            <w:r>
              <w:t xml:space="preserve">1,430 kg CO₂e/kg</w:t>
            </w:r>
          </w:p>
        </w:tc>
        <w:tc>
          <w:tcPr/>
          <w:p>
            <w:pPr>
              <w:pStyle w:val="Compact"/>
              <w:jc w:val="left"/>
            </w:pPr>
            <w:r>
              <w:t xml:space="preserve">IPCC AR6</w:t>
            </w:r>
          </w:p>
        </w:tc>
        <w:tc>
          <w:tcPr/>
          <w:p>
            <w:pPr>
              <w:pStyle w:val="Compact"/>
              <w:jc w:val="left"/>
            </w:pPr>
            <w:r>
              <w:t xml:space="preserve">0.04</w:t>
            </w:r>
          </w:p>
        </w:tc>
      </w:tr>
      <w:tr>
        <w:tc>
          <w:tcPr>
            <w:gridSpan w:val="5"/>
          </w:tcPr>
          <w:p>
            <w:pPr>
              <w:pStyle w:val="Compact"/>
              <w:jc w:val="left"/>
            </w:pPr>
            <w:r>
              <w:t xml:space="preserve">Subtotal Scope 1 Emissions</w:t>
            </w:r>
          </w:p>
        </w:tc>
        <w:tc>
          <w:tcPr/>
          <w:p>
            <w:pPr>
              <w:pStyle w:val="Compact"/>
              <w:jc w:val="left"/>
            </w:pPr>
            <w:r>
              <w:t xml:space="preserve">4.72</w:t>
            </w:r>
          </w:p>
        </w:tc>
      </w:tr>
    </w:tbl>
    <w:bookmarkEnd w:id="28"/>
    <w:bookmarkStart w:id="29" w:name="X807910339e1d3f893c5aaa12038894f4ac2d4db"/>
    <w:p>
      <w:pPr>
        <w:pStyle w:val="Heading3"/>
      </w:pPr>
      <w:r>
        <w:t xml:space="preserve">B. Scope 2: Indirect Emissions from Purchased Energy</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Energy Source</w:t>
            </w:r>
          </w:p>
        </w:tc>
        <w:tc>
          <w:tcPr/>
          <w:p>
            <w:pPr>
              <w:pStyle w:val="Compact"/>
              <w:jc w:val="left"/>
            </w:pPr>
            <w:r>
              <w:t xml:space="preserve">Activity Volume</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Calculation Methodology</w:t>
            </w:r>
          </w:p>
        </w:tc>
        <w:tc>
          <w:tcPr/>
          <w:p>
            <w:pPr>
              <w:pStyle w:val="Compact"/>
              <w:jc w:val="left"/>
            </w:pPr>
            <w:r>
              <w:t xml:space="preserve">Emissions (kg CO₂e)</w:t>
            </w:r>
          </w:p>
        </w:tc>
      </w:tr>
      <w:tr>
        <w:tc>
          <w:tcPr/>
          <w:p>
            <w:pPr>
              <w:pStyle w:val="Compact"/>
              <w:jc w:val="left"/>
            </w:pPr>
            <w:r>
              <w:t xml:space="preserve">Electricity - Facility Consumption</w:t>
            </w:r>
          </w:p>
        </w:tc>
        <w:tc>
          <w:tcPr/>
          <w:p>
            <w:pPr>
              <w:pStyle w:val="Compact"/>
              <w:jc w:val="left"/>
            </w:pPr>
            <w:r>
              <w:t xml:space="preserve">42.50</w:t>
            </w:r>
          </w:p>
        </w:tc>
        <w:tc>
          <w:tcPr/>
          <w:p>
            <w:pPr>
              <w:pStyle w:val="Compact"/>
              <w:jc w:val="left"/>
            </w:pPr>
            <w:r>
              <w:t xml:space="preserve">kWh</w:t>
            </w:r>
          </w:p>
        </w:tc>
        <w:tc>
          <w:tcPr/>
          <w:p>
            <w:pPr>
              <w:pStyle w:val="Compact"/>
              <w:jc w:val="left"/>
            </w:pPr>
            <w:r>
              <w:t xml:space="preserve">0.3925 kg CO₂e/kWh</w:t>
            </w:r>
          </w:p>
        </w:tc>
        <w:tc>
          <w:tcPr/>
          <w:p>
            <w:pPr>
              <w:pStyle w:val="Compact"/>
              <w:jc w:val="left"/>
            </w:pPr>
            <w:r>
              <w:t xml:space="preserve">Market-Based (NL Residual Grid Mix 2025/2026)</w:t>
            </w:r>
          </w:p>
        </w:tc>
        <w:tc>
          <w:tcPr/>
          <w:p>
            <w:pPr>
              <w:pStyle w:val="Compact"/>
              <w:jc w:val="left"/>
            </w:pPr>
            <w:r>
              <w:t xml:space="preserve">16.68</w:t>
            </w:r>
          </w:p>
        </w:tc>
      </w:tr>
      <w:tr>
        <w:tc>
          <w:tcPr/>
          <w:p>
            <w:pPr>
              <w:pStyle w:val="Compact"/>
              <w:jc w:val="left"/>
            </w:pPr>
            <w:r>
              <w:rPr>
                <w:iCs/>
                <w:i/>
              </w:rPr>
              <w:t xml:space="preserve">Sensitivity: Location-Based Electricity</w:t>
            </w:r>
          </w:p>
        </w:tc>
        <w:tc>
          <w:tcPr/>
          <w:p>
            <w:pPr>
              <w:pStyle w:val="Compact"/>
              <w:jc w:val="left"/>
            </w:pPr>
            <w:r>
              <w:rPr>
                <w:iCs/>
                <w:i/>
              </w:rPr>
              <w:t xml:space="preserve">42.50</w:t>
            </w:r>
          </w:p>
        </w:tc>
        <w:tc>
          <w:tcPr/>
          <w:p>
            <w:pPr>
              <w:pStyle w:val="Compact"/>
              <w:jc w:val="left"/>
            </w:pPr>
            <w:r>
              <w:rPr>
                <w:iCs/>
                <w:i/>
              </w:rPr>
              <w:t xml:space="preserve">kWh</w:t>
            </w:r>
          </w:p>
        </w:tc>
        <w:tc>
          <w:tcPr/>
          <w:p>
            <w:pPr>
              <w:pStyle w:val="Compact"/>
              <w:jc w:val="left"/>
            </w:pPr>
            <w:r>
              <w:rPr>
                <w:iCs/>
                <w:i/>
              </w:rPr>
              <w:t xml:space="preserve">0.2980 kg CO₂e/kWh</w:t>
            </w:r>
          </w:p>
        </w:tc>
        <w:tc>
          <w:tcPr/>
          <w:p>
            <w:pPr>
              <w:pStyle w:val="Compact"/>
              <w:jc w:val="left"/>
            </w:pPr>
            <w:r>
              <w:rPr>
                <w:iCs/>
                <w:i/>
              </w:rPr>
              <w:t xml:space="preserve">Location-Based (Netherlands Average Grid)</w:t>
            </w:r>
          </w:p>
        </w:tc>
        <w:tc>
          <w:tcPr/>
          <w:p>
            <w:pPr>
              <w:pStyle w:val="Compact"/>
              <w:jc w:val="left"/>
            </w:pPr>
            <w:r>
              <w:rPr>
                <w:iCs/>
                <w:i/>
              </w:rPr>
              <w:t xml:space="preserve">(12.67)</w:t>
            </w:r>
          </w:p>
        </w:tc>
      </w:tr>
      <w:tr>
        <w:tc>
          <w:tcPr>
            <w:gridSpan w:val="5"/>
          </w:tcPr>
          <w:p>
            <w:pPr>
              <w:pStyle w:val="Compact"/>
              <w:jc w:val="left"/>
            </w:pPr>
            <w:r>
              <w:t xml:space="preserve">Subtotal Scope 2 Emissions (Market-Based Compliance)</w:t>
            </w:r>
          </w:p>
        </w:tc>
        <w:tc>
          <w:tcPr/>
          <w:p>
            <w:pPr>
              <w:pStyle w:val="Compact"/>
              <w:jc w:val="left"/>
            </w:pPr>
            <w:r>
              <w:t xml:space="preserve">16.68</w:t>
            </w:r>
          </w:p>
        </w:tc>
      </w:tr>
    </w:tbl>
    <w:bookmarkEnd w:id="29"/>
    <w:bookmarkStart w:id="30" w:name="X2e4ce9a5dc0ebb48d2b948e24093167cb791a72"/>
    <w:p>
      <w:pPr>
        <w:pStyle w:val="Heading3"/>
      </w:pPr>
      <w:r>
        <w:t xml:space="preserve">C. Scope 3: Upstream Value Chain Emissions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Scope 3 Category &amp; Component</w:t>
            </w:r>
          </w:p>
        </w:tc>
        <w:tc>
          <w:tcPr/>
          <w:p>
            <w:pPr>
              <w:pStyle w:val="Compact"/>
              <w:jc w:val="left"/>
            </w:pPr>
            <w:r>
              <w:t xml:space="preserve">Activity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Data Source</w:t>
            </w:r>
          </w:p>
        </w:tc>
        <w:tc>
          <w:tcPr/>
          <w:p>
            <w:pPr>
              <w:pStyle w:val="Compact"/>
              <w:jc w:val="left"/>
            </w:pPr>
            <w:r>
              <w:t xml:space="preserve">Emissions (kg CO₂e)</w:t>
            </w:r>
          </w:p>
        </w:tc>
      </w:tr>
      <w:tr>
        <w:tc>
          <w:tcPr/>
          <w:p>
            <w:pPr>
              <w:pStyle w:val="Compact"/>
              <w:jc w:val="left"/>
            </w:pPr>
            <w:r>
              <w:rPr>
                <w:bCs/>
                <w:b/>
              </w:rPr>
              <w:t xml:space="preserve">Cat 1:</w:t>
            </w:r>
            <w:r>
              <w:t xml:space="preserve"> </w:t>
            </w:r>
            <w:r>
              <w:t xml:space="preserve">Electrical Steel (Core laminations)</w:t>
            </w:r>
          </w:p>
        </w:tc>
        <w:tc>
          <w:tcPr/>
          <w:p>
            <w:pPr>
              <w:pStyle w:val="Compact"/>
              <w:jc w:val="left"/>
            </w:pPr>
            <w:r>
              <w:t xml:space="preserve">36.20</w:t>
            </w:r>
          </w:p>
        </w:tc>
        <w:tc>
          <w:tcPr/>
          <w:p>
            <w:pPr>
              <w:pStyle w:val="Compact"/>
              <w:jc w:val="left"/>
            </w:pPr>
            <w:r>
              <w:t xml:space="preserve">kg</w:t>
            </w:r>
          </w:p>
        </w:tc>
        <w:tc>
          <w:tcPr/>
          <w:p>
            <w:pPr>
              <w:pStyle w:val="Compact"/>
              <w:jc w:val="left"/>
            </w:pPr>
            <w:r>
              <w:t xml:space="preserve">2.450 kg CO₂e/kg</w:t>
            </w:r>
          </w:p>
        </w:tc>
        <w:tc>
          <w:tcPr/>
          <w:p>
            <w:pPr>
              <w:pStyle w:val="Compact"/>
              <w:jc w:val="left"/>
            </w:pPr>
            <w:r>
              <w:t xml:space="preserve">Worldsteel / Ecoinvent 3.10</w:t>
            </w:r>
          </w:p>
        </w:tc>
        <w:tc>
          <w:tcPr/>
          <w:p>
            <w:pPr>
              <w:pStyle w:val="Compact"/>
              <w:jc w:val="left"/>
            </w:pPr>
            <w:r>
              <w:t xml:space="preserve">88.69</w:t>
            </w:r>
          </w:p>
        </w:tc>
      </w:tr>
      <w:tr>
        <w:tc>
          <w:tcPr/>
          <w:p>
            <w:pPr>
              <w:pStyle w:val="Compact"/>
              <w:jc w:val="left"/>
            </w:pPr>
            <w:r>
              <w:rPr>
                <w:bCs/>
                <w:b/>
              </w:rPr>
              <w:t xml:space="preserve">Cat 1:</w:t>
            </w:r>
            <w:r>
              <w:t xml:space="preserve"> </w:t>
            </w:r>
            <w:r>
              <w:t xml:space="preserve">Secondary Cast Aluminum (Housing/Rotor)</w:t>
            </w:r>
          </w:p>
        </w:tc>
        <w:tc>
          <w:tcPr/>
          <w:p>
            <w:pPr>
              <w:pStyle w:val="Compact"/>
              <w:jc w:val="left"/>
            </w:pPr>
            <w:r>
              <w:t xml:space="preserve">17.80</w:t>
            </w:r>
          </w:p>
        </w:tc>
        <w:tc>
          <w:tcPr/>
          <w:p>
            <w:pPr>
              <w:pStyle w:val="Compact"/>
              <w:jc w:val="left"/>
            </w:pPr>
            <w:r>
              <w:t xml:space="preserve">kg</w:t>
            </w:r>
          </w:p>
        </w:tc>
        <w:tc>
          <w:tcPr/>
          <w:p>
            <w:pPr>
              <w:pStyle w:val="Compact"/>
              <w:jc w:val="left"/>
            </w:pPr>
            <w:r>
              <w:t xml:space="preserve">3.120 kg CO₂e/kg</w:t>
            </w:r>
          </w:p>
        </w:tc>
        <w:tc>
          <w:tcPr/>
          <w:p>
            <w:pPr>
              <w:pStyle w:val="Compact"/>
              <w:jc w:val="left"/>
            </w:pPr>
            <w:r>
              <w:t xml:space="preserve">European Aluminium EPD / Ecoinvent</w:t>
            </w:r>
          </w:p>
        </w:tc>
        <w:tc>
          <w:tcPr/>
          <w:p>
            <w:pPr>
              <w:pStyle w:val="Compact"/>
              <w:jc w:val="left"/>
            </w:pPr>
            <w:r>
              <w:t xml:space="preserve">55.54</w:t>
            </w:r>
          </w:p>
        </w:tc>
      </w:tr>
      <w:tr>
        <w:tc>
          <w:tcPr/>
          <w:p>
            <w:pPr>
              <w:pStyle w:val="Compact"/>
              <w:jc w:val="left"/>
            </w:pPr>
            <w:r>
              <w:rPr>
                <w:bCs/>
                <w:b/>
              </w:rPr>
              <w:t xml:space="preserve">Cat 1:</w:t>
            </w:r>
            <w:r>
              <w:t xml:space="preserve"> </w:t>
            </w:r>
            <w:r>
              <w:t xml:space="preserve">Electrolytic Copper Wire (Enamelled)</w:t>
            </w:r>
          </w:p>
        </w:tc>
        <w:tc>
          <w:tcPr/>
          <w:p>
            <w:pPr>
              <w:pStyle w:val="Compact"/>
              <w:jc w:val="left"/>
            </w:pPr>
            <w:r>
              <w:t xml:space="preserve">11.40</w:t>
            </w:r>
          </w:p>
        </w:tc>
        <w:tc>
          <w:tcPr/>
          <w:p>
            <w:pPr>
              <w:pStyle w:val="Compact"/>
              <w:jc w:val="left"/>
            </w:pPr>
            <w:r>
              <w:t xml:space="preserve">kg</w:t>
            </w:r>
          </w:p>
        </w:tc>
        <w:tc>
          <w:tcPr/>
          <w:p>
            <w:pPr>
              <w:pStyle w:val="Compact"/>
              <w:jc w:val="left"/>
            </w:pPr>
            <w:r>
              <w:t xml:space="preserve">4.680 kg CO₂e/kg</w:t>
            </w:r>
          </w:p>
        </w:tc>
        <w:tc>
          <w:tcPr/>
          <w:p>
            <w:pPr>
              <w:pStyle w:val="Compact"/>
              <w:jc w:val="left"/>
            </w:pPr>
            <w:r>
              <w:t xml:space="preserve">Copper Alliance / Ecoinvent 3.10</w:t>
            </w:r>
          </w:p>
        </w:tc>
        <w:tc>
          <w:tcPr/>
          <w:p>
            <w:pPr>
              <w:pStyle w:val="Compact"/>
              <w:jc w:val="left"/>
            </w:pPr>
            <w:r>
              <w:t xml:space="preserve">53.35</w:t>
            </w:r>
          </w:p>
        </w:tc>
      </w:tr>
      <w:tr>
        <w:tc>
          <w:tcPr/>
          <w:p>
            <w:pPr>
              <w:pStyle w:val="Compact"/>
              <w:jc w:val="left"/>
            </w:pPr>
            <w:r>
              <w:rPr>
                <w:bCs/>
                <w:b/>
              </w:rPr>
              <w:t xml:space="preserve">Cat 1:</w:t>
            </w:r>
            <w:r>
              <w:t xml:space="preserve"> </w:t>
            </w:r>
            <w:r>
              <w:t xml:space="preserve">Cast Iron End Shields</w:t>
            </w:r>
          </w:p>
        </w:tc>
        <w:tc>
          <w:tcPr/>
          <w:p>
            <w:pPr>
              <w:pStyle w:val="Compact"/>
              <w:jc w:val="left"/>
            </w:pPr>
            <w:r>
              <w:t xml:space="preserve">8.10</w:t>
            </w:r>
          </w:p>
        </w:tc>
        <w:tc>
          <w:tcPr/>
          <w:p>
            <w:pPr>
              <w:pStyle w:val="Compact"/>
              <w:jc w:val="left"/>
            </w:pPr>
            <w:r>
              <w:t xml:space="preserve">kg</w:t>
            </w:r>
          </w:p>
        </w:tc>
        <w:tc>
          <w:tcPr/>
          <w:p>
            <w:pPr>
              <w:pStyle w:val="Compact"/>
              <w:jc w:val="left"/>
            </w:pPr>
            <w:r>
              <w:t xml:space="preserve">0.890 kg CO₂e/kg</w:t>
            </w:r>
          </w:p>
        </w:tc>
        <w:tc>
          <w:tcPr/>
          <w:p>
            <w:pPr>
              <w:pStyle w:val="Compact"/>
              <w:jc w:val="left"/>
            </w:pPr>
            <w:r>
              <w:t xml:space="preserve">Ecoinvent v3.10 (Casting EU)</w:t>
            </w:r>
          </w:p>
        </w:tc>
        <w:tc>
          <w:tcPr/>
          <w:p>
            <w:pPr>
              <w:pStyle w:val="Compact"/>
              <w:jc w:val="left"/>
            </w:pPr>
            <w:r>
              <w:t xml:space="preserve">7.21</w:t>
            </w:r>
          </w:p>
        </w:tc>
      </w:tr>
      <w:tr>
        <w:tc>
          <w:tcPr/>
          <w:p>
            <w:pPr>
              <w:pStyle w:val="Compact"/>
              <w:jc w:val="left"/>
            </w:pPr>
            <w:r>
              <w:rPr>
                <w:bCs/>
                <w:b/>
              </w:rPr>
              <w:t xml:space="preserve">Cat 1:</w:t>
            </w:r>
            <w:r>
              <w:t xml:space="preserve"> </w:t>
            </w:r>
            <w:r>
              <w:t xml:space="preserve">Forged Carbon Steel Shaft</w:t>
            </w:r>
          </w:p>
        </w:tc>
        <w:tc>
          <w:tcPr/>
          <w:p>
            <w:pPr>
              <w:pStyle w:val="Compact"/>
              <w:jc w:val="left"/>
            </w:pPr>
            <w:r>
              <w:t xml:space="preserve">3.20</w:t>
            </w:r>
          </w:p>
        </w:tc>
        <w:tc>
          <w:tcPr/>
          <w:p>
            <w:pPr>
              <w:pStyle w:val="Compact"/>
              <w:jc w:val="left"/>
            </w:pPr>
            <w:r>
              <w:t xml:space="preserve">kg</w:t>
            </w:r>
          </w:p>
        </w:tc>
        <w:tc>
          <w:tcPr/>
          <w:p>
            <w:pPr>
              <w:pStyle w:val="Compact"/>
              <w:jc w:val="left"/>
            </w:pPr>
            <w:r>
              <w:t xml:space="preserve">1.820 kg CO₂e/kg</w:t>
            </w:r>
          </w:p>
        </w:tc>
        <w:tc>
          <w:tcPr/>
          <w:p>
            <w:pPr>
              <w:pStyle w:val="Compact"/>
              <w:jc w:val="left"/>
            </w:pPr>
            <w:r>
              <w:t xml:space="preserve">Ecoinvent v3.10</w:t>
            </w:r>
          </w:p>
        </w:tc>
        <w:tc>
          <w:tcPr/>
          <w:p>
            <w:pPr>
              <w:pStyle w:val="Compact"/>
              <w:jc w:val="left"/>
            </w:pPr>
            <w:r>
              <w:t xml:space="preserve">5.82</w:t>
            </w:r>
          </w:p>
        </w:tc>
      </w:tr>
      <w:tr>
        <w:tc>
          <w:tcPr/>
          <w:p>
            <w:pPr>
              <w:pStyle w:val="Compact"/>
              <w:jc w:val="left"/>
            </w:pPr>
            <w:r>
              <w:rPr>
                <w:bCs/>
                <w:b/>
              </w:rPr>
              <w:t xml:space="preserve">Cat 1:</w:t>
            </w:r>
            <w:r>
              <w:t xml:space="preserve"> </w:t>
            </w:r>
            <w:r>
              <w:t xml:space="preserve">Deep-Groove Bearings</w:t>
            </w:r>
          </w:p>
        </w:tc>
        <w:tc>
          <w:tcPr/>
          <w:p>
            <w:pPr>
              <w:pStyle w:val="Compact"/>
              <w:jc w:val="left"/>
            </w:pPr>
            <w:r>
              <w:t xml:space="preserve">0.85</w:t>
            </w:r>
          </w:p>
        </w:tc>
        <w:tc>
          <w:tcPr/>
          <w:p>
            <w:pPr>
              <w:pStyle w:val="Compact"/>
              <w:jc w:val="left"/>
            </w:pPr>
            <w:r>
              <w:t xml:space="preserve">kg</w:t>
            </w:r>
          </w:p>
        </w:tc>
        <w:tc>
          <w:tcPr/>
          <w:p>
            <w:pPr>
              <w:pStyle w:val="Compact"/>
              <w:jc w:val="left"/>
            </w:pPr>
            <w:r>
              <w:t xml:space="preserve">2.950 kg CO₂e/kg</w:t>
            </w:r>
          </w:p>
        </w:tc>
        <w:tc>
          <w:tcPr/>
          <w:p>
            <w:pPr>
              <w:pStyle w:val="Compact"/>
              <w:jc w:val="left"/>
            </w:pPr>
            <w:r>
              <w:t xml:space="preserve">Manufacturer Environmental Profile</w:t>
            </w:r>
          </w:p>
        </w:tc>
        <w:tc>
          <w:tcPr/>
          <w:p>
            <w:pPr>
              <w:pStyle w:val="Compact"/>
              <w:jc w:val="left"/>
            </w:pPr>
            <w:r>
              <w:t xml:space="preserve">2.51</w:t>
            </w:r>
          </w:p>
        </w:tc>
      </w:tr>
      <w:tr>
        <w:tc>
          <w:tcPr/>
          <w:p>
            <w:pPr>
              <w:pStyle w:val="Compact"/>
              <w:jc w:val="left"/>
            </w:pPr>
            <w:r>
              <w:rPr>
                <w:bCs/>
                <w:b/>
              </w:rPr>
              <w:t xml:space="preserve">Cat 1:</w:t>
            </w:r>
            <w:r>
              <w:t xml:space="preserve"> </w:t>
            </w:r>
            <w:r>
              <w:t xml:space="preserve">Polymers (PA6-GF30, PBT, Slot Insulators)</w:t>
            </w:r>
          </w:p>
        </w:tc>
        <w:tc>
          <w:tcPr/>
          <w:p>
            <w:pPr>
              <w:pStyle w:val="Compact"/>
              <w:jc w:val="left"/>
            </w:pPr>
            <w:r>
              <w:t xml:space="preserve">0.95</w:t>
            </w:r>
          </w:p>
        </w:tc>
        <w:tc>
          <w:tcPr/>
          <w:p>
            <w:pPr>
              <w:pStyle w:val="Compact"/>
              <w:jc w:val="left"/>
            </w:pPr>
            <w:r>
              <w:t xml:space="preserve">kg</w:t>
            </w:r>
          </w:p>
        </w:tc>
        <w:tc>
          <w:tcPr/>
          <w:p>
            <w:pPr>
              <w:pStyle w:val="Compact"/>
              <w:jc w:val="left"/>
            </w:pPr>
            <w:r>
              <w:t xml:space="preserve">4.250 kg CO₂e/kg</w:t>
            </w:r>
          </w:p>
        </w:tc>
        <w:tc>
          <w:tcPr/>
          <w:p>
            <w:pPr>
              <w:pStyle w:val="Compact"/>
              <w:jc w:val="left"/>
            </w:pPr>
            <w:r>
              <w:t xml:space="preserve">PlasticsEurope / Ecoinvent 3.10</w:t>
            </w:r>
          </w:p>
        </w:tc>
        <w:tc>
          <w:tcPr/>
          <w:p>
            <w:pPr>
              <w:pStyle w:val="Compact"/>
              <w:jc w:val="left"/>
            </w:pPr>
            <w:r>
              <w:t xml:space="preserve">4.04</w:t>
            </w:r>
          </w:p>
        </w:tc>
      </w:tr>
      <w:tr>
        <w:tc>
          <w:tcPr/>
          <w:p>
            <w:pPr>
              <w:pStyle w:val="Compact"/>
              <w:jc w:val="left"/>
            </w:pPr>
            <w:r>
              <w:rPr>
                <w:bCs/>
                <w:b/>
              </w:rPr>
              <w:t xml:space="preserve">Cat 1:</w:t>
            </w:r>
            <w:r>
              <w:t xml:space="preserve"> </w:t>
            </w:r>
            <w:r>
              <w:t xml:space="preserve">Industrial Epoxy Surface Coating</w:t>
            </w:r>
          </w:p>
        </w:tc>
        <w:tc>
          <w:tcPr/>
          <w:p>
            <w:pPr>
              <w:pStyle w:val="Compact"/>
              <w:jc w:val="left"/>
            </w:pPr>
            <w:r>
              <w:t xml:space="preserve">0.45</w:t>
            </w:r>
          </w:p>
        </w:tc>
        <w:tc>
          <w:tcPr/>
          <w:p>
            <w:pPr>
              <w:pStyle w:val="Compact"/>
              <w:jc w:val="left"/>
            </w:pPr>
            <w:r>
              <w:t xml:space="preserve">kg</w:t>
            </w:r>
          </w:p>
        </w:tc>
        <w:tc>
          <w:tcPr/>
          <w:p>
            <w:pPr>
              <w:pStyle w:val="Compact"/>
              <w:jc w:val="left"/>
            </w:pPr>
            <w:r>
              <w:t xml:space="preserve">3.200 kg CO₂e/kg</w:t>
            </w:r>
          </w:p>
        </w:tc>
        <w:tc>
          <w:tcPr/>
          <w:p>
            <w:pPr>
              <w:pStyle w:val="Compact"/>
              <w:jc w:val="left"/>
            </w:pPr>
            <w:r>
              <w:t xml:space="preserve">CEPE GHG Database</w:t>
            </w:r>
          </w:p>
        </w:tc>
        <w:tc>
          <w:tcPr/>
          <w:p>
            <w:pPr>
              <w:pStyle w:val="Compact"/>
              <w:jc w:val="left"/>
            </w:pPr>
            <w:r>
              <w:t xml:space="preserve">1.44</w:t>
            </w:r>
          </w:p>
        </w:tc>
      </w:tr>
      <w:tr>
        <w:tc>
          <w:tcPr/>
          <w:p>
            <w:pPr>
              <w:pStyle w:val="Compact"/>
              <w:jc w:val="left"/>
            </w:pPr>
            <w:r>
              <w:rPr>
                <w:bCs/>
                <w:b/>
              </w:rPr>
              <w:t xml:space="preserve">Cat 1:</w:t>
            </w:r>
            <w:r>
              <w:t xml:space="preserve"> </w:t>
            </w:r>
            <w:r>
              <w:t xml:space="preserve">Packaging Production (Wood &amp; Cardboard)</w:t>
            </w:r>
          </w:p>
        </w:tc>
        <w:tc>
          <w:tcPr/>
          <w:p>
            <w:pPr>
              <w:pStyle w:val="Compact"/>
              <w:jc w:val="left"/>
            </w:pPr>
            <w:r>
              <w:t xml:space="preserve">6.20</w:t>
            </w:r>
          </w:p>
        </w:tc>
        <w:tc>
          <w:tcPr/>
          <w:p>
            <w:pPr>
              <w:pStyle w:val="Compact"/>
              <w:jc w:val="left"/>
            </w:pPr>
            <w:r>
              <w:t xml:space="preserve">kg</w:t>
            </w:r>
          </w:p>
        </w:tc>
        <w:tc>
          <w:tcPr/>
          <w:p>
            <w:pPr>
              <w:pStyle w:val="Compact"/>
              <w:jc w:val="left"/>
            </w:pPr>
            <w:r>
              <w:t xml:space="preserve">0.084 kg CO₂e/kg</w:t>
            </w:r>
          </w:p>
        </w:tc>
        <w:tc>
          <w:tcPr/>
          <w:p>
            <w:pPr>
              <w:pStyle w:val="Compact"/>
              <w:jc w:val="left"/>
            </w:pPr>
            <w:r>
              <w:t xml:space="preserve">Ecoinvent 3.10 (excl. removals)</w:t>
            </w:r>
          </w:p>
        </w:tc>
        <w:tc>
          <w:tcPr/>
          <w:p>
            <w:pPr>
              <w:pStyle w:val="Compact"/>
              <w:jc w:val="left"/>
            </w:pPr>
            <w:r>
              <w:t xml:space="preserve">0.52</w:t>
            </w:r>
          </w:p>
        </w:tc>
      </w:tr>
      <w:tr>
        <w:tc>
          <w:tcPr/>
          <w:p>
            <w:pPr>
              <w:pStyle w:val="Compact"/>
              <w:jc w:val="left"/>
            </w:pPr>
            <w:r>
              <w:rPr>
                <w:bCs/>
                <w:b/>
              </w:rPr>
              <w:t xml:space="preserve">Cat 3:</w:t>
            </w:r>
            <w:r>
              <w:t xml:space="preserve"> </w:t>
            </w:r>
            <w:r>
              <w:t xml:space="preserve">Fuel &amp; Energy WTT + T&amp;D Losses</w:t>
            </w:r>
          </w:p>
        </w:tc>
        <w:tc>
          <w:tcPr/>
          <w:p>
            <w:pPr>
              <w:pStyle w:val="Compact"/>
              <w:jc w:val="left"/>
            </w:pPr>
            <w:r>
              <w:t xml:space="preserve">42.50</w:t>
            </w:r>
          </w:p>
        </w:tc>
        <w:tc>
          <w:tcPr/>
          <w:p>
            <w:pPr>
              <w:pStyle w:val="Compact"/>
              <w:jc w:val="left"/>
            </w:pPr>
            <w:r>
              <w:t xml:space="preserve">kWh eq</w:t>
            </w:r>
          </w:p>
        </w:tc>
        <w:tc>
          <w:tcPr/>
          <w:p>
            <w:pPr>
              <w:pStyle w:val="Compact"/>
              <w:jc w:val="left"/>
            </w:pPr>
            <w:r>
              <w:t xml:space="preserve">0.1138 kg CO₂e/kWh</w:t>
            </w:r>
          </w:p>
        </w:tc>
        <w:tc>
          <w:tcPr/>
          <w:p>
            <w:pPr>
              <w:pStyle w:val="Compact"/>
              <w:jc w:val="left"/>
            </w:pPr>
            <w:r>
              <w:t xml:space="preserve">DEFRA 2025/2026 Netherlands Grid</w:t>
            </w:r>
          </w:p>
        </w:tc>
        <w:tc>
          <w:tcPr/>
          <w:p>
            <w:pPr>
              <w:pStyle w:val="Compact"/>
              <w:jc w:val="left"/>
            </w:pPr>
            <w:r>
              <w:t xml:space="preserve">4.84</w:t>
            </w:r>
          </w:p>
        </w:tc>
      </w:tr>
      <w:tr>
        <w:tc>
          <w:tcPr/>
          <w:p>
            <w:pPr>
              <w:pStyle w:val="Compact"/>
              <w:jc w:val="left"/>
            </w:pPr>
            <w:r>
              <w:rPr>
                <w:bCs/>
                <w:b/>
              </w:rPr>
              <w:t xml:space="preserve">Cat 4:</w:t>
            </w:r>
            <w:r>
              <w:t xml:space="preserve"> </w:t>
            </w:r>
            <w:r>
              <w:t xml:space="preserve">Inbound Supplier Freight (Cross-Europe)</w:t>
            </w:r>
          </w:p>
        </w:tc>
        <w:tc>
          <w:tcPr/>
          <w:p>
            <w:pPr>
              <w:pStyle w:val="Compact"/>
              <w:jc w:val="left"/>
            </w:pPr>
            <w:r>
              <w:t xml:space="preserve">118.50</w:t>
            </w:r>
          </w:p>
        </w:tc>
        <w:tc>
          <w:tcPr/>
          <w:p>
            <w:pPr>
              <w:pStyle w:val="Compact"/>
              <w:jc w:val="left"/>
            </w:pPr>
            <w:r>
              <w:t xml:space="preserve">t-km</w:t>
            </w:r>
          </w:p>
        </w:tc>
        <w:tc>
          <w:tcPr/>
          <w:p>
            <w:pPr>
              <w:pStyle w:val="Compact"/>
              <w:jc w:val="left"/>
            </w:pPr>
            <w:r>
              <w:t xml:space="preserve">0.0983 kg CO₂e/t-km</w:t>
            </w:r>
          </w:p>
        </w:tc>
        <w:tc>
          <w:tcPr/>
          <w:p>
            <w:pPr>
              <w:pStyle w:val="Compact"/>
              <w:jc w:val="left"/>
            </w:pPr>
            <w:r>
              <w:t xml:space="preserve">GLEC Framework v3.0 / EcoTransIT</w:t>
            </w:r>
          </w:p>
        </w:tc>
        <w:tc>
          <w:tcPr/>
          <w:p>
            <w:pPr>
              <w:pStyle w:val="Compact"/>
              <w:jc w:val="left"/>
            </w:pPr>
            <w:r>
              <w:t xml:space="preserve">11.65</w:t>
            </w:r>
          </w:p>
        </w:tc>
      </w:tr>
      <w:tr>
        <w:tc>
          <w:tcPr/>
          <w:p>
            <w:pPr>
              <w:pStyle w:val="Compact"/>
              <w:jc w:val="left"/>
            </w:pPr>
            <w:r>
              <w:rPr>
                <w:bCs/>
                <w:b/>
              </w:rPr>
              <w:t xml:space="preserve">Cat 5:</w:t>
            </w:r>
            <w:r>
              <w:t xml:space="preserve"> </w:t>
            </w:r>
            <w:r>
              <w:t xml:space="preserve">Factory Gate Waste &amp; Scrap Recovery</w:t>
            </w:r>
          </w:p>
        </w:tc>
        <w:tc>
          <w:tcPr/>
          <w:p>
            <w:pPr>
              <w:pStyle w:val="Compact"/>
              <w:jc w:val="left"/>
            </w:pPr>
            <w:r>
              <w:t xml:space="preserve">4.10</w:t>
            </w:r>
          </w:p>
        </w:tc>
        <w:tc>
          <w:tcPr/>
          <w:p>
            <w:pPr>
              <w:pStyle w:val="Compact"/>
              <w:jc w:val="left"/>
            </w:pPr>
            <w:r>
              <w:t xml:space="preserve">kg</w:t>
            </w:r>
          </w:p>
        </w:tc>
        <w:tc>
          <w:tcPr/>
          <w:p>
            <w:pPr>
              <w:pStyle w:val="Compact"/>
              <w:jc w:val="left"/>
            </w:pPr>
            <w:r>
              <w:t xml:space="preserve">0.4512 kg CO₂e/kg</w:t>
            </w:r>
          </w:p>
        </w:tc>
        <w:tc>
          <w:tcPr/>
          <w:p>
            <w:pPr>
              <w:pStyle w:val="Compact"/>
              <w:jc w:val="left"/>
            </w:pPr>
            <w:r>
              <w:t xml:space="preserve">NL Afvalverwerking Standards</w:t>
            </w:r>
          </w:p>
        </w:tc>
        <w:tc>
          <w:tcPr/>
          <w:p>
            <w:pPr>
              <w:pStyle w:val="Compact"/>
              <w:jc w:val="left"/>
            </w:pPr>
            <w:r>
              <w:t xml:space="preserve">1.85</w:t>
            </w:r>
          </w:p>
        </w:tc>
      </w:tr>
      <w:tr>
        <w:tc>
          <w:tcPr>
            <w:gridSpan w:val="5"/>
          </w:tcPr>
          <w:p>
            <w:pPr>
              <w:pStyle w:val="Compact"/>
              <w:jc w:val="left"/>
            </w:pPr>
            <w:r>
              <w:t xml:space="preserve">Subtotal Scope 3 Emissions</w:t>
            </w:r>
          </w:p>
        </w:tc>
        <w:tc>
          <w:tcPr/>
          <w:p>
            <w:pPr>
              <w:pStyle w:val="Compact"/>
              <w:jc w:val="left"/>
            </w:pPr>
            <w:r>
              <w:t xml:space="preserve">227.46</w:t>
            </w:r>
          </w:p>
        </w:tc>
      </w:tr>
    </w:tbl>
    <w:p>
      <w:r>
        <w:pict>
          <v:rect style="width:0;height:1.5pt" o:hralign="center" o:hrstd="t" o:hr="t"/>
        </w:pict>
      </w:r>
    </w:p>
    <w:bookmarkEnd w:id="30"/>
    <w:bookmarkEnd w:id="31"/>
    <w:bookmarkStart w:id="34" w:name="Xe23dc7b0c4a14e3c7915a0bbec8cff629db0c1a"/>
    <w:p>
      <w:pPr>
        <w:pStyle w:val="Heading2"/>
      </w:pPr>
      <w:r>
        <w:t xml:space="preserve">5. Carbon Hotspot Analysis &amp; 95% Scope 3 Completeness</w:t>
      </w:r>
    </w:p>
    <w:bookmarkStart w:id="32" w:name="emission-hotspot-breakdown"/>
    <w:p>
      <w:pPr>
        <w:pStyle w:val="Heading3"/>
      </w:pPr>
      <w:r>
        <w:t xml:space="preserve">Emission Hotspot Breakdown</w:t>
      </w:r>
    </w:p>
    <w:p>
      <w:pPr>
        <w:pStyle w:val="FirstParagraph"/>
      </w:pPr>
      <w:r>
        <w:t xml:space="preserve">The hotspot evaluation demonstrates that upstream Tier-1 and Tier-2 raw material extraction and metallurgical processing constitute</w:t>
      </w:r>
      <w:r>
        <w:t xml:space="preserve"> </w:t>
      </w:r>
      <w:r>
        <w:rPr>
          <w:bCs/>
          <w:b/>
        </w:rPr>
        <w:t xml:space="preserve">84.0%</w:t>
      </w:r>
      <w:r>
        <w:t xml:space="preserve"> </w:t>
      </w:r>
      <w:r>
        <w:t xml:space="preserve">of the product\'s entire cradle-to-gate environmental burden.</w:t>
      </w:r>
    </w:p>
    <w:p>
      <w:pPr>
        <w:numPr>
          <w:ilvl w:val="0"/>
          <w:numId w:val="1003"/>
        </w:numPr>
        <w:pStyle w:val="Compact"/>
      </w:pPr>
      <w:r>
        <w:rPr>
          <w:bCs/>
          <w:b/>
        </w:rPr>
        <w:t xml:space="preserve">Electrical Steel Laminations (35.6% of Total Footprint):</w:t>
      </w:r>
      <w:r>
        <w:t xml:space="preserve"> </w:t>
      </w:r>
      <w:r>
        <w:t xml:space="preserve">The high silicon electrical steel (36.20 kg) generates 88.69 kg CO₂e due to blast furnace iron-making and rolling processes. Moving to Green Steel (EAF route utilizing direct reduced iron with hydrogen) presents the largest single reduction potential.</w:t>
      </w:r>
    </w:p>
    <w:p>
      <w:pPr>
        <w:numPr>
          <w:ilvl w:val="0"/>
          <w:numId w:val="1003"/>
        </w:numPr>
        <w:pStyle w:val="Compact"/>
      </w:pPr>
      <w:r>
        <w:rPr>
          <w:bCs/>
          <w:b/>
        </w:rPr>
        <w:t xml:space="preserve">Cast Aluminum Components (22.3% of Total Footprint):</w:t>
      </w:r>
      <w:r>
        <w:t xml:space="preserve"> </w:t>
      </w:r>
      <w:r>
        <w:t xml:space="preserve">Smelting and casting the rotor cage and exterior stator frame contribute 55.54 kg CO₂e. The currently utilized 45% post-industrial recycled blend saves an estimated 32.4 kg CO₂e compared to 100% primary aluminium.</w:t>
      </w:r>
    </w:p>
    <w:p>
      <w:pPr>
        <w:numPr>
          <w:ilvl w:val="0"/>
          <w:numId w:val="1003"/>
        </w:numPr>
        <w:pStyle w:val="Compact"/>
      </w:pPr>
      <w:r>
        <w:rPr>
          <w:bCs/>
          <w:b/>
        </w:rPr>
        <w:t xml:space="preserve">Electrolytic Winding Copper (21.4% of Total Footprint):</w:t>
      </w:r>
      <w:r>
        <w:t xml:space="preserve"> </w:t>
      </w:r>
      <w:r>
        <w:t xml:space="preserve">High-purity copper refining and enameling contribute 53.35 kg CO₂e despite representing only 13.5% of total product mass, reflecting copper\'s elevated embodied energy factor (4.68 kg CO₂e/kg).</w:t>
      </w:r>
    </w:p>
    <w:p>
      <w:pPr>
        <w:numPr>
          <w:ilvl w:val="0"/>
          <w:numId w:val="1003"/>
        </w:numPr>
        <w:pStyle w:val="Compact"/>
      </w:pPr>
      <w:r>
        <w:rPr>
          <w:bCs/>
          <w:b/>
        </w:rPr>
        <w:t xml:space="preserve">Facility Electricity Consumption (6.7% of Total Footprint):</w:t>
      </w:r>
      <w:r>
        <w:t xml:space="preserve"> </w:t>
      </w:r>
      <w:r>
        <w:t xml:space="preserve">Assembly automation, stator vacuum pressure impregnation (VPI), and dynamometer testing contribute 16.68 kg CO₂e under the Dutch residual grid mix.</w:t>
      </w:r>
    </w:p>
    <w:p>
      <w:pPr>
        <w:numPr>
          <w:ilvl w:val="0"/>
          <w:numId w:val="1003"/>
        </w:numPr>
        <w:pStyle w:val="Compact"/>
      </w:pPr>
      <w:r>
        <w:rPr>
          <w:bCs/>
          <w:b/>
        </w:rPr>
        <w:t xml:space="preserve">European Inbound Logistics (4.7% of Total Footprint):</w:t>
      </w:r>
      <w:r>
        <w:t xml:space="preserve"> </w:t>
      </w:r>
      <w:r>
        <w:t xml:space="preserve">Cross-border heavy-duty trucking from Italy and Germany represents 11.65 kg CO₂e.</w:t>
      </w:r>
    </w:p>
    <w:bookmarkEnd w:id="32"/>
    <w:bookmarkStart w:id="33" w:name="X010b52696504b51b4d0c53c4c3b2c973974d720"/>
    <w:p>
      <w:pPr>
        <w:pStyle w:val="Heading3"/>
      </w:pPr>
      <w:r>
        <w:t xml:space="preserve">Data Quality &amp; Completeness Audit (Scope 3 Compliance)</w:t>
      </w:r>
    </w:p>
    <w:p>
      <w:pPr>
        <w:pStyle w:val="FirstParagraph"/>
      </w:pPr>
      <w:r>
        <w:t xml:space="preserve">Per the 2026 GHG Protocol Scope 3 Guidance, industrial product carbon footprints must achieve at least 95% data completeness across upstream operations.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Completeness Metric</w:t>
            </w:r>
          </w:p>
        </w:tc>
        <w:tc>
          <w:tcPr/>
          <w:p>
            <w:pPr>
              <w:pStyle w:val="Compact"/>
              <w:jc w:val="left"/>
            </w:pPr>
            <w:r>
              <w:t xml:space="preserve">Target Threshold</w:t>
            </w:r>
          </w:p>
        </w:tc>
        <w:tc>
          <w:tcPr/>
          <w:p>
            <w:pPr>
              <w:pStyle w:val="Compact"/>
              <w:jc w:val="left"/>
            </w:pPr>
            <w:r>
              <w:t xml:space="preserve">Achieved Level</w:t>
            </w:r>
          </w:p>
        </w:tc>
        <w:tc>
          <w:tcPr/>
          <w:p>
            <w:pPr>
              <w:pStyle w:val="Compact"/>
              <w:jc w:val="left"/>
            </w:pPr>
            <w:r>
              <w:t xml:space="preserve">Status</w:t>
            </w:r>
          </w:p>
        </w:tc>
      </w:tr>
      <w:tr>
        <w:tc>
          <w:tcPr/>
          <w:p>
            <w:pPr>
              <w:pStyle w:val="Compact"/>
              <w:jc w:val="left"/>
            </w:pPr>
            <w:r>
              <w:t xml:space="preserve">Bill of Materials (BOM) Mass Accounted</w:t>
            </w:r>
          </w:p>
        </w:tc>
        <w:tc>
          <w:tcPr/>
          <w:p>
            <w:pPr>
              <w:pStyle w:val="Compact"/>
              <w:jc w:val="left"/>
            </w:pPr>
            <w:r>
              <w:t xml:space="preserve">&gt; 95.0%</w:t>
            </w:r>
          </w:p>
        </w:tc>
        <w:tc>
          <w:tcPr/>
          <w:p>
            <w:pPr>
              <w:pStyle w:val="Compact"/>
              <w:jc w:val="left"/>
            </w:pPr>
            <w:r>
              <w:rPr>
                <w:bCs/>
                <w:b/>
              </w:rPr>
              <w:t xml:space="preserve">99.1%</w:t>
            </w:r>
          </w:p>
        </w:tc>
        <w:tc>
          <w:tcPr/>
          <w:p>
            <w:pPr>
              <w:pStyle w:val="Compact"/>
              <w:jc w:val="left"/>
            </w:pPr>
            <w:r>
              <w:t xml:space="preserve">Compliant (0.9% cut-off: thread sealants, labels)</w:t>
            </w:r>
          </w:p>
        </w:tc>
      </w:tr>
      <w:tr>
        <w:tc>
          <w:tcPr/>
          <w:p>
            <w:pPr>
              <w:pStyle w:val="Compact"/>
              <w:jc w:val="left"/>
            </w:pPr>
            <w:r>
              <w:t xml:space="preserve">Scope 3 Category Coverage</w:t>
            </w:r>
          </w:p>
        </w:tc>
        <w:tc>
          <w:tcPr/>
          <w:p>
            <w:pPr>
              <w:pStyle w:val="Compact"/>
              <w:jc w:val="left"/>
            </w:pPr>
            <w:r>
              <w:t xml:space="preserve">&gt; 95.0%</w:t>
            </w:r>
          </w:p>
        </w:tc>
        <w:tc>
          <w:tcPr/>
          <w:p>
            <w:pPr>
              <w:pStyle w:val="Compact"/>
              <w:jc w:val="left"/>
            </w:pPr>
            <w:r>
              <w:rPr>
                <w:bCs/>
                <w:b/>
              </w:rPr>
              <w:t xml:space="preserve">98.4%</w:t>
            </w:r>
          </w:p>
        </w:tc>
        <w:tc>
          <w:tcPr/>
          <w:p>
            <w:pPr>
              <w:pStyle w:val="Compact"/>
              <w:jc w:val="left"/>
            </w:pPr>
            <w:r>
              <w:t xml:space="preserve">Compliant (Audited via primary EPDs &amp; Ecoinvent)</w:t>
            </w:r>
          </w:p>
        </w:tc>
      </w:tr>
      <w:tr>
        <w:tc>
          <w:tcPr/>
          <w:p>
            <w:pPr>
              <w:pStyle w:val="Compact"/>
              <w:jc w:val="left"/>
            </w:pPr>
            <w:r>
              <w:t xml:space="preserve">Primary Operational Data Ratio</w:t>
            </w:r>
          </w:p>
        </w:tc>
        <w:tc>
          <w:tcPr/>
          <w:p>
            <w:pPr>
              <w:pStyle w:val="Compact"/>
              <w:jc w:val="left"/>
            </w:pPr>
            <w:r>
              <w:t xml:space="preserve">&gt; 50.0%</w:t>
            </w:r>
          </w:p>
        </w:tc>
        <w:tc>
          <w:tcPr/>
          <w:p>
            <w:pPr>
              <w:pStyle w:val="Compact"/>
              <w:jc w:val="left"/>
            </w:pPr>
            <w:r>
              <w:rPr>
                <w:bCs/>
                <w:b/>
              </w:rPr>
              <w:t xml:space="preserve">74.2%</w:t>
            </w:r>
          </w:p>
        </w:tc>
        <w:tc>
          <w:tcPr/>
          <w:p>
            <w:pPr>
              <w:pStyle w:val="Compact"/>
              <w:jc w:val="left"/>
            </w:pPr>
            <w:r>
              <w:t xml:space="preserve">Compliant (Facility energy, weights, tier-1 suppliers)</w:t>
            </w:r>
          </w:p>
        </w:tc>
      </w:tr>
      <w:tr>
        <w:tc>
          <w:tcPr/>
          <w:p>
            <w:pPr>
              <w:pStyle w:val="Compact"/>
              <w:jc w:val="left"/>
            </w:pPr>
            <w:r>
              <w:t xml:space="preserve">Temporal Representativeness</w:t>
            </w:r>
          </w:p>
        </w:tc>
        <w:tc>
          <w:tcPr/>
          <w:p>
            <w:pPr>
              <w:pStyle w:val="Compact"/>
              <w:jc w:val="left"/>
            </w:pPr>
            <w:r>
              <w:t xml:space="preserve">&lt; 3 Years</w:t>
            </w:r>
          </w:p>
        </w:tc>
        <w:tc>
          <w:tcPr/>
          <w:p>
            <w:pPr>
              <w:pStyle w:val="Compact"/>
              <w:jc w:val="left"/>
            </w:pPr>
            <w:r>
              <w:rPr>
                <w:bCs/>
                <w:b/>
              </w:rPr>
              <w:t xml:space="preserve">2024–2026</w:t>
            </w:r>
          </w:p>
        </w:tc>
        <w:tc>
          <w:tcPr/>
          <w:p>
            <w:pPr>
              <w:pStyle w:val="Compact"/>
              <w:jc w:val="left"/>
            </w:pPr>
            <w:r>
              <w:t xml:space="preserve">Compliant (Current operational cycle)</w:t>
            </w:r>
          </w:p>
        </w:tc>
      </w:tr>
      <w:tr>
        <w:tc>
          <w:tcPr/>
          <w:p>
            <w:pPr>
              <w:pStyle w:val="Compact"/>
              <w:jc w:val="left"/>
            </w:pPr>
            <w:r>
              <w:t xml:space="preserve">Geographical Specificity</w:t>
            </w:r>
          </w:p>
        </w:tc>
        <w:tc>
          <w:tcPr/>
          <w:p>
            <w:pPr>
              <w:pStyle w:val="Compact"/>
              <w:jc w:val="left"/>
            </w:pPr>
            <w:r>
              <w:t xml:space="preserve">Specific to Country/Region</w:t>
            </w:r>
          </w:p>
        </w:tc>
        <w:tc>
          <w:tcPr/>
          <w:p>
            <w:pPr>
              <w:pStyle w:val="Compact"/>
              <w:jc w:val="left"/>
            </w:pPr>
            <w:r>
              <w:rPr>
                <w:bCs/>
                <w:b/>
              </w:rPr>
              <w:t xml:space="preserve">100.0%</w:t>
            </w:r>
          </w:p>
        </w:tc>
        <w:tc>
          <w:tcPr/>
          <w:p>
            <w:pPr>
              <w:pStyle w:val="Compact"/>
              <w:jc w:val="left"/>
            </w:pPr>
            <w:r>
              <w:t xml:space="preserve">Compliant (NL electricity, EU-27 transport routes)</w:t>
            </w:r>
          </w:p>
        </w:tc>
      </w:tr>
    </w:tbl>
    <w:p>
      <w:r>
        <w:pict>
          <v:rect style="width:0;height:1.5pt" o:hralign="center" o:hrstd="t" o:hr="t"/>
        </w:pict>
      </w:r>
    </w:p>
    <w:bookmarkEnd w:id="33"/>
    <w:bookmarkEnd w:id="34"/>
    <w:bookmarkStart w:id="35" w:name="X42df9a90e66596b5de560ddb8a6f47ce2989522"/>
    <w:p>
      <w:pPr>
        <w:pStyle w:val="Heading2"/>
      </w:pPr>
      <w:r>
        <w:t xml:space="preserve">6. Decarbonization Roadmap &amp; Consultant Recommendations</w:t>
      </w:r>
    </w:p>
    <w:p>
      <w:pPr>
        <w:pStyle w:val="FirstParagraph"/>
      </w:pPr>
      <w:r>
        <w:t xml:space="preserve">To accelerate decarbonization aligned with the EU Corporate Sustainability Due Diligence Directive (CSDDD) and Net-Zero 2030 targets, the following technical interventions are recommended for the Eindhoven manufacturing site: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Intervention Strategy</w:t>
            </w:r>
          </w:p>
        </w:tc>
        <w:tc>
          <w:tcPr/>
          <w:p>
            <w:pPr>
              <w:pStyle w:val="Compact"/>
              <w:jc w:val="left"/>
            </w:pPr>
            <w:r>
              <w:t xml:space="preserve">GHG Scope Impacted</w:t>
            </w:r>
          </w:p>
        </w:tc>
        <w:tc>
          <w:tcPr/>
          <w:p>
            <w:pPr>
              <w:pStyle w:val="Compact"/>
              <w:jc w:val="left"/>
            </w:pPr>
            <w:r>
              <w:t xml:space="preserve">Implementation Complexity</w:t>
            </w:r>
          </w:p>
        </w:tc>
        <w:tc>
          <w:tcPr/>
          <w:p>
            <w:pPr>
              <w:pStyle w:val="Compact"/>
              <w:jc w:val="left"/>
            </w:pPr>
            <w:r>
              <w:t xml:space="preserve">Abatement Potential (kg CO₂e)</w:t>
            </w:r>
          </w:p>
        </w:tc>
        <w:tc>
          <w:tcPr/>
          <w:p>
            <w:pPr>
              <w:pStyle w:val="Compact"/>
              <w:jc w:val="left"/>
            </w:pPr>
            <w:r>
              <w:t xml:space="preserve">Footprint Reduction (%)</w:t>
            </w:r>
          </w:p>
        </w:tc>
      </w:tr>
      <w:tr>
        <w:tc>
          <w:tcPr/>
          <w:p>
            <w:pPr>
              <w:pStyle w:val="Compact"/>
              <w:jc w:val="left"/>
            </w:pPr>
            <w:r>
              <w:rPr>
                <w:bCs/>
                <w:b/>
              </w:rPr>
              <w:t xml:space="preserve">1. High-Recycled / EAF Electrical Steel:</w:t>
            </w:r>
            <w:r>
              <w:t xml:space="preserve"> </w:t>
            </w:r>
            <w:r>
              <w:t xml:space="preserve">Procure laminations manufactured using scrap-fed electric arc furnace steel powered by Scandinavian renewables.</w:t>
            </w:r>
          </w:p>
        </w:tc>
        <w:tc>
          <w:tcPr/>
          <w:p>
            <w:pPr>
              <w:pStyle w:val="Compact"/>
              <w:jc w:val="left"/>
            </w:pPr>
            <w:r>
              <w:t xml:space="preserve">Scope 3 (Cat 1)</w:t>
            </w:r>
          </w:p>
        </w:tc>
        <w:tc>
          <w:tcPr/>
          <w:p>
            <w:pPr>
              <w:pStyle w:val="Compact"/>
              <w:jc w:val="left"/>
            </w:pPr>
            <w:r>
              <w:t xml:space="preserve">Medium (Requires magnetic permeability qualification)</w:t>
            </w:r>
          </w:p>
        </w:tc>
        <w:tc>
          <w:tcPr/>
          <w:p>
            <w:pPr>
              <w:pStyle w:val="Compact"/>
              <w:jc w:val="left"/>
            </w:pPr>
            <w:r>
              <w:t xml:space="preserve">-35.50</w:t>
            </w:r>
          </w:p>
        </w:tc>
        <w:tc>
          <w:tcPr/>
          <w:p>
            <w:pPr>
              <w:pStyle w:val="Compact"/>
              <w:jc w:val="left"/>
            </w:pPr>
            <w:r>
              <w:t xml:space="preserve">-14.26%</w:t>
            </w:r>
          </w:p>
        </w:tc>
      </w:tr>
      <w:tr>
        <w:tc>
          <w:tcPr/>
          <w:p>
            <w:pPr>
              <w:pStyle w:val="Compact"/>
              <w:jc w:val="left"/>
            </w:pPr>
            <w:r>
              <w:rPr>
                <w:bCs/>
                <w:b/>
              </w:rPr>
              <w:t xml:space="preserve">2. On-Site Rooftop Solar PV &amp; Green PPA:</w:t>
            </w:r>
            <w:r>
              <w:t xml:space="preserve"> </w:t>
            </w:r>
            <w:r>
              <w:t xml:space="preserve">Install a 250 kWp solar PV array on the Eindhoven facility roof and contract certified Dutch Guarantees of Origin (GoOs).</w:t>
            </w:r>
          </w:p>
        </w:tc>
        <w:tc>
          <w:tcPr/>
          <w:p>
            <w:pPr>
              <w:pStyle w:val="Compact"/>
              <w:jc w:val="left"/>
            </w:pPr>
            <w:r>
              <w:t xml:space="preserve">Scope 2 (Market-based)</w:t>
            </w:r>
          </w:p>
        </w:tc>
        <w:tc>
          <w:tcPr/>
          <w:p>
            <w:pPr>
              <w:pStyle w:val="Compact"/>
              <w:jc w:val="left"/>
            </w:pPr>
            <w:r>
              <w:t xml:space="preserve">Low (Commercial contract &amp; 6-month install)</w:t>
            </w:r>
          </w:p>
        </w:tc>
        <w:tc>
          <w:tcPr/>
          <w:p>
            <w:pPr>
              <w:pStyle w:val="Compact"/>
              <w:jc w:val="left"/>
            </w:pPr>
            <w:r>
              <w:t xml:space="preserve">-15.10</w:t>
            </w:r>
          </w:p>
        </w:tc>
        <w:tc>
          <w:tcPr/>
          <w:p>
            <w:pPr>
              <w:pStyle w:val="Compact"/>
              <w:jc w:val="left"/>
            </w:pPr>
            <w:r>
              <w:t xml:space="preserve">-6.07%</w:t>
            </w:r>
          </w:p>
        </w:tc>
      </w:tr>
      <w:tr>
        <w:tc>
          <w:tcPr/>
          <w:p>
            <w:pPr>
              <w:pStyle w:val="Compact"/>
              <w:jc w:val="left"/>
            </w:pPr>
            <w:r>
              <w:rPr>
                <w:bCs/>
                <w:b/>
              </w:rPr>
              <w:t xml:space="preserve">3. 80% Recycled Secondary Aluminum:</w:t>
            </w:r>
            <w:r>
              <w:t xml:space="preserve"> </w:t>
            </w:r>
            <w:r>
              <w:t xml:space="preserve">Increase secondary alloy content for the motor frame from 45% to 80% via certified Italian foundry supply chains.</w:t>
            </w:r>
          </w:p>
        </w:tc>
        <w:tc>
          <w:tcPr/>
          <w:p>
            <w:pPr>
              <w:pStyle w:val="Compact"/>
              <w:jc w:val="left"/>
            </w:pPr>
            <w:r>
              <w:t xml:space="preserve">Scope 3 (Cat 1)</w:t>
            </w:r>
          </w:p>
        </w:tc>
        <w:tc>
          <w:tcPr/>
          <w:p>
            <w:pPr>
              <w:pStyle w:val="Compact"/>
              <w:jc w:val="left"/>
            </w:pPr>
            <w:r>
              <w:t xml:space="preserve">Low (Drop-in alloy replacement)</w:t>
            </w:r>
          </w:p>
        </w:tc>
        <w:tc>
          <w:tcPr/>
          <w:p>
            <w:pPr>
              <w:pStyle w:val="Compact"/>
              <w:jc w:val="left"/>
            </w:pPr>
            <w:r>
              <w:t xml:space="preserve">-18.20</w:t>
            </w:r>
          </w:p>
        </w:tc>
        <w:tc>
          <w:tcPr/>
          <w:p>
            <w:pPr>
              <w:pStyle w:val="Compact"/>
              <w:jc w:val="left"/>
            </w:pPr>
            <w:r>
              <w:t xml:space="preserve">-7.31%</w:t>
            </w:r>
          </w:p>
        </w:tc>
      </w:tr>
      <w:tr>
        <w:tc>
          <w:tcPr/>
          <w:p>
            <w:pPr>
              <w:pStyle w:val="Compact"/>
              <w:jc w:val="left"/>
            </w:pPr>
            <w:r>
              <w:rPr>
                <w:bCs/>
                <w:b/>
              </w:rPr>
              <w:t xml:space="preserve">4. Inbound Rail Intermodal Logistics:</w:t>
            </w:r>
            <w:r>
              <w:t xml:space="preserve"> </w:t>
            </w:r>
            <w:r>
              <w:t xml:space="preserve">Shift component transport corridors from northern Italy and southern Germany from highway trucks to electric rail corridors.</w:t>
            </w:r>
          </w:p>
        </w:tc>
        <w:tc>
          <w:tcPr/>
          <w:p>
            <w:pPr>
              <w:pStyle w:val="Compact"/>
              <w:jc w:val="left"/>
            </w:pPr>
            <w:r>
              <w:t xml:space="preserve">Scope 3 (Cat 4)</w:t>
            </w:r>
          </w:p>
        </w:tc>
        <w:tc>
          <w:tcPr/>
          <w:p>
            <w:pPr>
              <w:pStyle w:val="Compact"/>
              <w:jc w:val="left"/>
            </w:pPr>
            <w:r>
              <w:t xml:space="preserve">Medium (Logistics partner optimization)</w:t>
            </w:r>
          </w:p>
        </w:tc>
        <w:tc>
          <w:tcPr/>
          <w:p>
            <w:pPr>
              <w:pStyle w:val="Compact"/>
              <w:jc w:val="left"/>
            </w:pPr>
            <w:r>
              <w:t xml:space="preserve">-7.40</w:t>
            </w:r>
          </w:p>
        </w:tc>
        <w:tc>
          <w:tcPr/>
          <w:p>
            <w:pPr>
              <w:pStyle w:val="Compact"/>
              <w:jc w:val="left"/>
            </w:pPr>
            <w:r>
              <w:t xml:space="preserve">-2.97%</w:t>
            </w:r>
          </w:p>
        </w:tc>
      </w:tr>
      <w:tr>
        <w:tc>
          <w:tcPr/>
          <w:p>
            <w:pPr>
              <w:pStyle w:val="Compact"/>
              <w:jc w:val="left"/>
            </w:pPr>
            <w:r>
              <w:rPr>
                <w:bCs/>
                <w:b/>
              </w:rPr>
              <w:t xml:space="preserve">5. Electric Heat Pumps for Curing &amp; HVAC:</w:t>
            </w:r>
            <w:r>
              <w:t xml:space="preserve"> </w:t>
            </w:r>
            <w:r>
              <w:t xml:space="preserve">Replace fossil natural gas ovens with high-temperature industrial electric infrared curing and heat pumps.</w:t>
            </w:r>
          </w:p>
        </w:tc>
        <w:tc>
          <w:tcPr/>
          <w:p>
            <w:pPr>
              <w:pStyle w:val="Compact"/>
              <w:jc w:val="left"/>
            </w:pPr>
            <w:r>
              <w:t xml:space="preserve">Scope 1</w:t>
            </w:r>
          </w:p>
        </w:tc>
        <w:tc>
          <w:tcPr/>
          <w:p>
            <w:pPr>
              <w:pStyle w:val="Compact"/>
              <w:jc w:val="left"/>
            </w:pPr>
            <w:r>
              <w:t xml:space="preserve">High (Capital equipment overhaul)</w:t>
            </w:r>
          </w:p>
        </w:tc>
        <w:tc>
          <w:tcPr/>
          <w:p>
            <w:pPr>
              <w:pStyle w:val="Compact"/>
              <w:jc w:val="left"/>
            </w:pPr>
            <w:r>
              <w:t xml:space="preserve">-4.10</w:t>
            </w:r>
          </w:p>
        </w:tc>
        <w:tc>
          <w:tcPr/>
          <w:p>
            <w:pPr>
              <w:pStyle w:val="Compact"/>
              <w:jc w:val="left"/>
            </w:pPr>
            <w:r>
              <w:t xml:space="preserve">-1.65%</w:t>
            </w:r>
          </w:p>
        </w:tc>
      </w:tr>
      <w:tr>
        <w:tc>
          <w:tcPr>
            <w:gridSpan w:val="3"/>
          </w:tcPr>
          <w:p>
            <w:pPr>
              <w:pStyle w:val="Compact"/>
              <w:jc w:val="left"/>
            </w:pPr>
            <w:r>
              <w:t xml:space="preserve">Combined Net Abatement Potential</w:t>
            </w:r>
          </w:p>
        </w:tc>
        <w:tc>
          <w:tcPr/>
          <w:p>
            <w:pPr>
              <w:pStyle w:val="Compact"/>
              <w:jc w:val="left"/>
            </w:pPr>
            <w:r>
              <w:t xml:space="preserve">-80.30 kg CO₂e</w:t>
            </w:r>
          </w:p>
        </w:tc>
        <w:tc>
          <w:tcPr/>
          <w:p>
            <w:pPr>
              <w:pStyle w:val="Compact"/>
              <w:jc w:val="left"/>
            </w:pPr>
            <w:r>
              <w:t xml:space="preserve">-32.27%</w:t>
            </w:r>
          </w:p>
        </w:tc>
      </w:tr>
    </w:tbl>
    <w:p>
      <w:pPr>
        <w:pStyle w:val="BodyText"/>
      </w:pPr>
      <w:r>
        <w:rPr>
          <w:bCs/>
          <w:b/>
        </w:rPr>
        <w:t xml:space="preserve">Strategic Summary:</w:t>
      </w:r>
      <w:r>
        <w:t xml:space="preserve"> </w:t>
      </w:r>
      <w:r>
        <w:t xml:space="preserve">Implementing these prioritized actions will reduce the Cradle-to-Gate Product Carbon Footprint of the 11 kW motor from</w:t>
      </w:r>
      <w:r>
        <w:t xml:space="preserve"> </w:t>
      </w:r>
      <w:r>
        <w:rPr>
          <w:bCs/>
          <w:b/>
        </w:rPr>
        <w:t xml:space="preserve">248.86 kg CO₂e down to 168.56 kg CO₂e</w:t>
      </w:r>
      <w:r>
        <w:t xml:space="preserve"> </w:t>
      </w:r>
      <w:r>
        <w:t xml:space="preserve">per unit, positioning the product in the top decile of environmental performance across the European electro-mechanical equipment sector.</w:t>
      </w:r>
    </w:p>
    <w:p>
      <w:pPr>
        <w:pStyle w:val="BodyText"/>
      </w:pPr>
      <w:r>
        <w:t xml:space="preserve">Confidential - For Internal and Supply Chain Use Only</w:t>
      </w:r>
      <w:r>
        <w:t xml:space="preserve"> </w:t>
      </w:r>
      <w:r>
        <w:t xml:space="preserve">Verified by Senior Sustainability Consultant | carboncalcpcf.com</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- 11 kW Industrial Electric Motor | carboncalcpcf.com</dc:title>
  <dc:creator/>
  <dc:description>Comprehensive Product Carbon Footprint (PCF) report for an 11 kW High-Efficiency Industrial Electric Motor manufactured in the Netherlands, compliant with the GHG Protocol Product Standard and 2026 Land Sector and Removals (LSR) Guidance.</dc:description>
  <dc:language>en</dc:language>
  <cp:keywords/>
  <dcterms:created xsi:type="dcterms:W3CDTF">2026-10-21T14:15:55Z</dcterms:created>
  <dcterms:modified xsi:type="dcterms:W3CDTF">2026-10-21T14:15:55Z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