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1,4-Butanediol</w:t>
      </w:r>
      <w:r>
        <w:t xml:space="preserve"> </w:t>
      </w:r>
      <w:r>
        <w:t xml:space="preserve">(BDO)</w:t>
      </w:r>
    </w:p>
    <w:p>
      <w:pPr>
        <w:pStyle w:val="FirstParagraph"/>
      </w:pPr>
      <w:r>
        <w:t xml:space="preserve">businessanalytiq.com</w:t>
      </w:r>
    </w:p>
    <w:bookmarkStart w:id="20" w:name="Xe34ae63ce690763855cfbebd817f484d258e3b4"/>
    <w:p>
      <w:pPr>
        <w:pStyle w:val="Heading1"/>
      </w:pPr>
      <w:r>
        <w:t xml:space="preserve">Product Carbon Footprint (PCF) Assessment Report</w:t>
      </w:r>
    </w:p>
    <w:p>
      <w:pPr>
        <w:pStyle w:val="FirstParagraph"/>
      </w:pPr>
      <w:r>
        <w:t xml:space="preserve">Life Cycle Greenhouse Gas Emissions of 1,4-Butanediol (BDO) Production</w:t>
      </w:r>
    </w:p>
    <w:bookmarkEnd w:id="20"/>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Accounting Standard:</w:t>
            </w:r>
          </w:p>
        </w:tc>
        <w:tc>
          <w:tcPr/>
          <w:p>
            <w:pPr>
              <w:pStyle w:val="Compact"/>
              <w:jc w:val="left"/>
            </w:pPr>
            <w:r>
              <w:t xml:space="preserve">GHG Protocol Product Life Cycle Accounting and Reporting Standard (with 2026 Land Sector and Removals / Scope 3 Compliance)</w:t>
            </w:r>
          </w:p>
        </w:tc>
      </w:tr>
      <w:tr>
        <w:tc>
          <w:tcPr/>
          <w:p>
            <w:pPr>
              <w:pStyle w:val="Compact"/>
              <w:jc w:val="left"/>
            </w:pPr>
            <w:r>
              <w:t xml:space="preserve">Product Analyzed:</w:t>
            </w:r>
          </w:p>
        </w:tc>
        <w:tc>
          <w:tcPr/>
          <w:p>
            <w:pPr>
              <w:pStyle w:val="Compact"/>
              <w:jc w:val="left"/>
            </w:pPr>
            <w:r>
              <w:t xml:space="preserve">1,4-Butanediol (BDO) [CAS No. 110-63-4, High Purity Grade ≥ 99.5%]</w:t>
            </w:r>
          </w:p>
        </w:tc>
      </w:tr>
      <w:tr>
        <w:tc>
          <w:tcPr/>
          <w:p>
            <w:pPr>
              <w:pStyle w:val="Compact"/>
              <w:jc w:val="left"/>
            </w:pPr>
            <w:r>
              <w:t xml:space="preserve">Functional Unit:</w:t>
            </w:r>
          </w:p>
        </w:tc>
        <w:tc>
          <w:tcPr/>
          <w:p>
            <w:pPr>
              <w:pStyle w:val="Compact"/>
              <w:jc w:val="left"/>
            </w:pPr>
            <w:r>
              <w:t xml:space="preserve">1.0 metric ton (1,000 kg) net packed at factory gate</w:t>
            </w:r>
          </w:p>
        </w:tc>
      </w:tr>
      <w:tr>
        <w:tc>
          <w:tcPr/>
          <w:p>
            <w:pPr>
              <w:pStyle w:val="Compact"/>
              <w:jc w:val="left"/>
            </w:pPr>
            <w:r>
              <w:t xml:space="preserve">System Boundary:</w:t>
            </w:r>
          </w:p>
        </w:tc>
        <w:tc>
          <w:tcPr/>
          <w:p>
            <w:pPr>
              <w:pStyle w:val="Compact"/>
              <w:jc w:val="left"/>
            </w:pPr>
            <w:r>
              <w:t xml:space="preserve">Cradle-to-Factory Gate (factory_gate)</w:t>
            </w:r>
          </w:p>
        </w:tc>
      </w:tr>
      <w:tr>
        <w:tc>
          <w:tcPr/>
          <w:p>
            <w:pPr>
              <w:pStyle w:val="Compact"/>
              <w:jc w:val="left"/>
            </w:pPr>
            <w:r>
              <w:t xml:space="preserve">Geographic Scope:</w:t>
            </w:r>
          </w:p>
        </w:tc>
        <w:tc>
          <w:tcPr/>
          <w:p>
            <w:pPr>
              <w:pStyle w:val="Compact"/>
              <w:jc w:val="left"/>
            </w:pPr>
            <w:r>
              <w:t xml:space="preserve">Final Synthesis: Belgium | Supply Chain Focus: Asia Focused</w:t>
            </w:r>
          </w:p>
        </w:tc>
      </w:tr>
      <w:tr>
        <w:tc>
          <w:tcPr/>
          <w:p>
            <w:pPr>
              <w:pStyle w:val="Compact"/>
              <w:jc w:val="left"/>
            </w:pPr>
            <w:r>
              <w:t xml:space="preserve">Key Logistics Parameter:</w:t>
            </w:r>
          </w:p>
        </w:tc>
        <w:tc>
          <w:tcPr/>
          <w:p>
            <w:pPr>
              <w:pStyle w:val="Compact"/>
              <w:jc w:val="left"/>
            </w:pPr>
            <w:r>
              <w:t xml:space="preserve">Rail Freight (Inbound Intermediate Precursors): 555 km</w:t>
            </w:r>
          </w:p>
        </w:tc>
      </w:tr>
      <w:tr>
        <w:tc>
          <w:tcPr/>
          <w:p>
            <w:pPr>
              <w:pStyle w:val="Compact"/>
              <w:jc w:val="left"/>
            </w:pPr>
            <w:r>
              <w:t xml:space="preserve">Report Date:</w:t>
            </w:r>
          </w:p>
        </w:tc>
        <w:tc>
          <w:tcPr/>
          <w:p>
            <w:pPr>
              <w:pStyle w:val="Compact"/>
              <w:jc w:val="left"/>
            </w:pPr>
            <w:r>
              <w:t xml:space="preserve">October 2026</w:t>
            </w:r>
          </w:p>
        </w:tc>
      </w:tr>
      <w:tr>
        <w:tc>
          <w:tcPr/>
          <w:p>
            <w:pPr>
              <w:pStyle w:val="Compact"/>
              <w:jc w:val="left"/>
            </w:pPr>
            <w:r>
              <w:t xml:space="preserve">Lead Assessor:</w:t>
            </w:r>
          </w:p>
        </w:tc>
        <w:tc>
          <w:tcPr/>
          <w:p>
            <w:pPr>
              <w:pStyle w:val="Compact"/>
              <w:jc w:val="left"/>
            </w:pPr>
            <w:r>
              <w:t xml:space="preserve">Senior Sustainability &amp; GHG Protocol Lead Consultant</w:t>
            </w:r>
          </w:p>
        </w:tc>
      </w:tr>
    </w:tbl>
    <w:p>
      <w:pPr>
        <w:pStyle w:val="BodyText"/>
      </w:pPr>
      <w:r>
        <w:rPr>
          <w:bCs/>
          <w:b/>
        </w:rPr>
        <w:t xml:space="preserve">Disclaimer:</w:t>
      </w:r>
      <w:r>
        <w:t xml:space="preserve"> </w:t>
      </w:r>
      <w:r>
        <w:t xml:space="preserve">This Product Carbon Footprint report is generated based on verified industry emission inventory databases (Ecoinvent v3.10, DEFRA 2025/2026, PlasticsEurope, and IEA grid emission factors), primary supplier parameters, and technical chemical synthesis stoichiometric modeling. Emission estimations, data quality ratings, and uncertainty ranges have been evaluated in strict accordance with the GHG Protocol Product Standard and the 2026 Land Sector and Removals (LSR) Standard requirements.</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GHG Protocol Verified Assessment • businessanalytiq.com</w:t>
            </w:r>
          </w:p>
        </w:tc>
        <w:tc>
          <w:tcPr/>
          <w:p>
            <w:pPr>
              <w:pStyle w:val="Compact"/>
              <w:jc w:val="right"/>
            </w:pPr>
            <w:r>
              <w:t xml:space="preserve">Generated Date: October 9, 2026</w:t>
            </w:r>
          </w:p>
        </w:tc>
      </w:tr>
    </w:tbl>
    <w:bookmarkStart w:id="21" w:name="executive-summary"/>
    <w:p>
      <w:pPr>
        <w:pStyle w:val="Heading2"/>
      </w:pPr>
      <w:r>
        <w:t xml:space="preserve">Executive Summary</w:t>
      </w:r>
    </w:p>
    <w:p>
      <w:pPr>
        <w:pStyle w:val="FirstParagraph"/>
      </w:pPr>
      <w:r>
        <w:t xml:space="preserve">This report delivers a rigorous Product Carbon Footprint (PCF) evaluation for</w:t>
      </w:r>
      <w:r>
        <w:t xml:space="preserve"> </w:t>
      </w:r>
      <w:r>
        <w:rPr>
          <w:bCs/>
          <w:b/>
        </w:rPr>
        <w:t xml:space="preserve">1.0 metric ton (1,000 kg) of high-purity 1,4-Butanediol (BDO)</w:t>
      </w:r>
      <w:r>
        <w:t xml:space="preserve"> </w:t>
      </w:r>
      <w:r>
        <w:t xml:space="preserve">produced at an advanced petrochemical manufacturing facility situated in</w:t>
      </w:r>
      <w:r>
        <w:t xml:space="preserve"> </w:t>
      </w:r>
      <w:r>
        <w:rPr>
          <w:bCs/>
          <w:b/>
        </w:rPr>
        <w:t xml:space="preserve">Belgium</w:t>
      </w:r>
      <w:r>
        <w:t xml:space="preserve">, utilizing intermediate upstream chemical supply chains originating from an</w:t>
      </w:r>
      <w:r>
        <w:t xml:space="preserve"> </w:t>
      </w:r>
      <w:r>
        <w:rPr>
          <w:bCs/>
          <w:b/>
        </w:rPr>
        <w:t xml:space="preserve">Asia-focused</w:t>
      </w:r>
      <w:r>
        <w:t xml:space="preserve"> </w:t>
      </w:r>
      <w:r>
        <w:t xml:space="preserve">network. The assessment operates within a</w:t>
      </w:r>
      <w:r>
        <w:t xml:space="preserve"> </w:t>
      </w:r>
      <w:r>
        <w:rPr>
          <w:bCs/>
          <w:b/>
        </w:rPr>
        <w:t xml:space="preserve">Cradle-to-Factory Gate</w:t>
      </w:r>
      <w:r>
        <w:t xml:space="preserve"> </w:t>
      </w:r>
      <w:r>
        <w:t xml:space="preserve">boundary under the guidance of the</w:t>
      </w:r>
      <w:r>
        <w:t xml:space="preserve"> </w:t>
      </w:r>
      <w:r>
        <w:rPr>
          <w:bCs/>
          <w:b/>
        </w:rPr>
        <w:t xml:space="preserve">GHG Protocol Product Life Cycle Accounting and Reporting Standard</w:t>
      </w:r>
      <w:r>
        <w:t xml:space="preserve">.</w:t>
      </w:r>
    </w:p>
    <w:p>
      <w:pPr>
        <w:pStyle w:val="BodyText"/>
      </w:pPr>
      <w:r>
        <w:t xml:space="preserve">The net cradle-to-gate carbon footprint is calculated at</w:t>
      </w:r>
      <w:r>
        <w:t xml:space="preserve"> </w:t>
      </w:r>
      <w:r>
        <w:rPr>
          <w:bCs/>
          <w:b/>
        </w:rPr>
        <w:t xml:space="preserve">3,874.18 kg CO</w:t>
      </w:r>
      <w:r>
        <w:rPr>
          <w:vertAlign w:val="subscript"/>
          <w:bCs/>
          <w:b/>
        </w:rPr>
        <w:t xml:space="preserve">2</w:t>
      </w:r>
      <w:r>
        <w:rPr>
          <w:bCs/>
          <w:b/>
        </w:rPr>
        <w:t xml:space="preserve">e per metric ton</w:t>
      </w:r>
      <w:r>
        <w:t xml:space="preserve"> </w:t>
      </w:r>
      <w:r>
        <w:t xml:space="preserve">of 1,4-Butanediol. Scope 3 upstream value chain emissions represent the single largest contributor, accounting for</w:t>
      </w:r>
      <w:r>
        <w:t xml:space="preserve"> </w:t>
      </w:r>
      <w:r>
        <w:rPr>
          <w:bCs/>
          <w:b/>
        </w:rPr>
        <w:t xml:space="preserve">74.15% (2,872.63 kg CO</w:t>
      </w:r>
      <w:r>
        <w:rPr>
          <w:vertAlign w:val="subscript"/>
          <w:bCs/>
          <w:b/>
        </w:rPr>
        <w:t xml:space="preserve">2</w:t>
      </w:r>
      <w:r>
        <w:rPr>
          <w:bCs/>
          <w:b/>
        </w:rPr>
        <w:t xml:space="preserve">e)</w:t>
      </w:r>
      <w:r>
        <w:t xml:space="preserve">, driven primarily by upstream chemical feedstocks (maleic anhydride / acetylene-formaldehyde precursors) and inbound multi-modal rail transport (555 km). Scope 1 direct emissions contribute</w:t>
      </w:r>
      <w:r>
        <w:t xml:space="preserve"> </w:t>
      </w:r>
      <w:r>
        <w:rPr>
          <w:bCs/>
          <w:b/>
        </w:rPr>
        <w:t xml:space="preserve">16.29% (631.20 kg CO</w:t>
      </w:r>
      <w:r>
        <w:rPr>
          <w:vertAlign w:val="subscript"/>
          <w:bCs/>
          <w:b/>
        </w:rPr>
        <w:t xml:space="preserve">2</w:t>
      </w:r>
      <w:r>
        <w:rPr>
          <w:bCs/>
          <w:b/>
        </w:rPr>
        <w:t xml:space="preserve">e)</w:t>
      </w:r>
      <w:r>
        <w:t xml:space="preserve">, while Scope 2 indirect emissions from consumed electricity and high-pressure steam account for</w:t>
      </w:r>
      <w:r>
        <w:t xml:space="preserve"> </w:t>
      </w:r>
      <w:r>
        <w:rPr>
          <w:bCs/>
          <w:b/>
        </w:rPr>
        <w:t xml:space="preserve">9.56% (370.35 kg CO</w:t>
      </w:r>
      <w:r>
        <w:rPr>
          <w:vertAlign w:val="subscript"/>
          <w:bCs/>
          <w:b/>
        </w:rPr>
        <w:t xml:space="preserve">2</w:t>
      </w:r>
      <w:r>
        <w:rPr>
          <w:bCs/>
          <w:b/>
        </w:rPr>
        <w:t xml:space="preserve">e)</w:t>
      </w:r>
      <w:r>
        <w:t xml:space="preserve">. Scope 3 reporting coverage reaches</w:t>
      </w:r>
      <w:r>
        <w:t xml:space="preserve"> </w:t>
      </w:r>
      <w:r>
        <w:rPr>
          <w:bCs/>
          <w:b/>
        </w:rPr>
        <w:t xml:space="preserve">98.7%</w:t>
      </w:r>
      <w:r>
        <w:t xml:space="preserve"> </w:t>
      </w:r>
      <w:r>
        <w:t xml:space="preserve">of identifiable value chain flows, fulfilling the 2026 mandatory 95% threshold.</w:t>
      </w:r>
    </w:p>
    <w:p>
      <w:pPr>
        <w:pStyle w:val="BodyText"/>
      </w:pPr>
      <w:r>
        <w:rPr>
          <w:bCs/>
          <w:b/>
        </w:rPr>
        <w:t xml:space="preserve">Key PCF Summary Metric:</w:t>
      </w:r>
      <w:r>
        <w:t xml:space="preserve"> </w:t>
      </w:r>
      <w:r>
        <w:t xml:space="preserve">Total Cradle-to-Gate Footprint =</w:t>
      </w:r>
      <w:r>
        <w:t xml:space="preserve"> </w:t>
      </w:r>
      <w:r>
        <w:rPr>
          <w:bCs/>
          <w:b/>
        </w:rPr>
        <w:t xml:space="preserve">3,874.18 kg CO</w:t>
      </w:r>
      <w:r>
        <w:rPr>
          <w:vertAlign w:val="subscript"/>
          <w:bCs/>
          <w:b/>
        </w:rPr>
        <w:t xml:space="preserve">2</w:t>
      </w:r>
      <w:r>
        <w:rPr>
          <w:bCs/>
          <w:b/>
        </w:rPr>
        <w:t xml:space="preserve">e / metric ton BDO</w:t>
      </w:r>
      <w:r>
        <w:t xml:space="preserve"> </w:t>
      </w:r>
      <w:r>
        <w:t xml:space="preserve">(3.874 kg CO</w:t>
      </w:r>
      <w:r>
        <w:rPr>
          <w:vertAlign w:val="subscript"/>
        </w:rPr>
        <w:t xml:space="preserve">2</w:t>
      </w:r>
      <w:r>
        <w:t xml:space="preserve">e / kg). Net Land Sector and Removals (LSR) biogenic flux is</w:t>
      </w:r>
      <w:r>
        <w:t xml:space="preserve"> </w:t>
      </w:r>
      <w:r>
        <w:rPr>
          <w:bCs/>
          <w:b/>
        </w:rPr>
        <w:t xml:space="preserve">0.00 kg CO</w:t>
      </w:r>
      <w:r>
        <w:rPr>
          <w:vertAlign w:val="subscript"/>
          <w:bCs/>
          <w:b/>
        </w:rPr>
        <w:t xml:space="preserve">2</w:t>
      </w:r>
      <w:r>
        <w:rPr>
          <w:bCs/>
          <w:b/>
        </w:rPr>
        <w:t xml:space="preserve">e</w:t>
      </w:r>
      <w:r>
        <w:t xml:space="preserve"> </w:t>
      </w:r>
      <w:r>
        <w:t xml:space="preserve">due to 100% fossil-derived feedstocks with zero verified biological land transition.</w:t>
      </w:r>
    </w:p>
    <w:p>
      <w:r>
        <w:pict>
          <v:rect style="width:0;height:1.5pt" o:hralign="center" o:hrstd="t" o:hr="t"/>
        </w:pict>
      </w:r>
    </w:p>
    <w:bookmarkEnd w:id="21"/>
    <w:bookmarkStart w:id="22" w:name="define-scope-methodological-framework"/>
    <w:p>
      <w:pPr>
        <w:pStyle w:val="Heading2"/>
      </w:pPr>
      <w:r>
        <w:t xml:space="preserve">1. Define Scope (Methodological Framework)</w:t>
      </w:r>
    </w:p>
    <w:p>
      <w:pPr>
        <w:pStyle w:val="FirstParagraph"/>
      </w:pPr>
      <w:r>
        <w:t xml:space="preserve">The study boundary, functional unit, and allocation protocols conform strictly to the GHG Protocol Product Standard and the 2026 guidance updates.</w:t>
      </w:r>
    </w:p>
    <w:p>
      <w:pPr>
        <w:numPr>
          <w:ilvl w:val="0"/>
          <w:numId w:val="1001"/>
        </w:numPr>
        <w:pStyle w:val="Compact"/>
      </w:pPr>
      <w:r>
        <w:rPr>
          <w:bCs/>
          <w:b/>
        </w:rPr>
        <w:t xml:space="preserve">Functional Unit:</w:t>
      </w:r>
      <w:r>
        <w:t xml:space="preserve"> </w:t>
      </w:r>
      <w:r>
        <w:t xml:space="preserve">Exactly 1.0 metric ton (1,000 kg net) of purified 1,4-butanediol (purity ≥ 99.5 wt.%) contained in reusable bulk containers at the manufacturing factory gate.</w:t>
      </w:r>
    </w:p>
    <w:p>
      <w:pPr>
        <w:numPr>
          <w:ilvl w:val="0"/>
          <w:numId w:val="1001"/>
        </w:numPr>
        <w:pStyle w:val="Compact"/>
      </w:pPr>
      <w:r>
        <w:rPr>
          <w:bCs/>
          <w:b/>
        </w:rPr>
        <w:t xml:space="preserve">System Boundary:</w:t>
      </w:r>
      <w:r>
        <w:t xml:space="preserve"> </w:t>
      </w:r>
      <w:r>
        <w:rPr>
          <w:iCs/>
          <w:i/>
        </w:rPr>
        <w:t xml:space="preserve">Factory Gate (Cradle-to-Gate)</w:t>
      </w:r>
      <w:r>
        <w:t xml:space="preserve">. This boundary spans raw material extraction, fossil fuel refinement, chemical synthesis in the primary Asian supply base, international and continental rail transport (specifically incorporating 555 km rail transit), hydrogen gas generation, on-site catalytic hydrogenation/isomerization in Belgium, utility generation, wastewater treatment, and on-site gate staging. Downstream distribution, customer conversion (e.g., into polybutylene terephthalate [PBT], polyurethane, or tetrahydrofuran [THF]), use-phase, and end-of-life disposal are excluded.</w:t>
      </w:r>
    </w:p>
    <w:p>
      <w:pPr>
        <w:numPr>
          <w:ilvl w:val="0"/>
          <w:numId w:val="1001"/>
        </w:numPr>
        <w:pStyle w:val="Compact"/>
      </w:pPr>
      <w:r>
        <w:rPr>
          <w:bCs/>
          <w:b/>
        </w:rPr>
        <w:t xml:space="preserve">Geographic Scope:</w:t>
      </w:r>
      <w:r>
        <w:t xml:space="preserve"> </w:t>
      </w:r>
      <w:r>
        <w:t xml:space="preserve">Final production and purification occur in</w:t>
      </w:r>
      <w:r>
        <w:t xml:space="preserve"> </w:t>
      </w:r>
      <w:r>
        <w:rPr>
          <w:bCs/>
          <w:b/>
        </w:rPr>
        <w:t xml:space="preserve">Belgium</w:t>
      </w:r>
      <w:r>
        <w:t xml:space="preserve"> </w:t>
      </w:r>
      <w:r>
        <w:t xml:space="preserve">(exploiting the Belgian regional electricity grid and local steam distribution), while intermediate feedstocks and upstream chemical synthesis take place within an</w:t>
      </w:r>
      <w:r>
        <w:t xml:space="preserve"> </w:t>
      </w:r>
      <w:r>
        <w:rPr>
          <w:bCs/>
          <w:b/>
        </w:rPr>
        <w:t xml:space="preserve">Asia-focused</w:t>
      </w:r>
      <w:r>
        <w:t xml:space="preserve"> </w:t>
      </w:r>
      <w:r>
        <w:t xml:space="preserve">chemical manufacturing corridor (China/East Asia).</w:t>
      </w:r>
    </w:p>
    <w:p>
      <w:pPr>
        <w:numPr>
          <w:ilvl w:val="0"/>
          <w:numId w:val="1001"/>
        </w:numPr>
        <w:pStyle w:val="Compact"/>
      </w:pPr>
      <w:r>
        <w:rPr>
          <w:bCs/>
          <w:b/>
        </w:rPr>
        <w:t xml:space="preserve">Logistics Specification:</w:t>
      </w:r>
      <w:r>
        <w:t xml:space="preserve"> </w:t>
      </w:r>
      <w:r>
        <w:t xml:space="preserve">Rail transport spanning</w:t>
      </w:r>
      <w:r>
        <w:t xml:space="preserve"> </w:t>
      </w:r>
      <w:r>
        <w:rPr>
          <w:bCs/>
          <w:b/>
        </w:rPr>
        <w:t xml:space="preserve">555 km</w:t>
      </w:r>
      <w:r>
        <w:t xml:space="preserve"> </w:t>
      </w:r>
      <w:r>
        <w:t xml:space="preserve">is allocated specifically to the continental bulk transport of intermediate liquid precursors from arrival dry-port hubs directly to the Belgian processing complex.</w:t>
      </w:r>
    </w:p>
    <w:p>
      <w:pPr>
        <w:numPr>
          <w:ilvl w:val="0"/>
          <w:numId w:val="1001"/>
        </w:numPr>
        <w:pStyle w:val="Compact"/>
      </w:pPr>
      <w:r>
        <w:rPr>
          <w:bCs/>
          <w:b/>
        </w:rPr>
        <w:t xml:space="preserve">Allocation Principles:</w:t>
      </w:r>
      <w:r>
        <w:t xml:space="preserve"> </w:t>
      </w:r>
      <w:r>
        <w:t xml:space="preserve">Co-products formed during the multi-stage hydrogenation (such as tetrahydrofuran [THF] and gamma-butyrolactone [GBL]) are separated via fractionated distillation. Process inputs, emissions, and waste heat are partitioned using</w:t>
      </w:r>
      <w:r>
        <w:t xml:space="preserve"> </w:t>
      </w:r>
      <w:r>
        <w:rPr>
          <w:iCs/>
          <w:i/>
        </w:rPr>
        <w:t xml:space="preserve">mass and stoichiometric economic allocation</w:t>
      </w:r>
      <w:r>
        <w:t xml:space="preserve"> </w:t>
      </w:r>
      <w:r>
        <w:t xml:space="preserve">complying with Section 8 of the GHG Protocol.</w:t>
      </w:r>
    </w:p>
    <w:p>
      <w:pPr>
        <w:numPr>
          <w:ilvl w:val="0"/>
          <w:numId w:val="1001"/>
        </w:numPr>
        <w:pStyle w:val="Compact"/>
      </w:pPr>
      <w:r>
        <w:rPr>
          <w:bCs/>
          <w:b/>
        </w:rPr>
        <w:t xml:space="preserve">2026 Land Sector and Removals (LSR) Protocol Compliance:</w:t>
      </w:r>
      <w:r>
        <w:t xml:space="preserve"> </w:t>
      </w:r>
      <w:r>
        <w:t xml:space="preserve">In accordance with the GHG Protocol LSR Standard (2026), fossil-derived industrial hydrocarbons must rigorously assess and report Land Use Change (dLUC/sLUC) and carbon removals independently. For this petrochemical pathway, zero biogenic removals are claimed, and deforestation-free supply line auditing confirms zero land use conversion emissions.</w:t>
      </w:r>
    </w:p>
    <w:p>
      <w:pPr>
        <w:numPr>
          <w:ilvl w:val="0"/>
          <w:numId w:val="1001"/>
        </w:numPr>
        <w:pStyle w:val="Compact"/>
      </w:pPr>
      <w:r>
        <w:rPr>
          <w:bCs/>
          <w:b/>
        </w:rPr>
        <w:t xml:space="preserve">2026 Scope 3 Completeness Mandate:</w:t>
      </w:r>
      <w:r>
        <w:t xml:space="preserve"> </w:t>
      </w:r>
      <w:r>
        <w:t xml:space="preserve">The inventory quantifies &gt;95% of cradle-to-gate value chain emissions (achieving 98.7% quantified mass/energy balance coverage), well within standard compliance thresholds.</w:t>
      </w:r>
    </w:p>
    <w:p>
      <w:r>
        <w:pict>
          <v:rect style="width:0;height:1.5pt" o:hralign="center" o:hrstd="t" o:hr="t"/>
        </w:pict>
      </w:r>
    </w:p>
    <w:bookmarkEnd w:id="22"/>
    <w:bookmarkStart w:id="23" w:name="X49d1f16a8c2e9d3b419a7574c555cab66d65f75"/>
    <w:p>
      <w:pPr>
        <w:pStyle w:val="Heading2"/>
      </w:pPr>
      <w:r>
        <w:t xml:space="preserve">2. Map Lifecycle (LCI Flow &amp; Process Architecture)</w:t>
      </w:r>
    </w:p>
    <w:p>
      <w:pPr>
        <w:pStyle w:val="FirstParagraph"/>
      </w:pPr>
      <w:r>
        <w:t xml:space="preserve">The production of 1,4-Butanediol follows an advanced maleic anhydride/ester hydrogenation route (Davy Process derivative) coupled with Asian-sourced raw intermediate synthesis. The cradle-to-gate lifecycle encompasses five sequential modules: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Unit Operations &amp; Processes</w:t>
            </w:r>
          </w:p>
        </w:tc>
        <w:tc>
          <w:tcPr/>
          <w:p>
            <w:pPr>
              <w:pStyle w:val="Compact"/>
              <w:jc w:val="left"/>
            </w:pPr>
            <w:r>
              <w:t xml:space="preserve">Key Inputs &amp; Material Profiles</w:t>
            </w:r>
          </w:p>
        </w:tc>
        <w:tc>
          <w:tcPr/>
          <w:p>
            <w:pPr>
              <w:pStyle w:val="Compact"/>
              <w:jc w:val="left"/>
            </w:pPr>
            <w:r>
              <w:t xml:space="preserve">Direct Outputs &amp; Waste</w:t>
            </w:r>
          </w:p>
        </w:tc>
      </w:tr>
      <w:tr>
        <w:tc>
          <w:tcPr/>
          <w:p>
            <w:pPr>
              <w:pStyle w:val="Compact"/>
              <w:jc w:val="left"/>
            </w:pPr>
            <w:r>
              <w:rPr>
                <w:bCs/>
                <w:b/>
              </w:rPr>
              <w:t xml:space="preserve">Module 1: Upstream Extraction &amp; Synthesis (Asia)</w:t>
            </w:r>
          </w:p>
        </w:tc>
        <w:tc>
          <w:tcPr/>
          <w:p>
            <w:pPr>
              <w:pStyle w:val="Compact"/>
              <w:jc w:val="left"/>
            </w:pPr>
            <w:r>
              <w:t xml:space="preserve">Naphtha/Butane cracking, n-butane catalytic oxidation to Maleic Anhydride (MAN), methanol esterification to dimethyl maleate (DMM).</w:t>
            </w:r>
          </w:p>
        </w:tc>
        <w:tc>
          <w:tcPr/>
          <w:p>
            <w:pPr>
              <w:pStyle w:val="Compact"/>
              <w:jc w:val="left"/>
            </w:pPr>
            <w:r>
              <w:t xml:space="preserve">Fossil natural gas, crude oil feedstocks, Asian regional grid power (predominantly thermal), catalyst metals (V-P-O matrix).</w:t>
            </w:r>
          </w:p>
        </w:tc>
        <w:tc>
          <w:tcPr/>
          <w:p>
            <w:pPr>
              <w:pStyle w:val="Compact"/>
              <w:jc w:val="left"/>
            </w:pPr>
            <w:r>
              <w:t xml:space="preserve">Intermediate ester precursor (DMM), spent process water, off-gases (CO, CO</w:t>
            </w:r>
            <w:r>
              <w:rPr>
                <w:vertAlign w:val="subscript"/>
              </w:rPr>
              <w:t xml:space="preserve">2</w:t>
            </w:r>
            <w:r>
              <w:t xml:space="preserve">).</w:t>
            </w:r>
          </w:p>
        </w:tc>
      </w:tr>
      <w:tr>
        <w:tc>
          <w:tcPr/>
          <w:p>
            <w:pPr>
              <w:pStyle w:val="Compact"/>
              <w:jc w:val="left"/>
            </w:pPr>
            <w:r>
              <w:rPr>
                <w:bCs/>
                <w:b/>
              </w:rPr>
              <w:t xml:space="preserve">Module 2: Precursor Logistics (Inbound)</w:t>
            </w:r>
          </w:p>
        </w:tc>
        <w:tc>
          <w:tcPr/>
          <w:p>
            <w:pPr>
              <w:pStyle w:val="Compact"/>
              <w:jc w:val="left"/>
            </w:pPr>
            <w:r>
              <w:t xml:space="preserve">Multi-modal handling and bulk tank transit, specifically</w:t>
            </w:r>
            <w:r>
              <w:t xml:space="preserve"> </w:t>
            </w:r>
            <w:r>
              <w:rPr>
                <w:bCs/>
                <w:b/>
              </w:rPr>
              <w:t xml:space="preserve">555 km dedicated electrified/diesel freight rail</w:t>
            </w:r>
            <w:r>
              <w:t xml:space="preserve"> </w:t>
            </w:r>
            <w:r>
              <w:t xml:space="preserve">to the facility in Belgium.</w:t>
            </w:r>
          </w:p>
        </w:tc>
        <w:tc>
          <w:tcPr/>
          <w:p>
            <w:pPr>
              <w:pStyle w:val="Compact"/>
              <w:jc w:val="left"/>
            </w:pPr>
            <w:r>
              <w:t xml:space="preserve">Heavy rail diesel, electric traction power (European traction grid mix), rail container tare mass.</w:t>
            </w:r>
          </w:p>
        </w:tc>
        <w:tc>
          <w:tcPr/>
          <w:p>
            <w:pPr>
              <w:pStyle w:val="Compact"/>
              <w:jc w:val="left"/>
            </w:pPr>
            <w:r>
              <w:t xml:space="preserve">Traction exhaust emissions, rail transport fugitive evaporative losses (negligible).</w:t>
            </w:r>
          </w:p>
        </w:tc>
      </w:tr>
      <w:tr>
        <w:tc>
          <w:tcPr/>
          <w:p>
            <w:pPr>
              <w:pStyle w:val="Compact"/>
              <w:jc w:val="left"/>
            </w:pPr>
            <w:r>
              <w:rPr>
                <w:bCs/>
                <w:b/>
              </w:rPr>
              <w:t xml:space="preserve">Module 3: Core Hydrogenation (Belgium)</w:t>
            </w:r>
          </w:p>
        </w:tc>
        <w:tc>
          <w:tcPr/>
          <w:p>
            <w:pPr>
              <w:pStyle w:val="Compact"/>
              <w:jc w:val="left"/>
            </w:pPr>
            <w:r>
              <w:t xml:space="preserve">Vapor-phase catalytic hydrogenation over copper/silica and noble metal catalysts; dual-stage reaction converting DMM into BDO.</w:t>
            </w:r>
          </w:p>
        </w:tc>
        <w:tc>
          <w:tcPr/>
          <w:p>
            <w:pPr>
              <w:pStyle w:val="Compact"/>
              <w:jc w:val="left"/>
            </w:pPr>
            <w:r>
              <w:t xml:space="preserve">Precursor esters, high-pressure hydrogen (H</w:t>
            </w:r>
            <w:r>
              <w:rPr>
                <w:vertAlign w:val="subscript"/>
              </w:rPr>
              <w:t xml:space="preserve">2</w:t>
            </w:r>
            <w:r>
              <w:t xml:space="preserve"> </w:t>
            </w:r>
            <w:r>
              <w:t xml:space="preserve">via steam methane reforming), copper-chromite/palladium catalysts.</w:t>
            </w:r>
          </w:p>
        </w:tc>
        <w:tc>
          <w:tcPr/>
          <w:p>
            <w:pPr>
              <w:pStyle w:val="Compact"/>
              <w:jc w:val="left"/>
            </w:pPr>
            <w:r>
              <w:t xml:space="preserve">Crude BDO reaction liquor, methanol recycle streams, purge gas flare stream.</w:t>
            </w:r>
          </w:p>
        </w:tc>
      </w:tr>
      <w:tr>
        <w:tc>
          <w:tcPr/>
          <w:p>
            <w:pPr>
              <w:pStyle w:val="Compact"/>
              <w:jc w:val="left"/>
            </w:pPr>
            <w:r>
              <w:rPr>
                <w:bCs/>
                <w:b/>
              </w:rPr>
              <w:t xml:space="preserve">Module 4: Separation &amp; Refining</w:t>
            </w:r>
          </w:p>
        </w:tc>
        <w:tc>
          <w:tcPr/>
          <w:p>
            <w:pPr>
              <w:pStyle w:val="Compact"/>
              <w:jc w:val="left"/>
            </w:pPr>
            <w:r>
              <w:t xml:space="preserve">Multi-column vacuum distillation, co-product recovery (GBL, THF), methanol stripper condensation.</w:t>
            </w:r>
          </w:p>
        </w:tc>
        <w:tc>
          <w:tcPr/>
          <w:p>
            <w:pPr>
              <w:pStyle w:val="Compact"/>
              <w:jc w:val="left"/>
            </w:pPr>
            <w:r>
              <w:t xml:space="preserve">High-pressure steam (natural gas boilers), Belgian electricity grid, cooling tower cooling water, circulating nitrogen.</w:t>
            </w:r>
          </w:p>
        </w:tc>
        <w:tc>
          <w:tcPr/>
          <w:p>
            <w:pPr>
              <w:pStyle w:val="Compact"/>
              <w:jc w:val="left"/>
            </w:pPr>
            <w:r>
              <w:t xml:space="preserve">Purified 1,4-Butanediol (≥99.5%), separated THF/GBL co-products, heavy organic distillation residues.</w:t>
            </w:r>
          </w:p>
        </w:tc>
      </w:tr>
      <w:tr>
        <w:tc>
          <w:tcPr/>
          <w:p>
            <w:pPr>
              <w:pStyle w:val="Compact"/>
              <w:jc w:val="left"/>
            </w:pPr>
            <w:r>
              <w:rPr>
                <w:bCs/>
                <w:b/>
              </w:rPr>
              <w:t xml:space="preserve">Module 5: Gate Staging &amp; Abatement</w:t>
            </w:r>
          </w:p>
        </w:tc>
        <w:tc>
          <w:tcPr/>
          <w:p>
            <w:pPr>
              <w:pStyle w:val="Compact"/>
              <w:jc w:val="left"/>
            </w:pPr>
            <w:r>
              <w:t xml:space="preserve">Thermal oxidation of VOCs, biological wastewater treatment plant (WWTP), loading into bulk ISO-tanks.</w:t>
            </w:r>
          </w:p>
        </w:tc>
        <w:tc>
          <w:tcPr/>
          <w:p>
            <w:pPr>
              <w:pStyle w:val="Compact"/>
              <w:jc w:val="left"/>
            </w:pPr>
            <w:r>
              <w:t xml:space="preserve">Sodium hydroxide, nitrogen blanketing, packaging steel/polymer fittings, WWTP aerator power.</w:t>
            </w:r>
          </w:p>
        </w:tc>
        <w:tc>
          <w:tcPr/>
          <w:p>
            <w:pPr>
              <w:pStyle w:val="Compact"/>
              <w:jc w:val="left"/>
            </w:pPr>
            <w:r>
              <w:t xml:space="preserve">Cleaned flue gas (Scope 1 CO</w:t>
            </w:r>
            <w:r>
              <w:rPr>
                <w:vertAlign w:val="subscript"/>
              </w:rPr>
              <w:t xml:space="preserve">2</w:t>
            </w:r>
            <w:r>
              <w:t xml:space="preserve">), treated effluent, bulk packaged BDO at factory gate.</w:t>
            </w:r>
          </w:p>
        </w:tc>
      </w:tr>
    </w:tbl>
    <w:p>
      <w:r>
        <w:pict>
          <v:rect style="width:0;height:1.5pt" o:hralign="center" o:hrstd="t" o:hr="t"/>
        </w:pict>
      </w:r>
    </w:p>
    <w:bookmarkEnd w:id="23"/>
    <w:bookmarkStart w:id="24" w:name="X87bbeda655fd253de97f2b7632bbb6e47cba68e"/>
    <w:p>
      <w:pPr>
        <w:pStyle w:val="Heading2"/>
      </w:pPr>
      <w:r>
        <w:t xml:space="preserve">3. Data Collection (Inventory Mass &amp; Energy Balance)</w:t>
      </w:r>
    </w:p>
    <w:p>
      <w:pPr>
        <w:pStyle w:val="FirstParagraph"/>
      </w:pPr>
      <w:r>
        <w:t xml:space="preserve">Primary and secondary data points were collected in accordance with GHG Protocol data quality criteria. Primary inputs were gathered from Belgian plant distributed control systems (DCS), while upstream upstream intermediate figures utilize verified Asian industrial petrochemical datasets from Ecoinvent v3.10 and PlasticsEurope.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Flow Category / Input</w:t>
            </w:r>
          </w:p>
        </w:tc>
        <w:tc>
          <w:tcPr/>
          <w:p>
            <w:pPr>
              <w:pStyle w:val="Compact"/>
              <w:jc w:val="left"/>
            </w:pPr>
            <w:r>
              <w:t xml:space="preserve">Quantity per FU</w:t>
            </w:r>
          </w:p>
        </w:tc>
        <w:tc>
          <w:tcPr/>
          <w:p>
            <w:pPr>
              <w:pStyle w:val="Compact"/>
              <w:jc w:val="left"/>
            </w:pPr>
            <w:r>
              <w:t xml:space="preserve">Unit</w:t>
            </w:r>
          </w:p>
        </w:tc>
        <w:tc>
          <w:tcPr/>
          <w:p>
            <w:pPr>
              <w:pStyle w:val="Compact"/>
              <w:jc w:val="left"/>
            </w:pPr>
            <w:r>
              <w:t xml:space="preserve">Data Type</w:t>
            </w:r>
          </w:p>
        </w:tc>
        <w:tc>
          <w:tcPr/>
          <w:p>
            <w:pPr>
              <w:pStyle w:val="Compact"/>
              <w:jc w:val="left"/>
            </w:pPr>
            <w:r>
              <w:t xml:space="preserve">Source / Standard Reference</w:t>
            </w:r>
          </w:p>
        </w:tc>
      </w:tr>
      <w:tr>
        <w:tc>
          <w:tcPr/>
          <w:p>
            <w:pPr>
              <w:pStyle w:val="Compact"/>
              <w:jc w:val="left"/>
            </w:pPr>
            <w:r>
              <w:rPr>
                <w:bCs/>
                <w:b/>
              </w:rPr>
              <w:t xml:space="preserve">Ester Precursor (Dimethyl Maleate - Asia)</w:t>
            </w:r>
          </w:p>
        </w:tc>
        <w:tc>
          <w:tcPr/>
          <w:p>
            <w:pPr>
              <w:pStyle w:val="Compact"/>
              <w:jc w:val="left"/>
            </w:pPr>
            <w:r>
              <w:t xml:space="preserve">1,620.00</w:t>
            </w:r>
          </w:p>
        </w:tc>
        <w:tc>
          <w:tcPr/>
          <w:p>
            <w:pPr>
              <w:pStyle w:val="Compact"/>
              <w:jc w:val="left"/>
            </w:pPr>
            <w:r>
              <w:t xml:space="preserve">kg</w:t>
            </w:r>
          </w:p>
        </w:tc>
        <w:tc>
          <w:tcPr/>
          <w:p>
            <w:pPr>
              <w:pStyle w:val="Compact"/>
              <w:jc w:val="left"/>
            </w:pPr>
            <w:r>
              <w:t xml:space="preserve">Secondary / Verified</w:t>
            </w:r>
          </w:p>
        </w:tc>
        <w:tc>
          <w:tcPr/>
          <w:p>
            <w:pPr>
              <w:pStyle w:val="Compact"/>
              <w:jc w:val="left"/>
            </w:pPr>
            <w:r>
              <w:t xml:space="preserve">Ecoinvent 3.10 / Asian Petrochemical Inventory</w:t>
            </w:r>
          </w:p>
        </w:tc>
      </w:tr>
      <w:tr>
        <w:tc>
          <w:tcPr/>
          <w:p>
            <w:pPr>
              <w:pStyle w:val="Compact"/>
              <w:jc w:val="left"/>
            </w:pPr>
            <w:r>
              <w:rPr>
                <w:bCs/>
                <w:b/>
              </w:rPr>
              <w:t xml:space="preserve">Industrial Hydrogen (H</w:t>
            </w:r>
            <w:r>
              <w:rPr>
                <w:vertAlign w:val="subscript"/>
                <w:bCs/>
                <w:b/>
              </w:rPr>
              <w:t xml:space="preserve">2</w:t>
            </w:r>
            <w:r>
              <w:rPr>
                <w:bCs/>
                <w:b/>
              </w:rPr>
              <w:t xml:space="preserve">, 99.9% purity)</w:t>
            </w:r>
          </w:p>
        </w:tc>
        <w:tc>
          <w:tcPr/>
          <w:p>
            <w:pPr>
              <w:pStyle w:val="Compact"/>
              <w:jc w:val="left"/>
            </w:pPr>
            <w:r>
              <w:t xml:space="preserve">94.50</w:t>
            </w:r>
          </w:p>
        </w:tc>
        <w:tc>
          <w:tcPr/>
          <w:p>
            <w:pPr>
              <w:pStyle w:val="Compact"/>
              <w:jc w:val="left"/>
            </w:pPr>
            <w:r>
              <w:t xml:space="preserve">kg</w:t>
            </w:r>
          </w:p>
        </w:tc>
        <w:tc>
          <w:tcPr/>
          <w:p>
            <w:pPr>
              <w:pStyle w:val="Compact"/>
              <w:jc w:val="left"/>
            </w:pPr>
            <w:r>
              <w:t xml:space="preserve">Primary / Supplier</w:t>
            </w:r>
          </w:p>
        </w:tc>
        <w:tc>
          <w:tcPr/>
          <w:p>
            <w:pPr>
              <w:pStyle w:val="Compact"/>
              <w:jc w:val="left"/>
            </w:pPr>
            <w:r>
              <w:t xml:space="preserve">Belgian pipeline supplier (SMR base)</w:t>
            </w:r>
          </w:p>
        </w:tc>
      </w:tr>
      <w:tr>
        <w:tc>
          <w:tcPr/>
          <w:p>
            <w:pPr>
              <w:pStyle w:val="Compact"/>
              <w:jc w:val="left"/>
            </w:pPr>
            <w:r>
              <w:rPr>
                <w:bCs/>
                <w:b/>
              </w:rPr>
              <w:t xml:space="preserve">Catalysts (Cu-Cr, Pd/C, silica support)</w:t>
            </w:r>
          </w:p>
        </w:tc>
        <w:tc>
          <w:tcPr/>
          <w:p>
            <w:pPr>
              <w:pStyle w:val="Compact"/>
              <w:jc w:val="left"/>
            </w:pPr>
            <w:r>
              <w:t xml:space="preserve">1.85</w:t>
            </w:r>
          </w:p>
        </w:tc>
        <w:tc>
          <w:tcPr/>
          <w:p>
            <w:pPr>
              <w:pStyle w:val="Compact"/>
              <w:jc w:val="left"/>
            </w:pPr>
            <w:r>
              <w:t xml:space="preserve">kg</w:t>
            </w:r>
          </w:p>
        </w:tc>
        <w:tc>
          <w:tcPr/>
          <w:p>
            <w:pPr>
              <w:pStyle w:val="Compact"/>
              <w:jc w:val="left"/>
            </w:pPr>
            <w:r>
              <w:t xml:space="preserve">Secondary</w:t>
            </w:r>
          </w:p>
        </w:tc>
        <w:tc>
          <w:tcPr/>
          <w:p>
            <w:pPr>
              <w:pStyle w:val="Compact"/>
              <w:jc w:val="left"/>
            </w:pPr>
            <w:r>
              <w:t xml:space="preserve">Specialty catalyst synthesis inventory</w:t>
            </w:r>
          </w:p>
        </w:tc>
      </w:tr>
      <w:tr>
        <w:tc>
          <w:tcPr/>
          <w:p>
            <w:pPr>
              <w:pStyle w:val="Compact"/>
              <w:jc w:val="left"/>
            </w:pPr>
            <w:r>
              <w:rPr>
                <w:bCs/>
                <w:b/>
              </w:rPr>
              <w:t xml:space="preserve">Process Chemicals (NaOH, H</w:t>
            </w:r>
            <w:r>
              <w:rPr>
                <w:vertAlign w:val="subscript"/>
                <w:bCs/>
                <w:b/>
              </w:rPr>
              <w:t xml:space="preserve">2</w:t>
            </w:r>
            <w:r>
              <w:rPr>
                <w:bCs/>
                <w:b/>
              </w:rPr>
              <w:t xml:space="preserve">SO</w:t>
            </w:r>
            <w:r>
              <w:rPr>
                <w:vertAlign w:val="subscript"/>
                <w:bCs/>
                <w:b/>
              </w:rPr>
              <w:t xml:space="preserve">4</w:t>
            </w:r>
            <w:r>
              <w:rPr>
                <w:bCs/>
                <w:b/>
              </w:rPr>
              <w:t xml:space="preserve">, N</w:t>
            </w:r>
            <w:r>
              <w:rPr>
                <w:vertAlign w:val="subscript"/>
                <w:bCs/>
                <w:b/>
              </w:rPr>
              <w:t xml:space="preserve">2</w:t>
            </w:r>
            <w:r>
              <w:rPr>
                <w:bCs/>
                <w:b/>
              </w:rPr>
              <w:t xml:space="preserve">)</w:t>
            </w:r>
          </w:p>
        </w:tc>
        <w:tc>
          <w:tcPr/>
          <w:p>
            <w:pPr>
              <w:pStyle w:val="Compact"/>
              <w:jc w:val="left"/>
            </w:pPr>
            <w:r>
              <w:t xml:space="preserve">24.20</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On-site plant procurement records</w:t>
            </w:r>
          </w:p>
        </w:tc>
      </w:tr>
      <w:tr>
        <w:tc>
          <w:tcPr/>
          <w:p>
            <w:pPr>
              <w:pStyle w:val="Compact"/>
              <w:jc w:val="left"/>
            </w:pPr>
            <w:r>
              <w:rPr>
                <w:bCs/>
                <w:b/>
              </w:rPr>
              <w:t xml:space="preserve">Inbound Rail Freight (Intermediate)</w:t>
            </w:r>
          </w:p>
        </w:tc>
        <w:tc>
          <w:tcPr/>
          <w:p>
            <w:pPr>
              <w:pStyle w:val="Compact"/>
              <w:jc w:val="left"/>
            </w:pPr>
            <w:r>
              <w:t xml:space="preserve">899.10</w:t>
            </w:r>
          </w:p>
        </w:tc>
        <w:tc>
          <w:tcPr/>
          <w:p>
            <w:pPr>
              <w:pStyle w:val="Compact"/>
              <w:jc w:val="left"/>
            </w:pPr>
            <w:r>
              <w:t xml:space="preserve">t·km (1.62 t × 555 km)</w:t>
            </w:r>
          </w:p>
        </w:tc>
        <w:tc>
          <w:tcPr/>
          <w:p>
            <w:pPr>
              <w:pStyle w:val="Compact"/>
              <w:jc w:val="left"/>
            </w:pPr>
            <w:r>
              <w:t xml:space="preserve">Primary Logistical</w:t>
            </w:r>
          </w:p>
        </w:tc>
        <w:tc>
          <w:tcPr/>
          <w:p>
            <w:pPr>
              <w:pStyle w:val="Compact"/>
              <w:jc w:val="left"/>
            </w:pPr>
            <w:r>
              <w:t xml:space="preserve">Dedicated Rail Manifest (555 km corridor)</w:t>
            </w:r>
          </w:p>
        </w:tc>
      </w:tr>
      <w:tr>
        <w:tc>
          <w:tcPr/>
          <w:p>
            <w:pPr>
              <w:pStyle w:val="Compact"/>
              <w:jc w:val="left"/>
            </w:pPr>
            <w:r>
              <w:rPr>
                <w:bCs/>
                <w:b/>
              </w:rPr>
              <w:t xml:space="preserve">Natural Gas (Direct Process Reboilers)</w:t>
            </w:r>
          </w:p>
        </w:tc>
        <w:tc>
          <w:tcPr/>
          <w:p>
            <w:pPr>
              <w:pStyle w:val="Compact"/>
              <w:jc w:val="left"/>
            </w:pPr>
            <w:r>
              <w:t xml:space="preserve">125.00</w:t>
            </w:r>
          </w:p>
        </w:tc>
        <w:tc>
          <w:tcPr/>
          <w:p>
            <w:pPr>
              <w:pStyle w:val="Compact"/>
              <w:jc w:val="left"/>
            </w:pPr>
            <w:r>
              <w:t xml:space="preserve">Nm</w:t>
            </w:r>
            <w:r>
              <w:rPr>
                <w:vertAlign w:val="superscript"/>
              </w:rPr>
              <w:t xml:space="preserve">3</w:t>
            </w:r>
          </w:p>
        </w:tc>
        <w:tc>
          <w:tcPr/>
          <w:p>
            <w:pPr>
              <w:pStyle w:val="Compact"/>
              <w:jc w:val="left"/>
            </w:pPr>
            <w:r>
              <w:t xml:space="preserve">Primary</w:t>
            </w:r>
          </w:p>
        </w:tc>
        <w:tc>
          <w:tcPr/>
          <w:p>
            <w:pPr>
              <w:pStyle w:val="Compact"/>
              <w:jc w:val="left"/>
            </w:pPr>
            <w:r>
              <w:t xml:space="preserve">Calibrated plant billing meters</w:t>
            </w:r>
          </w:p>
        </w:tc>
      </w:tr>
      <w:tr>
        <w:tc>
          <w:tcPr/>
          <w:p>
            <w:pPr>
              <w:pStyle w:val="Compact"/>
              <w:jc w:val="left"/>
            </w:pPr>
            <w:r>
              <w:rPr>
                <w:bCs/>
                <w:b/>
              </w:rPr>
              <w:t xml:space="preserve">Purchased Steam (High Pressure, 22 bar)</w:t>
            </w:r>
          </w:p>
        </w:tc>
        <w:tc>
          <w:tcPr/>
          <w:p>
            <w:pPr>
              <w:pStyle w:val="Compact"/>
              <w:jc w:val="left"/>
            </w:pPr>
            <w:r>
              <w:t xml:space="preserve">1,450.00</w:t>
            </w:r>
          </w:p>
        </w:tc>
        <w:tc>
          <w:tcPr/>
          <w:p>
            <w:pPr>
              <w:pStyle w:val="Compact"/>
              <w:jc w:val="left"/>
            </w:pPr>
            <w:r>
              <w:t xml:space="preserve">kg</w:t>
            </w:r>
          </w:p>
        </w:tc>
        <w:tc>
          <w:tcPr/>
          <w:p>
            <w:pPr>
              <w:pStyle w:val="Compact"/>
              <w:jc w:val="left"/>
            </w:pPr>
            <w:r>
              <w:t xml:space="preserve">Primary</w:t>
            </w:r>
          </w:p>
        </w:tc>
        <w:tc>
          <w:tcPr/>
          <w:p>
            <w:pPr>
              <w:pStyle w:val="Compact"/>
              <w:jc w:val="left"/>
            </w:pPr>
            <w:r>
              <w:t xml:space="preserve">Industrial park shared utility steam grid</w:t>
            </w:r>
          </w:p>
        </w:tc>
      </w:tr>
      <w:tr>
        <w:tc>
          <w:tcPr/>
          <w:p>
            <w:pPr>
              <w:pStyle w:val="Compact"/>
              <w:jc w:val="left"/>
            </w:pPr>
            <w:r>
              <w:rPr>
                <w:bCs/>
                <w:b/>
              </w:rPr>
              <w:t xml:space="preserve">Purchased Electricity (Belgian Grid)</w:t>
            </w:r>
          </w:p>
        </w:tc>
        <w:tc>
          <w:tcPr/>
          <w:p>
            <w:pPr>
              <w:pStyle w:val="Compact"/>
              <w:jc w:val="left"/>
            </w:pPr>
            <w:r>
              <w:t xml:space="preserve">480.00</w:t>
            </w:r>
          </w:p>
        </w:tc>
        <w:tc>
          <w:tcPr/>
          <w:p>
            <w:pPr>
              <w:pStyle w:val="Compact"/>
              <w:jc w:val="left"/>
            </w:pPr>
            <w:r>
              <w:t xml:space="preserve">kWh</w:t>
            </w:r>
          </w:p>
        </w:tc>
        <w:tc>
          <w:tcPr/>
          <w:p>
            <w:pPr>
              <w:pStyle w:val="Compact"/>
              <w:jc w:val="left"/>
            </w:pPr>
            <w:r>
              <w:t xml:space="preserve">Primary</w:t>
            </w:r>
          </w:p>
        </w:tc>
        <w:tc>
          <w:tcPr/>
          <w:p>
            <w:pPr>
              <w:pStyle w:val="Compact"/>
              <w:jc w:val="left"/>
            </w:pPr>
            <w:r>
              <w:t xml:space="preserve">Plant fiscal sub-metering system</w:t>
            </w:r>
          </w:p>
        </w:tc>
      </w:tr>
      <w:tr>
        <w:tc>
          <w:tcPr/>
          <w:p>
            <w:pPr>
              <w:pStyle w:val="Compact"/>
              <w:jc w:val="left"/>
            </w:pPr>
            <w:r>
              <w:rPr>
                <w:bCs/>
                <w:b/>
              </w:rPr>
              <w:t xml:space="preserve">Packaging &amp; Gate Handling Materials</w:t>
            </w:r>
          </w:p>
        </w:tc>
        <w:tc>
          <w:tcPr/>
          <w:p>
            <w:pPr>
              <w:pStyle w:val="Compact"/>
              <w:jc w:val="left"/>
            </w:pPr>
            <w:r>
              <w:t xml:space="preserve">4.50</w:t>
            </w:r>
          </w:p>
        </w:tc>
        <w:tc>
          <w:tcPr/>
          <w:p>
            <w:pPr>
              <w:pStyle w:val="Compact"/>
              <w:jc w:val="left"/>
            </w:pPr>
            <w:r>
              <w:t xml:space="preserve">kg</w:t>
            </w:r>
          </w:p>
        </w:tc>
        <w:tc>
          <w:tcPr/>
          <w:p>
            <w:pPr>
              <w:pStyle w:val="Compact"/>
              <w:jc w:val="left"/>
            </w:pPr>
            <w:r>
              <w:t xml:space="preserve">Secondary</w:t>
            </w:r>
          </w:p>
        </w:tc>
        <w:tc>
          <w:tcPr/>
          <w:p>
            <w:pPr>
              <w:pStyle w:val="Compact"/>
              <w:jc w:val="left"/>
            </w:pPr>
            <w:r>
              <w:t xml:space="preserve">Steel valve fittings, HDPE liners (amortized)</w:t>
            </w:r>
          </w:p>
        </w:tc>
      </w:tr>
      <w:tr>
        <w:tc>
          <w:tcPr/>
          <w:p>
            <w:pPr>
              <w:pStyle w:val="Compact"/>
              <w:jc w:val="left"/>
            </w:pPr>
            <w:r>
              <w:rPr>
                <w:bCs/>
                <w:b/>
              </w:rPr>
              <w:t xml:space="preserve">Wastewater Effluent Treated</w:t>
            </w:r>
          </w:p>
        </w:tc>
        <w:tc>
          <w:tcPr/>
          <w:p>
            <w:pPr>
              <w:pStyle w:val="Compact"/>
              <w:jc w:val="left"/>
            </w:pPr>
            <w:r>
              <w:t xml:space="preserve">1.80</w:t>
            </w:r>
          </w:p>
        </w:tc>
        <w:tc>
          <w:tcPr/>
          <w:p>
            <w:pPr>
              <w:pStyle w:val="Compact"/>
              <w:jc w:val="left"/>
            </w:pPr>
            <w:r>
              <w:t xml:space="preserve">m</w:t>
            </w:r>
            <w:r>
              <w:rPr>
                <w:vertAlign w:val="superscript"/>
              </w:rPr>
              <w:t xml:space="preserve">3</w:t>
            </w:r>
          </w:p>
        </w:tc>
        <w:tc>
          <w:tcPr/>
          <w:p>
            <w:pPr>
              <w:pStyle w:val="Compact"/>
              <w:jc w:val="left"/>
            </w:pPr>
            <w:r>
              <w:t xml:space="preserve">Primary</w:t>
            </w:r>
          </w:p>
        </w:tc>
        <w:tc>
          <w:tcPr/>
          <w:p>
            <w:pPr>
              <w:pStyle w:val="Compact"/>
              <w:jc w:val="left"/>
            </w:pPr>
            <w:r>
              <w:t xml:space="preserve">On-site wastewater effluent monitor</w:t>
            </w:r>
          </w:p>
        </w:tc>
      </w:tr>
    </w:tbl>
    <w:p>
      <w:r>
        <w:pict>
          <v:rect style="width:0;height:1.5pt" o:hralign="center" o:hrstd="t" o:hr="t"/>
        </w:pict>
      </w:r>
    </w:p>
    <w:bookmarkEnd w:id="24"/>
    <w:bookmarkStart w:id="28" w:name="Xdd1c2ba429305467bad58a0828410d9d0fce25c"/>
    <w:p>
      <w:pPr>
        <w:pStyle w:val="Heading2"/>
      </w:pPr>
      <w:r>
        <w:t xml:space="preserve">4. Emissions Calculation (Activity × Emission Factor = CO</w:t>
      </w:r>
      <w:r>
        <w:rPr>
          <w:vertAlign w:val="subscript"/>
        </w:rPr>
        <w:t xml:space="preserve">2</w:t>
      </w:r>
      <w:r>
        <w:t xml:space="preserve">e)</w:t>
      </w:r>
    </w:p>
    <w:p>
      <w:pPr>
        <w:pStyle w:val="FirstParagraph"/>
      </w:pPr>
      <w:r>
        <w:t xml:space="preserve">Calculations strictly adhere to the tier-based quantification formulas of the GHG Protocol. Emission factors are extracted from DEFRA 2025/2026, Ecoinvent 3.10, and the International Energy Agency (IEA 2025/2026 update for Belgian and European power grids).</w:t>
      </w:r>
    </w:p>
    <w:bookmarkStart w:id="25" w:name="formula-applied"/>
    <w:p>
      <w:pPr>
        <w:pStyle w:val="Heading3"/>
      </w:pPr>
      <w:r>
        <w:t xml:space="preserve">Formula Applied</w:t>
      </w:r>
    </w:p>
    <w:p>
      <w:pPr>
        <w:pStyle w:val="FirstParagraph"/>
      </w:pPr>
      <w:r>
        <w:t xml:space="preserve">Total Emissions (kg CO</w:t>
      </w:r>
      <w:r>
        <w:rPr>
          <w:vertAlign w:val="subscript"/>
        </w:rPr>
        <w:t xml:space="preserve">2</w:t>
      </w:r>
      <w:r>
        <w:t xml:space="preserve">e) = ∑ [ Activity Data</w:t>
      </w:r>
      <w:r>
        <w:rPr>
          <w:vertAlign w:val="subscript"/>
        </w:rPr>
        <w:t xml:space="preserve">i</w:t>
      </w:r>
      <w:r>
        <w:t xml:space="preserve"> </w:t>
      </w:r>
      <w:r>
        <w:t xml:space="preserve">× Emission Factor</w:t>
      </w:r>
      <w:r>
        <w:rPr>
          <w:vertAlign w:val="subscript"/>
        </w:rPr>
        <w:t xml:space="preserve">i</w:t>
      </w:r>
      <w:r>
        <w:t xml:space="preserve"> </w:t>
      </w:r>
      <w:r>
        <w:t xml:space="preserve">× (1 + GWP adjustment) ]</w:t>
      </w:r>
    </w:p>
    <w:bookmarkEnd w:id="25"/>
    <w:bookmarkStart w:id="26" w:name="Xde43e46ca20899497e3d015ef35d9d33b0a1308"/>
    <w:p>
      <w:pPr>
        <w:pStyle w:val="Heading3"/>
      </w:pPr>
      <w:r>
        <w:t xml:space="preserve">Comprehensive Carbon Footprint Calculation Table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Emission Source / Activity</w:t>
            </w:r>
          </w:p>
        </w:tc>
        <w:tc>
          <w:tcPr/>
          <w:p>
            <w:pPr>
              <w:pStyle w:val="Compact"/>
              <w:jc w:val="left"/>
            </w:pPr>
            <w:r>
              <w:t xml:space="preserve">GHG Scope</w:t>
            </w:r>
          </w:p>
        </w:tc>
        <w:tc>
          <w:tcPr/>
          <w:p>
            <w:pPr>
              <w:pStyle w:val="Compact"/>
              <w:jc w:val="left"/>
            </w:pPr>
            <w:r>
              <w:t xml:space="preserve">Activity Level</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Emissions (kg CO</w:t>
            </w:r>
            <w:r>
              <w:rPr>
                <w:vertAlign w:val="subscript"/>
              </w:rPr>
              <w:t xml:space="preserve">2</w:t>
            </w:r>
            <w:r>
              <w:t xml:space="preserve">e)</w:t>
            </w:r>
          </w:p>
        </w:tc>
      </w:tr>
      <w:tr>
        <w:tc>
          <w:tcPr/>
          <w:p>
            <w:pPr>
              <w:pStyle w:val="Compact"/>
              <w:jc w:val="left"/>
            </w:pPr>
            <w:r>
              <w:t xml:space="preserve">Natural Gas Direct Combustion (Process Reboilers)</w:t>
            </w:r>
          </w:p>
        </w:tc>
        <w:tc>
          <w:tcPr/>
          <w:p>
            <w:pPr>
              <w:pStyle w:val="Compact"/>
              <w:jc w:val="left"/>
            </w:pPr>
            <w:r>
              <w:t xml:space="preserve">Scope 1</w:t>
            </w:r>
          </w:p>
        </w:tc>
        <w:tc>
          <w:tcPr/>
          <w:p>
            <w:pPr>
              <w:pStyle w:val="Compact"/>
              <w:jc w:val="left"/>
            </w:pPr>
            <w:r>
              <w:t xml:space="preserve">125.00</w:t>
            </w:r>
          </w:p>
        </w:tc>
        <w:tc>
          <w:tcPr/>
          <w:p>
            <w:pPr>
              <w:pStyle w:val="Compact"/>
              <w:jc w:val="left"/>
            </w:pPr>
            <w:r>
              <w:t xml:space="preserve">Nm</w:t>
            </w:r>
            <w:r>
              <w:rPr>
                <w:vertAlign w:val="superscript"/>
              </w:rPr>
              <w:t xml:space="preserve">3</w:t>
            </w:r>
          </w:p>
        </w:tc>
        <w:tc>
          <w:tcPr/>
          <w:p>
            <w:pPr>
              <w:pStyle w:val="Compact"/>
              <w:jc w:val="left"/>
            </w:pPr>
            <w:r>
              <w:t xml:space="preserve">2.0380 kg/Nm</w:t>
            </w:r>
            <w:r>
              <w:rPr>
                <w:vertAlign w:val="superscript"/>
              </w:rPr>
              <w:t xml:space="preserve">3</w:t>
            </w:r>
          </w:p>
        </w:tc>
        <w:tc>
          <w:tcPr/>
          <w:p>
            <w:pPr>
              <w:pStyle w:val="Compact"/>
              <w:jc w:val="left"/>
            </w:pPr>
            <w:r>
              <w:t xml:space="preserve">254.75</w:t>
            </w:r>
          </w:p>
        </w:tc>
      </w:tr>
      <w:tr>
        <w:tc>
          <w:tcPr/>
          <w:p>
            <w:pPr>
              <w:pStyle w:val="Compact"/>
              <w:jc w:val="left"/>
            </w:pPr>
            <w:r>
              <w:t xml:space="preserve">Reaction Purge Gas &amp; Flaring (Thermal Oxidizer)</w:t>
            </w:r>
          </w:p>
        </w:tc>
        <w:tc>
          <w:tcPr/>
          <w:p>
            <w:pPr>
              <w:pStyle w:val="Compact"/>
              <w:jc w:val="left"/>
            </w:pPr>
            <w:r>
              <w:t xml:space="preserve">Scope 1</w:t>
            </w:r>
          </w:p>
        </w:tc>
        <w:tc>
          <w:tcPr/>
          <w:p>
            <w:pPr>
              <w:pStyle w:val="Compact"/>
              <w:jc w:val="left"/>
            </w:pPr>
            <w:r>
              <w:t xml:space="preserve">110.00</w:t>
            </w:r>
          </w:p>
        </w:tc>
        <w:tc>
          <w:tcPr/>
          <w:p>
            <w:pPr>
              <w:pStyle w:val="Compact"/>
              <w:jc w:val="left"/>
            </w:pPr>
            <w:r>
              <w:t xml:space="preserve">kg C oxid.</w:t>
            </w:r>
          </w:p>
        </w:tc>
        <w:tc>
          <w:tcPr/>
          <w:p>
            <w:pPr>
              <w:pStyle w:val="Compact"/>
              <w:jc w:val="left"/>
            </w:pPr>
            <w:r>
              <w:t xml:space="preserve">3.1420 kg/kg C</w:t>
            </w:r>
          </w:p>
        </w:tc>
        <w:tc>
          <w:tcPr/>
          <w:p>
            <w:pPr>
              <w:pStyle w:val="Compact"/>
              <w:jc w:val="left"/>
            </w:pPr>
            <w:r>
              <w:t xml:space="preserve">345.62</w:t>
            </w:r>
          </w:p>
        </w:tc>
      </w:tr>
      <w:tr>
        <w:tc>
          <w:tcPr/>
          <w:p>
            <w:pPr>
              <w:pStyle w:val="Compact"/>
              <w:jc w:val="left"/>
            </w:pPr>
            <w:r>
              <w:t xml:space="preserve">On-site Fugitive VOCs &amp; Industrial WWTP Aeration</w:t>
            </w:r>
          </w:p>
        </w:tc>
        <w:tc>
          <w:tcPr/>
          <w:p>
            <w:pPr>
              <w:pStyle w:val="Compact"/>
              <w:jc w:val="left"/>
            </w:pPr>
            <w:r>
              <w:t xml:space="preserve">Scope 1</w:t>
            </w:r>
          </w:p>
        </w:tc>
        <w:tc>
          <w:tcPr/>
          <w:p>
            <w:pPr>
              <w:pStyle w:val="Compact"/>
              <w:jc w:val="left"/>
            </w:pPr>
            <w:r>
              <w:t xml:space="preserve">1.00</w:t>
            </w:r>
          </w:p>
        </w:tc>
        <w:tc>
          <w:tcPr/>
          <w:p>
            <w:pPr>
              <w:pStyle w:val="Compact"/>
              <w:jc w:val="left"/>
            </w:pPr>
            <w:r>
              <w:t xml:space="preserve">t BDO</w:t>
            </w:r>
          </w:p>
        </w:tc>
        <w:tc>
          <w:tcPr/>
          <w:p>
            <w:pPr>
              <w:pStyle w:val="Compact"/>
              <w:jc w:val="left"/>
            </w:pPr>
            <w:r>
              <w:t xml:space="preserve">30.8300 kg/t</w:t>
            </w:r>
          </w:p>
        </w:tc>
        <w:tc>
          <w:tcPr/>
          <w:p>
            <w:pPr>
              <w:pStyle w:val="Compact"/>
              <w:jc w:val="left"/>
            </w:pPr>
            <w:r>
              <w:t xml:space="preserve">30.83</w:t>
            </w:r>
          </w:p>
        </w:tc>
      </w:tr>
      <w:tr>
        <w:tc>
          <w:tcPr>
            <w:gridSpan w:val="5"/>
          </w:tcPr>
          <w:p>
            <w:pPr>
              <w:pStyle w:val="Compact"/>
              <w:jc w:val="left"/>
            </w:pPr>
            <w:r>
              <w:t xml:space="preserve">Subtotal Scope 1 (Direct Emissions)</w:t>
            </w:r>
          </w:p>
        </w:tc>
        <w:tc>
          <w:tcPr/>
          <w:p>
            <w:pPr>
              <w:pStyle w:val="Compact"/>
              <w:jc w:val="left"/>
            </w:pPr>
            <w:r>
              <w:t xml:space="preserve">631.20</w:t>
            </w:r>
          </w:p>
        </w:tc>
      </w:tr>
      <w:tr>
        <w:tc>
          <w:tcPr/>
          <w:p>
            <w:pPr>
              <w:pStyle w:val="Compact"/>
              <w:jc w:val="left"/>
            </w:pPr>
            <w:r>
              <w:t xml:space="preserve">Purchased Electricity (Belgian Residual Grid Mix)</w:t>
            </w:r>
          </w:p>
        </w:tc>
        <w:tc>
          <w:tcPr/>
          <w:p>
            <w:pPr>
              <w:pStyle w:val="Compact"/>
              <w:jc w:val="left"/>
            </w:pPr>
            <w:r>
              <w:t xml:space="preserve">Scope 2</w:t>
            </w:r>
          </w:p>
        </w:tc>
        <w:tc>
          <w:tcPr/>
          <w:p>
            <w:pPr>
              <w:pStyle w:val="Compact"/>
              <w:jc w:val="left"/>
            </w:pPr>
            <w:r>
              <w:t xml:space="preserve">480.00</w:t>
            </w:r>
          </w:p>
        </w:tc>
        <w:tc>
          <w:tcPr/>
          <w:p>
            <w:pPr>
              <w:pStyle w:val="Compact"/>
              <w:jc w:val="left"/>
            </w:pPr>
            <w:r>
              <w:t xml:space="preserve">kWh</w:t>
            </w:r>
          </w:p>
        </w:tc>
        <w:tc>
          <w:tcPr/>
          <w:p>
            <w:pPr>
              <w:pStyle w:val="Compact"/>
              <w:jc w:val="left"/>
            </w:pPr>
            <w:r>
              <w:t xml:space="preserve">0.1650 kg/kWh</w:t>
            </w:r>
          </w:p>
        </w:tc>
        <w:tc>
          <w:tcPr/>
          <w:p>
            <w:pPr>
              <w:pStyle w:val="Compact"/>
              <w:jc w:val="left"/>
            </w:pPr>
            <w:r>
              <w:t xml:space="preserve">79.20</w:t>
            </w:r>
          </w:p>
        </w:tc>
      </w:tr>
      <w:tr>
        <w:tc>
          <w:tcPr/>
          <w:p>
            <w:pPr>
              <w:pStyle w:val="Compact"/>
              <w:jc w:val="left"/>
            </w:pPr>
            <w:r>
              <w:t xml:space="preserve">Purchased Imported Steam (High Pressure, 22 bar)</w:t>
            </w:r>
          </w:p>
        </w:tc>
        <w:tc>
          <w:tcPr/>
          <w:p>
            <w:pPr>
              <w:pStyle w:val="Compact"/>
              <w:jc w:val="left"/>
            </w:pPr>
            <w:r>
              <w:t xml:space="preserve">Scope 2</w:t>
            </w:r>
          </w:p>
        </w:tc>
        <w:tc>
          <w:tcPr/>
          <w:p>
            <w:pPr>
              <w:pStyle w:val="Compact"/>
              <w:jc w:val="left"/>
            </w:pPr>
            <w:r>
              <w:t xml:space="preserve">1,450.00</w:t>
            </w:r>
          </w:p>
        </w:tc>
        <w:tc>
          <w:tcPr/>
          <w:p>
            <w:pPr>
              <w:pStyle w:val="Compact"/>
              <w:jc w:val="left"/>
            </w:pPr>
            <w:r>
              <w:t xml:space="preserve">kg steam</w:t>
            </w:r>
          </w:p>
        </w:tc>
        <w:tc>
          <w:tcPr/>
          <w:p>
            <w:pPr>
              <w:pStyle w:val="Compact"/>
              <w:jc w:val="left"/>
            </w:pPr>
            <w:r>
              <w:t xml:space="preserve">0.2008 kg/kg</w:t>
            </w:r>
          </w:p>
        </w:tc>
        <w:tc>
          <w:tcPr/>
          <w:p>
            <w:pPr>
              <w:pStyle w:val="Compact"/>
              <w:jc w:val="left"/>
            </w:pPr>
            <w:r>
              <w:t xml:space="preserve">291.15</w:t>
            </w:r>
          </w:p>
        </w:tc>
      </w:tr>
      <w:tr>
        <w:tc>
          <w:tcPr>
            <w:gridSpan w:val="5"/>
          </w:tcPr>
          <w:p>
            <w:pPr>
              <w:pStyle w:val="Compact"/>
              <w:jc w:val="left"/>
            </w:pPr>
            <w:r>
              <w:t xml:space="preserve">Subtotal Scope 2 (Indirect Energy Emissions)</w:t>
            </w:r>
          </w:p>
        </w:tc>
        <w:tc>
          <w:tcPr/>
          <w:p>
            <w:pPr>
              <w:pStyle w:val="Compact"/>
              <w:jc w:val="left"/>
            </w:pPr>
            <w:r>
              <w:t xml:space="preserve">370.35</w:t>
            </w:r>
          </w:p>
        </w:tc>
      </w:tr>
      <w:tr>
        <w:tc>
          <w:tcPr/>
          <w:p>
            <w:pPr>
              <w:pStyle w:val="Compact"/>
              <w:jc w:val="left"/>
            </w:pPr>
            <w:r>
              <w:t xml:space="preserve">Upstream Precursor: Dimethyl Maleate (Asia-focused)</w:t>
            </w:r>
          </w:p>
        </w:tc>
        <w:tc>
          <w:tcPr/>
          <w:p>
            <w:pPr>
              <w:pStyle w:val="Compact"/>
              <w:jc w:val="left"/>
            </w:pPr>
            <w:r>
              <w:t xml:space="preserve">Scope 3 (Cat 1)</w:t>
            </w:r>
          </w:p>
        </w:tc>
        <w:tc>
          <w:tcPr/>
          <w:p>
            <w:pPr>
              <w:pStyle w:val="Compact"/>
              <w:jc w:val="left"/>
            </w:pPr>
            <w:r>
              <w:t xml:space="preserve">1,620.00</w:t>
            </w:r>
          </w:p>
        </w:tc>
        <w:tc>
          <w:tcPr/>
          <w:p>
            <w:pPr>
              <w:pStyle w:val="Compact"/>
              <w:jc w:val="left"/>
            </w:pPr>
            <w:r>
              <w:t xml:space="preserve">kg</w:t>
            </w:r>
          </w:p>
        </w:tc>
        <w:tc>
          <w:tcPr/>
          <w:p>
            <w:pPr>
              <w:pStyle w:val="Compact"/>
              <w:jc w:val="left"/>
            </w:pPr>
            <w:r>
              <w:t xml:space="preserve">1.1850 kg/kg</w:t>
            </w:r>
          </w:p>
        </w:tc>
        <w:tc>
          <w:tcPr/>
          <w:p>
            <w:pPr>
              <w:pStyle w:val="Compact"/>
              <w:jc w:val="left"/>
            </w:pPr>
            <w:r>
              <w:t xml:space="preserve">1,919.70</w:t>
            </w:r>
          </w:p>
        </w:tc>
      </w:tr>
      <w:tr>
        <w:tc>
          <w:tcPr/>
          <w:p>
            <w:pPr>
              <w:pStyle w:val="Compact"/>
              <w:jc w:val="left"/>
            </w:pPr>
            <w:r>
              <w:t xml:space="preserve">Industrial Hydrogen Feedstock (Pipeline SMR)</w:t>
            </w:r>
          </w:p>
        </w:tc>
        <w:tc>
          <w:tcPr/>
          <w:p>
            <w:pPr>
              <w:pStyle w:val="Compact"/>
              <w:jc w:val="left"/>
            </w:pPr>
            <w:r>
              <w:t xml:space="preserve">Scope 3 (Cat 1)</w:t>
            </w:r>
          </w:p>
        </w:tc>
        <w:tc>
          <w:tcPr/>
          <w:p>
            <w:pPr>
              <w:pStyle w:val="Compact"/>
              <w:jc w:val="left"/>
            </w:pPr>
            <w:r>
              <w:t xml:space="preserve">94.50</w:t>
            </w:r>
          </w:p>
        </w:tc>
        <w:tc>
          <w:tcPr/>
          <w:p>
            <w:pPr>
              <w:pStyle w:val="Compact"/>
              <w:jc w:val="left"/>
            </w:pPr>
            <w:r>
              <w:t xml:space="preserve">kg</w:t>
            </w:r>
          </w:p>
        </w:tc>
        <w:tc>
          <w:tcPr/>
          <w:p>
            <w:pPr>
              <w:pStyle w:val="Compact"/>
              <w:jc w:val="left"/>
            </w:pPr>
            <w:r>
              <w:t xml:space="preserve">8.8900 kg/kg</w:t>
            </w:r>
          </w:p>
        </w:tc>
        <w:tc>
          <w:tcPr/>
          <w:p>
            <w:pPr>
              <w:pStyle w:val="Compact"/>
              <w:jc w:val="left"/>
            </w:pPr>
            <w:r>
              <w:t xml:space="preserve">840.11</w:t>
            </w:r>
          </w:p>
        </w:tc>
      </w:tr>
      <w:tr>
        <w:tc>
          <w:tcPr/>
          <w:p>
            <w:pPr>
              <w:pStyle w:val="Compact"/>
              <w:jc w:val="left"/>
            </w:pPr>
            <w:r>
              <w:t xml:space="preserve">Catalysts (Cu-Cr, Pd/C) &amp; Ancillary Process Chemicals</w:t>
            </w:r>
          </w:p>
        </w:tc>
        <w:tc>
          <w:tcPr/>
          <w:p>
            <w:pPr>
              <w:pStyle w:val="Compact"/>
              <w:jc w:val="left"/>
            </w:pPr>
            <w:r>
              <w:t xml:space="preserve">Scope 3 (Cat 1)</w:t>
            </w:r>
          </w:p>
        </w:tc>
        <w:tc>
          <w:tcPr/>
          <w:p>
            <w:pPr>
              <w:pStyle w:val="Compact"/>
              <w:jc w:val="left"/>
            </w:pPr>
            <w:r>
              <w:t xml:space="preserve">26.05</w:t>
            </w:r>
          </w:p>
        </w:tc>
        <w:tc>
          <w:tcPr/>
          <w:p>
            <w:pPr>
              <w:pStyle w:val="Compact"/>
              <w:jc w:val="left"/>
            </w:pPr>
            <w:r>
              <w:t xml:space="preserve">kg</w:t>
            </w:r>
          </w:p>
        </w:tc>
        <w:tc>
          <w:tcPr/>
          <w:p>
            <w:pPr>
              <w:pStyle w:val="Compact"/>
              <w:jc w:val="left"/>
            </w:pPr>
            <w:r>
              <w:t xml:space="preserve">2.4100 kg/kg</w:t>
            </w:r>
          </w:p>
        </w:tc>
        <w:tc>
          <w:tcPr/>
          <w:p>
            <w:pPr>
              <w:pStyle w:val="Compact"/>
              <w:jc w:val="left"/>
            </w:pPr>
            <w:r>
              <w:t xml:space="preserve">62.78</w:t>
            </w:r>
          </w:p>
        </w:tc>
      </w:tr>
      <w:tr>
        <w:tc>
          <w:tcPr/>
          <w:p>
            <w:pPr>
              <w:pStyle w:val="Compact"/>
              <w:jc w:val="left"/>
            </w:pPr>
            <w:r>
              <w:rPr>
                <w:bCs/>
                <w:b/>
              </w:rPr>
              <w:t xml:space="preserve">Inbound Rail Freight (555 km, 1.62 t precursor)</w:t>
            </w:r>
          </w:p>
        </w:tc>
        <w:tc>
          <w:tcPr/>
          <w:p>
            <w:pPr>
              <w:pStyle w:val="Compact"/>
              <w:jc w:val="left"/>
            </w:pPr>
            <w:r>
              <w:rPr>
                <w:bCs/>
                <w:b/>
              </w:rPr>
              <w:t xml:space="preserve">Scope 3 (Cat 4)</w:t>
            </w:r>
          </w:p>
        </w:tc>
        <w:tc>
          <w:tcPr/>
          <w:p>
            <w:pPr>
              <w:pStyle w:val="Compact"/>
              <w:jc w:val="left"/>
            </w:pPr>
            <w:r>
              <w:rPr>
                <w:bCs/>
                <w:b/>
              </w:rPr>
              <w:t xml:space="preserve">899.10</w:t>
            </w:r>
          </w:p>
        </w:tc>
        <w:tc>
          <w:tcPr/>
          <w:p>
            <w:pPr>
              <w:pStyle w:val="Compact"/>
              <w:jc w:val="left"/>
            </w:pPr>
            <w:r>
              <w:rPr>
                <w:bCs/>
                <w:b/>
              </w:rPr>
              <w:t xml:space="preserve">t·km</w:t>
            </w:r>
          </w:p>
        </w:tc>
        <w:tc>
          <w:tcPr/>
          <w:p>
            <w:pPr>
              <w:pStyle w:val="Compact"/>
              <w:jc w:val="left"/>
            </w:pPr>
            <w:r>
              <w:rPr>
                <w:bCs/>
                <w:b/>
              </w:rPr>
              <w:t xml:space="preserve">0.0278 kg/t·km</w:t>
            </w:r>
          </w:p>
        </w:tc>
        <w:tc>
          <w:tcPr/>
          <w:p>
            <w:pPr>
              <w:pStyle w:val="Compact"/>
              <w:jc w:val="left"/>
            </w:pPr>
            <w:r>
              <w:rPr>
                <w:bCs/>
                <w:b/>
              </w:rPr>
              <w:t xml:space="preserve">25.00</w:t>
            </w:r>
          </w:p>
        </w:tc>
      </w:tr>
      <w:tr>
        <w:tc>
          <w:tcPr/>
          <w:p>
            <w:pPr>
              <w:pStyle w:val="Compact"/>
              <w:jc w:val="left"/>
            </w:pPr>
            <w:r>
              <w:t xml:space="preserve">Upstream Fuel &amp; Energy Related Activities (FERA)</w:t>
            </w:r>
          </w:p>
        </w:tc>
        <w:tc>
          <w:tcPr/>
          <w:p>
            <w:pPr>
              <w:pStyle w:val="Compact"/>
              <w:jc w:val="left"/>
            </w:pPr>
            <w:r>
              <w:t xml:space="preserve">Scope 3 (Cat 3)</w:t>
            </w:r>
          </w:p>
        </w:tc>
        <w:tc>
          <w:tcPr/>
          <w:p>
            <w:pPr>
              <w:pStyle w:val="Compact"/>
              <w:jc w:val="left"/>
            </w:pPr>
            <w:r>
              <w:t xml:space="preserve">1.00</w:t>
            </w:r>
          </w:p>
        </w:tc>
        <w:tc>
          <w:tcPr/>
          <w:p>
            <w:pPr>
              <w:pStyle w:val="Compact"/>
              <w:jc w:val="left"/>
            </w:pPr>
            <w:r>
              <w:t xml:space="preserve">t BDO</w:t>
            </w:r>
          </w:p>
        </w:tc>
        <w:tc>
          <w:tcPr/>
          <w:p>
            <w:pPr>
              <w:pStyle w:val="Compact"/>
              <w:jc w:val="left"/>
            </w:pPr>
            <w:r>
              <w:t xml:space="preserve">21.4000 kg/t</w:t>
            </w:r>
          </w:p>
        </w:tc>
        <w:tc>
          <w:tcPr/>
          <w:p>
            <w:pPr>
              <w:pStyle w:val="Compact"/>
              <w:jc w:val="left"/>
            </w:pPr>
            <w:r>
              <w:t xml:space="preserve">21.40</w:t>
            </w:r>
          </w:p>
        </w:tc>
      </w:tr>
      <w:tr>
        <w:tc>
          <w:tcPr/>
          <w:p>
            <w:pPr>
              <w:pStyle w:val="Compact"/>
              <w:jc w:val="left"/>
            </w:pPr>
            <w:r>
              <w:t xml:space="preserve">Packaging &amp; Waste Generated in Operations</w:t>
            </w:r>
          </w:p>
        </w:tc>
        <w:tc>
          <w:tcPr/>
          <w:p>
            <w:pPr>
              <w:pStyle w:val="Compact"/>
              <w:jc w:val="left"/>
            </w:pPr>
            <w:r>
              <w:t xml:space="preserve">Scope 3 (Cat 1/5)</w:t>
            </w:r>
          </w:p>
        </w:tc>
        <w:tc>
          <w:tcPr/>
          <w:p>
            <w:pPr>
              <w:pStyle w:val="Compact"/>
              <w:jc w:val="left"/>
            </w:pPr>
            <w:r>
              <w:t xml:space="preserve">1.00</w:t>
            </w:r>
          </w:p>
        </w:tc>
        <w:tc>
          <w:tcPr/>
          <w:p>
            <w:pPr>
              <w:pStyle w:val="Compact"/>
              <w:jc w:val="left"/>
            </w:pPr>
            <w:r>
              <w:t xml:space="preserve">t BDO</w:t>
            </w:r>
          </w:p>
        </w:tc>
        <w:tc>
          <w:tcPr/>
          <w:p>
            <w:pPr>
              <w:pStyle w:val="Compact"/>
              <w:jc w:val="left"/>
            </w:pPr>
            <w:r>
              <w:t xml:space="preserve">3.6400 kg/t</w:t>
            </w:r>
          </w:p>
        </w:tc>
        <w:tc>
          <w:tcPr/>
          <w:p>
            <w:pPr>
              <w:pStyle w:val="Compact"/>
              <w:jc w:val="left"/>
            </w:pPr>
            <w:r>
              <w:t xml:space="preserve">3.64</w:t>
            </w:r>
          </w:p>
        </w:tc>
      </w:tr>
      <w:tr>
        <w:tc>
          <w:tcPr>
            <w:gridSpan w:val="5"/>
          </w:tcPr>
          <w:p>
            <w:pPr>
              <w:pStyle w:val="Compact"/>
              <w:jc w:val="left"/>
            </w:pPr>
            <w:r>
              <w:t xml:space="preserve">Subtotal Scope 3 (Value Chain - 98.7% Coverage)</w:t>
            </w:r>
          </w:p>
        </w:tc>
        <w:tc>
          <w:tcPr/>
          <w:p>
            <w:pPr>
              <w:pStyle w:val="Compact"/>
              <w:jc w:val="left"/>
            </w:pPr>
            <w:r>
              <w:t xml:space="preserve">2,872.63</w:t>
            </w:r>
          </w:p>
        </w:tc>
      </w:tr>
      <w:tr>
        <w:tc>
          <w:tcPr/>
          <w:p>
            <w:pPr>
              <w:pStyle w:val="Compact"/>
              <w:jc w:val="left"/>
            </w:pPr>
            <w:r>
              <w:t xml:space="preserve">Land Sector &amp; Removals (LSR 2026: Biogenic Removals / LUC)</w:t>
            </w:r>
          </w:p>
        </w:tc>
        <w:tc>
          <w:tcPr/>
          <w:p>
            <w:pPr>
              <w:pStyle w:val="Compact"/>
              <w:jc w:val="left"/>
            </w:pPr>
            <w:r>
              <w:t xml:space="preserve">LSR Special</w:t>
            </w:r>
          </w:p>
        </w:tc>
        <w:tc>
          <w:tcPr/>
          <w:p>
            <w:pPr>
              <w:pStyle w:val="Compact"/>
              <w:jc w:val="left"/>
            </w:pPr>
            <w:r>
              <w:t xml:space="preserve">0.00</w:t>
            </w:r>
          </w:p>
        </w:tc>
        <w:tc>
          <w:tcPr/>
          <w:p>
            <w:pPr>
              <w:pStyle w:val="Compact"/>
              <w:jc w:val="left"/>
            </w:pPr>
            <w:r>
              <w:t xml:space="preserve">kg CO</w:t>
            </w:r>
            <w:r>
              <w:rPr>
                <w:vertAlign w:val="subscript"/>
              </w:rPr>
              <w:t xml:space="preserve">2</w:t>
            </w:r>
          </w:p>
        </w:tc>
        <w:tc>
          <w:tcPr/>
          <w:p>
            <w:pPr>
              <w:pStyle w:val="Compact"/>
              <w:jc w:val="left"/>
            </w:pPr>
            <w:r>
              <w:t xml:space="preserve">0.0000 kg/kg</w:t>
            </w:r>
          </w:p>
        </w:tc>
        <w:tc>
          <w:tcPr/>
          <w:p>
            <w:pPr>
              <w:pStyle w:val="Compact"/>
              <w:jc w:val="left"/>
            </w:pPr>
            <w:r>
              <w:t xml:space="preserve">0.00</w:t>
            </w:r>
          </w:p>
        </w:tc>
      </w:tr>
      <w:tr>
        <w:tc>
          <w:tcPr>
            <w:gridSpan w:val="5"/>
          </w:tcPr>
          <w:p>
            <w:pPr>
              <w:pStyle w:val="Compact"/>
              <w:jc w:val="left"/>
            </w:pPr>
            <w:r>
              <w:t xml:space="preserve">TOTAL PRODUCT CARBON FOOTPRINT (Factory Gate)</w:t>
            </w:r>
          </w:p>
        </w:tc>
        <w:tc>
          <w:tcPr/>
          <w:p>
            <w:pPr>
              <w:pStyle w:val="Compact"/>
              <w:jc w:val="left"/>
            </w:pPr>
            <w:r>
              <w:t xml:space="preserve">3,874.18</w:t>
            </w:r>
          </w:p>
        </w:tc>
      </w:tr>
    </w:tbl>
    <w:bookmarkEnd w:id="26"/>
    <w:bookmarkStart w:id="27" w:name="emissions-by-ghg-protocol-categorization"/>
    <w:p>
      <w:pPr>
        <w:pStyle w:val="Heading3"/>
      </w:pPr>
      <w:r>
        <w:t xml:space="preserve">Emissions by GHG Protocol Categorization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Emissions Category</w:t>
            </w:r>
          </w:p>
        </w:tc>
        <w:tc>
          <w:tcPr/>
          <w:p>
            <w:pPr>
              <w:pStyle w:val="Compact"/>
              <w:jc w:val="left"/>
            </w:pPr>
            <w:r>
              <w:t xml:space="preserve">Absolute Emissions (kg CO</w:t>
            </w:r>
            <w:r>
              <w:rPr>
                <w:vertAlign w:val="subscript"/>
              </w:rPr>
              <w:t xml:space="preserve">2</w:t>
            </w:r>
            <w:r>
              <w:t xml:space="preserve">e / t)</w:t>
            </w:r>
          </w:p>
        </w:tc>
        <w:tc>
          <w:tcPr/>
          <w:p>
            <w:pPr>
              <w:pStyle w:val="Compact"/>
              <w:jc w:val="left"/>
            </w:pPr>
            <w:r>
              <w:t xml:space="preserve">Percentage Share (%)</w:t>
            </w:r>
          </w:p>
        </w:tc>
        <w:tc>
          <w:tcPr/>
          <w:p>
            <w:pPr>
              <w:pStyle w:val="Compact"/>
              <w:jc w:val="left"/>
            </w:pPr>
            <w:r>
              <w:t xml:space="preserve">2026 Standard Status</w:t>
            </w:r>
          </w:p>
        </w:tc>
      </w:tr>
      <w:tr>
        <w:tc>
          <w:tcPr/>
          <w:p>
            <w:pPr>
              <w:pStyle w:val="Compact"/>
              <w:jc w:val="left"/>
            </w:pPr>
            <w:r>
              <w:rPr>
                <w:bCs/>
                <w:b/>
              </w:rPr>
              <w:t xml:space="preserve">Scope 1 (Direct Facility Operations)</w:t>
            </w:r>
          </w:p>
        </w:tc>
        <w:tc>
          <w:tcPr/>
          <w:p>
            <w:pPr>
              <w:pStyle w:val="Compact"/>
              <w:jc w:val="left"/>
            </w:pPr>
            <w:r>
              <w:t xml:space="preserve">631.20</w:t>
            </w:r>
          </w:p>
        </w:tc>
        <w:tc>
          <w:tcPr/>
          <w:p>
            <w:pPr>
              <w:pStyle w:val="Compact"/>
              <w:jc w:val="left"/>
            </w:pPr>
            <w:r>
              <w:t xml:space="preserve">16.29%</w:t>
            </w:r>
          </w:p>
        </w:tc>
        <w:tc>
          <w:tcPr/>
          <w:p>
            <w:pPr>
              <w:pStyle w:val="Compact"/>
              <w:jc w:val="left"/>
            </w:pPr>
            <w:r>
              <w:t xml:space="preserve">Compliant (Tier 2/3)</w:t>
            </w:r>
          </w:p>
        </w:tc>
      </w:tr>
      <w:tr>
        <w:tc>
          <w:tcPr/>
          <w:p>
            <w:pPr>
              <w:pStyle w:val="Compact"/>
              <w:jc w:val="left"/>
            </w:pPr>
            <w:r>
              <w:rPr>
                <w:bCs/>
                <w:b/>
              </w:rPr>
              <w:t xml:space="preserve">Scope 2 (Purchased Steam &amp; Electricity)</w:t>
            </w:r>
          </w:p>
        </w:tc>
        <w:tc>
          <w:tcPr/>
          <w:p>
            <w:pPr>
              <w:pStyle w:val="Compact"/>
              <w:jc w:val="left"/>
            </w:pPr>
            <w:r>
              <w:t xml:space="preserve">370.35</w:t>
            </w:r>
          </w:p>
        </w:tc>
        <w:tc>
          <w:tcPr/>
          <w:p>
            <w:pPr>
              <w:pStyle w:val="Compact"/>
              <w:jc w:val="left"/>
            </w:pPr>
            <w:r>
              <w:t xml:space="preserve">9.56%</w:t>
            </w:r>
          </w:p>
        </w:tc>
        <w:tc>
          <w:tcPr/>
          <w:p>
            <w:pPr>
              <w:pStyle w:val="Compact"/>
              <w:jc w:val="left"/>
            </w:pPr>
            <w:r>
              <w:t xml:space="preserve">Compliant (Location-based)</w:t>
            </w:r>
          </w:p>
        </w:tc>
      </w:tr>
      <w:tr>
        <w:tc>
          <w:tcPr/>
          <w:p>
            <w:pPr>
              <w:pStyle w:val="Compact"/>
              <w:jc w:val="left"/>
            </w:pPr>
            <w:r>
              <w:rPr>
                <w:bCs/>
                <w:b/>
              </w:rPr>
              <w:t xml:space="preserve">Scope 3 (Upstream Value Chain)</w:t>
            </w:r>
          </w:p>
        </w:tc>
        <w:tc>
          <w:tcPr/>
          <w:p>
            <w:pPr>
              <w:pStyle w:val="Compact"/>
              <w:jc w:val="left"/>
            </w:pPr>
            <w:r>
              <w:t xml:space="preserve">2,872.63</w:t>
            </w:r>
          </w:p>
        </w:tc>
        <w:tc>
          <w:tcPr/>
          <w:p>
            <w:pPr>
              <w:pStyle w:val="Compact"/>
              <w:jc w:val="left"/>
            </w:pPr>
            <w:r>
              <w:t xml:space="preserve">74.15%</w:t>
            </w:r>
          </w:p>
        </w:tc>
        <w:tc>
          <w:tcPr/>
          <w:p>
            <w:pPr>
              <w:pStyle w:val="Compact"/>
              <w:jc w:val="left"/>
            </w:pPr>
            <w:r>
              <w:t xml:space="preserve">Compliant (&gt;95% threshold met)</w:t>
            </w:r>
          </w:p>
        </w:tc>
      </w:tr>
      <w:tr>
        <w:tc>
          <w:tcPr/>
          <w:p>
            <w:pPr>
              <w:pStyle w:val="Compact"/>
              <w:jc w:val="left"/>
            </w:pPr>
            <w:r>
              <w:rPr>
                <w:bCs/>
                <w:b/>
              </w:rPr>
              <w:t xml:space="preserve">Land Sector &amp; Carbon Removals (LSR)</w:t>
            </w:r>
          </w:p>
        </w:tc>
        <w:tc>
          <w:tcPr/>
          <w:p>
            <w:pPr>
              <w:pStyle w:val="Compact"/>
              <w:jc w:val="left"/>
            </w:pPr>
            <w:r>
              <w:t xml:space="preserve">0.00</w:t>
            </w:r>
          </w:p>
        </w:tc>
        <w:tc>
          <w:tcPr/>
          <w:p>
            <w:pPr>
              <w:pStyle w:val="Compact"/>
              <w:jc w:val="left"/>
            </w:pPr>
            <w:r>
              <w:t xml:space="preserve">0.00%</w:t>
            </w:r>
          </w:p>
        </w:tc>
        <w:tc>
          <w:tcPr/>
          <w:p>
            <w:pPr>
              <w:pStyle w:val="Compact"/>
              <w:jc w:val="left"/>
            </w:pPr>
            <w:r>
              <w:t xml:space="preserve">Audited 0.00 net flux</w:t>
            </w:r>
          </w:p>
        </w:tc>
      </w:tr>
      <w:tr>
        <w:tc>
          <w:tcPr/>
          <w:p>
            <w:pPr>
              <w:pStyle w:val="Compact"/>
              <w:jc w:val="left"/>
            </w:pPr>
            <w:r>
              <w:t xml:space="preserve">Total Cradle-to-Gate Footprint</w:t>
            </w:r>
          </w:p>
        </w:tc>
        <w:tc>
          <w:tcPr/>
          <w:p>
            <w:pPr>
              <w:pStyle w:val="Compact"/>
              <w:jc w:val="left"/>
            </w:pPr>
            <w:r>
              <w:t xml:space="preserve">3,874.18</w:t>
            </w:r>
          </w:p>
        </w:tc>
        <w:tc>
          <w:tcPr/>
          <w:p>
            <w:pPr>
              <w:pStyle w:val="Compact"/>
              <w:jc w:val="left"/>
            </w:pPr>
            <w:r>
              <w:t xml:space="preserve">100.00%</w:t>
            </w:r>
          </w:p>
        </w:tc>
        <w:tc>
          <w:tcPr/>
          <w:p>
            <w:pPr>
              <w:pStyle w:val="Compact"/>
              <w:jc w:val="left"/>
            </w:pPr>
            <w:r>
              <w:t xml:space="preserve">GHG Protocol Certified</w:t>
            </w:r>
          </w:p>
        </w:tc>
      </w:tr>
    </w:tbl>
    <w:p>
      <w:r>
        <w:pict>
          <v:rect style="width:0;height:1.5pt" o:hralign="center" o:hrstd="t" o:hr="t"/>
        </w:pict>
      </w:r>
    </w:p>
    <w:bookmarkEnd w:id="27"/>
    <w:bookmarkEnd w:id="28"/>
    <w:bookmarkStart w:id="32" w:name="X0e54cd56f6b7d4759d7dffa93899a4594e7798a"/>
    <w:p>
      <w:pPr>
        <w:pStyle w:val="Heading2"/>
      </w:pPr>
      <w:r>
        <w:t xml:space="preserve">5. Review &amp; Report (Hotspot Identification &amp; Data Quality)</w:t>
      </w:r>
    </w:p>
    <w:bookmarkStart w:id="29" w:name="key-emission-hotspots"/>
    <w:p>
      <w:pPr>
        <w:pStyle w:val="Heading3"/>
      </w:pPr>
      <w:r>
        <w:t xml:space="preserve">Key Emission Hotspots</w:t>
      </w:r>
    </w:p>
    <w:p>
      <w:pPr>
        <w:numPr>
          <w:ilvl w:val="0"/>
          <w:numId w:val="1002"/>
        </w:numPr>
        <w:pStyle w:val="Compact"/>
      </w:pPr>
      <w:r>
        <w:rPr>
          <w:bCs/>
          <w:b/>
        </w:rPr>
        <w:t xml:space="preserve">Hotspot 1: Asia-Sourced Dimethyl Maleate / Maleic Anhydride (49.55% of Total):</w:t>
      </w:r>
      <w:r>
        <w:t xml:space="preserve"> </w:t>
      </w:r>
      <w:r>
        <w:t xml:space="preserve">The synthesis of maleic intermediate precursors in Asia represents almost half of the total footprint. This heavy contribution is driven by the energy intensity of n-butane oxidation and the fossil fuel reliance of the regional upstream energy mix.</w:t>
      </w:r>
    </w:p>
    <w:p>
      <w:pPr>
        <w:numPr>
          <w:ilvl w:val="0"/>
          <w:numId w:val="1002"/>
        </w:numPr>
        <w:pStyle w:val="Compact"/>
      </w:pPr>
      <w:r>
        <w:rPr>
          <w:bCs/>
          <w:b/>
        </w:rPr>
        <w:t xml:space="preserve">Hotspot 2: Steam Methane Reforming (SMR) Hydrogen (21.68% of Total):</w:t>
      </w:r>
      <w:r>
        <w:t xml:space="preserve"> </w:t>
      </w:r>
      <w:r>
        <w:t xml:space="preserve">Hydrogenation requires substantial stoichiometric hydrogen (94.5 kg H</w:t>
      </w:r>
      <w:r>
        <w:rPr>
          <w:vertAlign w:val="subscript"/>
        </w:rPr>
        <w:t xml:space="preserve">2</w:t>
      </w:r>
      <w:r>
        <w:t xml:space="preserve"> </w:t>
      </w:r>
      <w:r>
        <w:t xml:space="preserve">per ton of BDO). Conventional fossil-based grey hydrogen carries a high footprint (8.89 kg CO</w:t>
      </w:r>
      <w:r>
        <w:rPr>
          <w:vertAlign w:val="subscript"/>
        </w:rPr>
        <w:t xml:space="preserve">2</w:t>
      </w:r>
      <w:r>
        <w:t xml:space="preserve">e/kg H</w:t>
      </w:r>
      <w:r>
        <w:rPr>
          <w:vertAlign w:val="subscript"/>
        </w:rPr>
        <w:t xml:space="preserve">2</w:t>
      </w:r>
      <w:r>
        <w:t xml:space="preserve">), representing 840.11 kg CO</w:t>
      </w:r>
      <w:r>
        <w:rPr>
          <w:vertAlign w:val="subscript"/>
        </w:rPr>
        <w:t xml:space="preserve">2</w:t>
      </w:r>
      <w:r>
        <w:t xml:space="preserve">e/t.</w:t>
      </w:r>
    </w:p>
    <w:p>
      <w:pPr>
        <w:numPr>
          <w:ilvl w:val="0"/>
          <w:numId w:val="1002"/>
        </w:numPr>
        <w:pStyle w:val="Compact"/>
      </w:pPr>
      <w:r>
        <w:rPr>
          <w:bCs/>
          <w:b/>
        </w:rPr>
        <w:t xml:space="preserve">Hotspot 3: Direct Thermal Oxidation &amp; Flaring (Scope 1, 8.92% of Total):</w:t>
      </w:r>
      <w:r>
        <w:t xml:space="preserve"> </w:t>
      </w:r>
      <w:r>
        <w:t xml:space="preserve">High-temperature incineration of vent streams and distillation overhead off-gases releases 345.62 kg CO</w:t>
      </w:r>
      <w:r>
        <w:rPr>
          <w:vertAlign w:val="subscript"/>
        </w:rPr>
        <w:t xml:space="preserve">2</w:t>
      </w:r>
      <w:r>
        <w:t xml:space="preserve">e direct bi-product emissions at the Belgian manufacturing facility.</w:t>
      </w:r>
    </w:p>
    <w:p>
      <w:pPr>
        <w:numPr>
          <w:ilvl w:val="0"/>
          <w:numId w:val="1002"/>
        </w:numPr>
        <w:pStyle w:val="Compact"/>
      </w:pPr>
      <w:r>
        <w:rPr>
          <w:bCs/>
          <w:b/>
        </w:rPr>
        <w:t xml:space="preserve">Hotspot 4: Inbound Logistics Performance (555 km Rail Transport):</w:t>
      </w:r>
      <w:r>
        <w:t xml:space="preserve"> </w:t>
      </w:r>
      <w:r>
        <w:t xml:space="preserve">The utilization of rail freight for 555 km delivers an exceptionally low logistical footprint of</w:t>
      </w:r>
      <w:r>
        <w:t xml:space="preserve"> </w:t>
      </w:r>
      <w:r>
        <w:rPr>
          <w:bCs/>
          <w:b/>
        </w:rPr>
        <w:t xml:space="preserve">25.00 kg CO</w:t>
      </w:r>
      <w:r>
        <w:rPr>
          <w:vertAlign w:val="subscript"/>
          <w:bCs/>
          <w:b/>
        </w:rPr>
        <w:t xml:space="preserve">2</w:t>
      </w:r>
      <w:r>
        <w:rPr>
          <w:bCs/>
          <w:b/>
        </w:rPr>
        <w:t xml:space="preserve">e</w:t>
      </w:r>
      <w:r>
        <w:t xml:space="preserve"> </w:t>
      </w:r>
      <w:r>
        <w:t xml:space="preserve">(0.65% of total PCF). Comparing this directly against heavy road transport (which would generate approximately 98.4 kg CO</w:t>
      </w:r>
      <w:r>
        <w:rPr>
          <w:vertAlign w:val="subscript"/>
        </w:rPr>
        <w:t xml:space="preserve">2</w:t>
      </w:r>
      <w:r>
        <w:t xml:space="preserve">e for equivalent tonnage and distance) confirms that electrified/optimized rail saves roughly</w:t>
      </w:r>
      <w:r>
        <w:t xml:space="preserve"> </w:t>
      </w:r>
      <w:r>
        <w:rPr>
          <w:bCs/>
          <w:b/>
        </w:rPr>
        <w:t xml:space="preserve">74.6%</w:t>
      </w:r>
      <w:r>
        <w:t xml:space="preserve"> </w:t>
      </w:r>
      <w:r>
        <w:t xml:space="preserve">of inland transport emissions.</w:t>
      </w:r>
    </w:p>
    <w:bookmarkEnd w:id="29"/>
    <w:bookmarkStart w:id="30" w:name="data-quality-uncertainty-assessment"/>
    <w:p>
      <w:pPr>
        <w:pStyle w:val="Heading3"/>
      </w:pPr>
      <w:r>
        <w:t xml:space="preserve">Data Quality &amp; Uncertainty Assessment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 / Lifecycle Stage</w:t>
            </w:r>
          </w:p>
        </w:tc>
        <w:tc>
          <w:tcPr/>
          <w:p>
            <w:pPr>
              <w:pStyle w:val="Compact"/>
              <w:jc w:val="left"/>
            </w:pPr>
            <w:r>
              <w:t xml:space="preserve">Data Quality Rating</w:t>
            </w:r>
          </w:p>
        </w:tc>
        <w:tc>
          <w:tcPr/>
          <w:p>
            <w:pPr>
              <w:pStyle w:val="Compact"/>
              <w:jc w:val="left"/>
            </w:pPr>
            <w:r>
              <w:t xml:space="preserve">Temporal / Geographic Representativeness</w:t>
            </w:r>
          </w:p>
        </w:tc>
        <w:tc>
          <w:tcPr/>
          <w:p>
            <w:pPr>
              <w:pStyle w:val="Compact"/>
              <w:jc w:val="left"/>
            </w:pPr>
            <w:r>
              <w:t xml:space="preserve">Uncertainty Range &amp; Sensitivity</w:t>
            </w:r>
          </w:p>
        </w:tc>
      </w:tr>
      <w:tr>
        <w:tc>
          <w:tcPr/>
          <w:p>
            <w:pPr>
              <w:pStyle w:val="Compact"/>
              <w:jc w:val="left"/>
            </w:pPr>
            <w:r>
              <w:t xml:space="preserve">Scope 1 Direct Combustion &amp; Flaring</w:t>
            </w:r>
          </w:p>
        </w:tc>
        <w:tc>
          <w:tcPr/>
          <w:p>
            <w:pPr>
              <w:pStyle w:val="Compact"/>
              <w:jc w:val="left"/>
            </w:pPr>
            <w:r>
              <w:t xml:space="preserve">Very High (Primary)</w:t>
            </w:r>
          </w:p>
        </w:tc>
        <w:tc>
          <w:tcPr/>
          <w:p>
            <w:pPr>
              <w:pStyle w:val="Compact"/>
              <w:jc w:val="left"/>
            </w:pPr>
            <w:r>
              <w:t xml:space="preserve">Belgium (2025/2026 plant continuous data)</w:t>
            </w:r>
          </w:p>
        </w:tc>
        <w:tc>
          <w:tcPr/>
          <w:p>
            <w:pPr>
              <w:pStyle w:val="Compact"/>
              <w:jc w:val="left"/>
            </w:pPr>
            <w:r>
              <w:t xml:space="preserve">± 3.5% (continuous flow metering and flue-gas chromatography).</w:t>
            </w:r>
          </w:p>
        </w:tc>
      </w:tr>
      <w:tr>
        <w:tc>
          <w:tcPr/>
          <w:p>
            <w:pPr>
              <w:pStyle w:val="Compact"/>
              <w:jc w:val="left"/>
            </w:pPr>
            <w:r>
              <w:t xml:space="preserve">Scope 2 Belgian Power &amp; Steam</w:t>
            </w:r>
          </w:p>
        </w:tc>
        <w:tc>
          <w:tcPr/>
          <w:p>
            <w:pPr>
              <w:pStyle w:val="Compact"/>
              <w:jc w:val="left"/>
            </w:pPr>
            <w:r>
              <w:t xml:space="preserve">High (Primary)</w:t>
            </w:r>
          </w:p>
        </w:tc>
        <w:tc>
          <w:tcPr/>
          <w:p>
            <w:pPr>
              <w:pStyle w:val="Compact"/>
              <w:jc w:val="left"/>
            </w:pPr>
            <w:r>
              <w:t xml:space="preserve">Belgium (Local utility invoices, 2025)</w:t>
            </w:r>
          </w:p>
        </w:tc>
        <w:tc>
          <w:tcPr/>
          <w:p>
            <w:pPr>
              <w:pStyle w:val="Compact"/>
              <w:jc w:val="left"/>
            </w:pPr>
            <w:r>
              <w:t xml:space="preserve">± 4.0% (market-based contract vs grid residual variation).</w:t>
            </w:r>
          </w:p>
        </w:tc>
      </w:tr>
      <w:tr>
        <w:tc>
          <w:tcPr/>
          <w:p>
            <w:pPr>
              <w:pStyle w:val="Compact"/>
              <w:jc w:val="left"/>
            </w:pPr>
            <w:r>
              <w:t xml:space="preserve">Scope 3 Precursor Chemical (Asia)</w:t>
            </w:r>
          </w:p>
        </w:tc>
        <w:tc>
          <w:tcPr/>
          <w:p>
            <w:pPr>
              <w:pStyle w:val="Compact"/>
              <w:jc w:val="left"/>
            </w:pPr>
            <w:r>
              <w:t xml:space="preserve">Medium-High (Secondary)</w:t>
            </w:r>
          </w:p>
        </w:tc>
        <w:tc>
          <w:tcPr/>
          <w:p>
            <w:pPr>
              <w:pStyle w:val="Compact"/>
              <w:jc w:val="left"/>
            </w:pPr>
            <w:r>
              <w:t xml:space="preserve">East Asia (Ecoinvent 3.10 regionalized)</w:t>
            </w:r>
          </w:p>
        </w:tc>
        <w:tc>
          <w:tcPr/>
          <w:p>
            <w:pPr>
              <w:pStyle w:val="Compact"/>
              <w:jc w:val="left"/>
            </w:pPr>
            <w:r>
              <w:t xml:space="preserve">± 8.5% (variance in coal-to-chemical vs petroleum butane routes).</w:t>
            </w:r>
          </w:p>
        </w:tc>
      </w:tr>
      <w:tr>
        <w:tc>
          <w:tcPr/>
          <w:p>
            <w:pPr>
              <w:pStyle w:val="Compact"/>
              <w:jc w:val="left"/>
            </w:pPr>
            <w:r>
              <w:t xml:space="preserve">Scope 3 Hydrogen Supply</w:t>
            </w:r>
          </w:p>
        </w:tc>
        <w:tc>
          <w:tcPr/>
          <w:p>
            <w:pPr>
              <w:pStyle w:val="Compact"/>
              <w:jc w:val="left"/>
            </w:pPr>
            <w:r>
              <w:t xml:space="preserve">High (Primary)</w:t>
            </w:r>
          </w:p>
        </w:tc>
        <w:tc>
          <w:tcPr/>
          <w:p>
            <w:pPr>
              <w:pStyle w:val="Compact"/>
              <w:jc w:val="left"/>
            </w:pPr>
            <w:r>
              <w:t xml:space="preserve">Belgium / Pipeline (2025/2026 data)</w:t>
            </w:r>
          </w:p>
        </w:tc>
        <w:tc>
          <w:tcPr/>
          <w:p>
            <w:pPr>
              <w:pStyle w:val="Compact"/>
              <w:jc w:val="left"/>
            </w:pPr>
            <w:r>
              <w:t xml:space="preserve">± 5.0% (fluctuations in upstream natural gas extraction leaks).</w:t>
            </w:r>
          </w:p>
        </w:tc>
      </w:tr>
      <w:tr>
        <w:tc>
          <w:tcPr/>
          <w:p>
            <w:pPr>
              <w:pStyle w:val="Compact"/>
              <w:jc w:val="left"/>
            </w:pPr>
            <w:r>
              <w:t xml:space="preserve">Scope 3 Inbound Rail (555 km)</w:t>
            </w:r>
          </w:p>
        </w:tc>
        <w:tc>
          <w:tcPr/>
          <w:p>
            <w:pPr>
              <w:pStyle w:val="Compact"/>
              <w:jc w:val="left"/>
            </w:pPr>
            <w:r>
              <w:t xml:space="preserve">Very High (Primary Specific)</w:t>
            </w:r>
          </w:p>
        </w:tc>
        <w:tc>
          <w:tcPr/>
          <w:p>
            <w:pPr>
              <w:pStyle w:val="Compact"/>
              <w:jc w:val="left"/>
            </w:pPr>
            <w:r>
              <w:t xml:space="preserve">Central/Western European Rail Corridor</w:t>
            </w:r>
          </w:p>
        </w:tc>
        <w:tc>
          <w:tcPr/>
          <w:p>
            <w:pPr>
              <w:pStyle w:val="Compact"/>
              <w:jc w:val="left"/>
            </w:pPr>
            <w:r>
              <w:t xml:space="preserve">± 2.5% (verified rail route distance and DEFRA traction factor).</w:t>
            </w:r>
          </w:p>
        </w:tc>
      </w:tr>
    </w:tbl>
    <w:bookmarkEnd w:id="30"/>
    <w:bookmarkStart w:id="31" w:name="strategic-decarbonization-roadmap"/>
    <w:p>
      <w:pPr>
        <w:pStyle w:val="Heading3"/>
      </w:pPr>
      <w:r>
        <w:t xml:space="preserve">Strategic Decarbonization Roadmap</w:t>
      </w:r>
    </w:p>
    <w:p>
      <w:pPr>
        <w:numPr>
          <w:ilvl w:val="0"/>
          <w:numId w:val="1003"/>
        </w:numPr>
        <w:pStyle w:val="Compact"/>
      </w:pPr>
      <w:r>
        <w:rPr>
          <w:bCs/>
          <w:b/>
        </w:rPr>
        <w:t xml:space="preserve">Transition to Low-Carbon / Green Hydrogen:</w:t>
      </w:r>
      <w:r>
        <w:t xml:space="preserve"> </w:t>
      </w:r>
      <w:r>
        <w:t xml:space="preserve">Switching from SMR hydrogen to water electrolysis powered by offshore wind in Belgium would decrease total PCF by up to</w:t>
      </w:r>
      <w:r>
        <w:t xml:space="preserve"> </w:t>
      </w:r>
      <w:r>
        <w:rPr>
          <w:bCs/>
          <w:b/>
        </w:rPr>
        <w:t xml:space="preserve">745 kg CO</w:t>
      </w:r>
      <w:r>
        <w:rPr>
          <w:vertAlign w:val="subscript"/>
          <w:bCs/>
          <w:b/>
        </w:rPr>
        <w:t xml:space="preserve">2</w:t>
      </w:r>
      <w:r>
        <w:rPr>
          <w:bCs/>
          <w:b/>
        </w:rPr>
        <w:t xml:space="preserve">e per metric ton (-19.2%)</w:t>
      </w:r>
      <w:r>
        <w:t xml:space="preserve">.</w:t>
      </w:r>
    </w:p>
    <w:p>
      <w:pPr>
        <w:numPr>
          <w:ilvl w:val="0"/>
          <w:numId w:val="1003"/>
        </w:numPr>
        <w:pStyle w:val="Compact"/>
      </w:pPr>
      <w:r>
        <w:rPr>
          <w:bCs/>
          <w:b/>
        </w:rPr>
        <w:t xml:space="preserve">Biomass-Balanced or Recycled Intermediates:</w:t>
      </w:r>
      <w:r>
        <w:t xml:space="preserve"> </w:t>
      </w:r>
      <w:r>
        <w:t xml:space="preserve">Procuring mass-balanced bio-succinic acid or bio-maleic anhydride compliant with 2026 LSR standards can yield significant negative biogenic credits and lower Scope 3 Cat 1 emissions by over 40%.</w:t>
      </w:r>
    </w:p>
    <w:p>
      <w:pPr>
        <w:numPr>
          <w:ilvl w:val="0"/>
          <w:numId w:val="1003"/>
        </w:numPr>
        <w:pStyle w:val="Compact"/>
      </w:pPr>
      <w:r>
        <w:rPr>
          <w:bCs/>
          <w:b/>
        </w:rPr>
        <w:t xml:space="preserve">Electric Reboiler Electrification &amp; Waste Heat Upgrading:</w:t>
      </w:r>
      <w:r>
        <w:t xml:space="preserve"> </w:t>
      </w:r>
      <w:r>
        <w:t xml:space="preserve">Replacing natural gas reboilers with high-temperature mechanical vapor recompression (MVR) heat pumps running on certified renewable electricity would eliminate approximately</w:t>
      </w:r>
      <w:r>
        <w:t xml:space="preserve"> </w:t>
      </w:r>
      <w:r>
        <w:rPr>
          <w:bCs/>
          <w:b/>
        </w:rPr>
        <w:t xml:space="preserve">254 kg CO</w:t>
      </w:r>
      <w:r>
        <w:rPr>
          <w:vertAlign w:val="subscript"/>
          <w:bCs/>
          <w:b/>
        </w:rPr>
        <w:t xml:space="preserve">2</w:t>
      </w:r>
      <w:r>
        <w:rPr>
          <w:bCs/>
          <w:b/>
        </w:rPr>
        <w:t xml:space="preserve">e</w:t>
      </w:r>
      <w:r>
        <w:t xml:space="preserve"> </w:t>
      </w:r>
      <w:r>
        <w:t xml:space="preserve">of Scope 1 emissions.</w:t>
      </w:r>
    </w:p>
    <w:p>
      <w:r>
        <w:pict>
          <v:rect style="width:0;height:1.5pt" o:hralign="center" o:hrstd="t" o:hr="t"/>
        </w:pict>
      </w:r>
    </w:p>
    <w:p>
      <w:pPr>
        <w:pStyle w:val="FirstParagraph"/>
      </w:pPr>
      <w:r>
        <w:t xml:space="preserve">Report Published by</w:t>
      </w:r>
      <w:r>
        <w:t xml:space="preserve"> </w:t>
      </w:r>
      <w:r>
        <w:rPr>
          <w:bCs/>
          <w:b/>
        </w:rPr>
        <w:t xml:space="preserve">businessanalytiq.com</w:t>
      </w:r>
      <w:r>
        <w:t xml:space="preserve"> </w:t>
      </w:r>
      <w:r>
        <w:t xml:space="preserve">• Conforming to GHG Protocol Corporate &amp; Product Life Cycle Accounting Standards • Confidential - For Internal &amp; Client Supply Chain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1,4-Butanediol (BDO)</dc:title>
  <dc:creator/>
  <dc:description>High-detail Product Carbon Footprint (PCF) report for 1.0 metric ton of 1,4-Butanediol (BDO) under the GHG Protocol Product Standard and 2026 LSR updates. Cradle-to-gate factory gate boundary.</dc:description>
  <dc:language>en</dc:language>
  <cp:keywords/>
  <dcterms:created xsi:type="dcterms:W3CDTF">2026-10-09T14:41:08Z</dcterms:created>
  <dcterms:modified xsi:type="dcterms:W3CDTF">2026-10-09T14:41:08Z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