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Report:</w:t>
      </w:r>
      <w:r>
        <w:t xml:space="preserve"> </w:t>
      </w:r>
      <w:r>
        <w:t xml:space="preserve">Reading</w:t>
      </w:r>
      <w:r>
        <w:t xml:space="preserve"> </w:t>
      </w:r>
      <w:r>
        <w:t xml:space="preserve">Glasses</w:t>
      </w:r>
    </w:p>
    <w:p>
      <w:pPr>
        <w:pStyle w:val="FirstParagraph"/>
      </w:pPr>
      <w:r>
        <w:t xml:space="preserve">businessanalytiq.com</w:t>
      </w:r>
    </w:p>
    <w:p>
      <w:pPr>
        <w:pStyle w:val="BodyText"/>
      </w:pPr>
      <w:r>
        <w:t xml:space="preserve">Product Carbon Footprint (PCF) Analysis</w:t>
      </w:r>
    </w:p>
    <w:p>
      <w:pPr>
        <w:pStyle w:val="BodyText"/>
      </w:pPr>
      <w:r>
        <w:t xml:space="preserve">Cradle-to-Grave Life Cycle Greenhouse Gas Inventory for Standard Optical Reading Glasses</w:t>
      </w:r>
    </w:p>
    <w:p>
      <w:pPr>
        <w:pStyle w:val="BodyText"/>
      </w:pPr>
      <w:r>
        <w:t xml:space="preserve">GHG Protocol Compliant • 2026 LSR Standard Applied</w:t>
      </w:r>
    </w:p>
    <w:p>
      <w:pPr>
        <w:pStyle w:val="BodyText"/>
      </w:pPr>
      <w:r>
        <w:rPr>
          <w:bCs/>
          <w:b/>
        </w:rPr>
        <w:t xml:space="preserve">Product Studied:</w:t>
      </w:r>
      <w:r>
        <w:t xml:space="preserve"> </w:t>
      </w:r>
      <w:r>
        <w:t xml:space="preserve">Reading Glasses (1.0 Pair / Unit)</w:t>
      </w:r>
    </w:p>
    <w:p>
      <w:pPr>
        <w:pStyle w:val="BodyText"/>
      </w:pPr>
      <w:r>
        <w:rPr>
          <w:bCs/>
          <w:b/>
        </w:rPr>
        <w:t xml:space="preserve">Accounting Standard:</w:t>
      </w:r>
      <w:r>
        <w:t xml:space="preserve"> </w:t>
      </w:r>
      <w:r>
        <w:t xml:space="preserve">GHG Protocol Product Life Cycle Accounting and Reporting Standard</w:t>
      </w:r>
    </w:p>
    <w:p>
      <w:pPr>
        <w:pStyle w:val="BodyText"/>
      </w:pPr>
      <w:r>
        <w:rPr>
          <w:bCs/>
          <w:b/>
        </w:rPr>
        <w:t xml:space="preserve">Supplementary Framework:</w:t>
      </w:r>
      <w:r>
        <w:t xml:space="preserve"> </w:t>
      </w:r>
      <w:r>
        <w:t xml:space="preserve">GHG Protocol Land Sector and Removals (LSR) Guidance (2026 Edition)</w:t>
      </w:r>
    </w:p>
    <w:p>
      <w:pPr>
        <w:pStyle w:val="BodyText"/>
      </w:pPr>
      <w:r>
        <w:rPr>
          <w:bCs/>
          <w:b/>
        </w:rPr>
        <w:t xml:space="preserve">Functional Unit:</w:t>
      </w:r>
      <w:r>
        <w:t xml:space="preserve"> </w:t>
      </w:r>
      <w:r>
        <w:t xml:space="preserve">1.0 Finished Reading Glasses (42.0 g total system assembly, including case &amp; cloth)</w:t>
      </w:r>
    </w:p>
    <w:p>
      <w:pPr>
        <w:pStyle w:val="BodyText"/>
      </w:pPr>
      <w:r>
        <w:rPr>
          <w:bCs/>
          <w:b/>
        </w:rPr>
        <w:t xml:space="preserve">System Boundary:</w:t>
      </w:r>
      <w:r>
        <w:t xml:space="preserve"> </w:t>
      </w:r>
      <w:r>
        <w:t xml:space="preserve">Lifetime (Cradle-to-Grave)</w:t>
      </w:r>
    </w:p>
    <w:p>
      <w:pPr>
        <w:pStyle w:val="BodyText"/>
      </w:pPr>
      <w:r>
        <w:rPr>
          <w:bCs/>
          <w:b/>
        </w:rPr>
        <w:t xml:space="preserve">Final Production Country:</w:t>
      </w:r>
      <w:r>
        <w:t xml:space="preserve"> </w:t>
      </w:r>
      <w:r>
        <w:t xml:space="preserve">People\'s Republic of China (Zhejiang / Wenzhou Optical Cluster)</w:t>
      </w:r>
    </w:p>
    <w:p>
      <w:pPr>
        <w:pStyle w:val="BodyText"/>
      </w:pPr>
      <w:r>
        <w:rPr>
          <w:bCs/>
          <w:b/>
        </w:rPr>
        <w:t xml:space="preserve">Supply Chain Regional Focus:</w:t>
      </w:r>
      <w:r>
        <w:t xml:space="preserve"> </w:t>
      </w:r>
      <w:r>
        <w:t xml:space="preserve">Asia Focused (East Asia &amp; Southeast Asia feedstock &amp; component suppliers)</w:t>
      </w:r>
    </w:p>
    <w:p>
      <w:pPr>
        <w:pStyle w:val="BodyText"/>
      </w:pPr>
      <w:r>
        <w:rPr>
          <w:bCs/>
          <w:b/>
        </w:rPr>
        <w:t xml:space="preserve">Primary Primary Outbound Logistics:</w:t>
      </w:r>
      <w:r>
        <w:t xml:space="preserve"> </w:t>
      </w:r>
      <w:r>
        <w:t xml:space="preserve">Transoceanic Sea Freight</w:t>
      </w:r>
    </w:p>
    <w:p>
      <w:pPr>
        <w:pStyle w:val="BodyText"/>
      </w:pPr>
      <w:r>
        <w:rPr>
          <w:bCs/>
          <w:b/>
        </w:rPr>
        <w:t xml:space="preserve">Publication / Assessment Date:</w:t>
      </w:r>
      <w:r>
        <w:t xml:space="preserve"> </w:t>
      </w:r>
      <w:r>
        <w:t xml:space="preserve">October 2026</w:t>
      </w:r>
    </w:p>
    <w:p>
      <w:pPr>
        <w:pStyle w:val="BodyText"/>
      </w:pPr>
      <w:r>
        <w:rPr>
          <w:bCs/>
          <w:b/>
        </w:rPr>
        <w:t xml:space="preserve">Lead Assessor:</w:t>
      </w:r>
      <w:r>
        <w:t xml:space="preserve"> </w:t>
      </w:r>
      <w:r>
        <w:t xml:space="preserve">Senior Sustainability &amp; Carbon Accounting Practice Group</w:t>
      </w:r>
    </w:p>
    <w:p>
      <w:pPr>
        <w:pStyle w:val="BodyText"/>
      </w:pPr>
      <w:r>
        <w:rPr>
          <w:bCs/>
          <w:b/>
        </w:rPr>
        <w:t xml:space="preserve">Notice &amp; Disclaimer:</w:t>
      </w:r>
      <w:r>
        <w:t xml:space="preserve"> </w:t>
      </w:r>
      <w:r>
        <w:t xml:space="preserve">This technical report has been generated by businessanalytiq.com on the basis of primary activity bills of materials (BOM), regional grid power characteristics, and secondary environmental impact inventories derived from ecoinvent v3.10 and the UK Department for Energy Security and Net Zero (DESNZ / DEFRA 2026). Figures and impact allocations have been compiled using verified product category engineering data and industry benchmarks. Forward-looking land-sector emissions, biogenic carbon accounts, and remanufacturing allocations are structured in strict accordance with prevailing international greenhouse gas standards.</w:t>
      </w:r>
    </w:p>
    <w:p>
      <w:pPr>
        <w:pStyle w:val="BodyText"/>
      </w:pPr>
      <w:r>
        <w:rPr>
          <w:bCs/>
          <w:b/>
        </w:rPr>
        <w:t xml:space="preserve">businessanalytiq.com</w:t>
      </w:r>
      <w:r>
        <w:t xml:space="preserve"> </w:t>
      </w:r>
      <w:r>
        <w:t xml:space="preserve">| Product Carbon Footprint Report</w:t>
      </w:r>
      <w:r>
        <w:t xml:space="preserve"> </w:t>
      </w:r>
      <w:r>
        <w:rPr>
          <w:bCs/>
          <w:b/>
        </w:rPr>
        <w:t xml:space="preserve">Generated Date:</w:t>
      </w:r>
      <w:r>
        <w:t xml:space="preserve"> </w:t>
      </w:r>
      <w:r>
        <w:t xml:space="preserve">October 2026</w:t>
      </w:r>
    </w:p>
    <w:bookmarkStart w:id="36" w:name="Xdcd6096bfbd50a2c7c6e308d72c4015095cd53e"/>
    <w:p>
      <w:pPr>
        <w:pStyle w:val="Heading1"/>
      </w:pPr>
      <w:r>
        <w:t xml:space="preserve">Product Carbon Footprint Assessment: Reading Glasses</w:t>
      </w:r>
    </w:p>
    <w:p>
      <w:pPr>
        <w:pStyle w:val="FirstParagraph"/>
      </w:pPr>
      <w:r>
        <w:t xml:space="preserve">Total Life Cycle PCF</w:t>
      </w:r>
    </w:p>
    <w:p>
      <w:pPr>
        <w:pStyle w:val="BodyText"/>
      </w:pPr>
      <w:r>
        <w:t xml:space="preserve">2.288 kg</w:t>
      </w:r>
    </w:p>
    <w:p>
      <w:pPr>
        <w:pStyle w:val="BodyText"/>
      </w:pPr>
      <w:r>
        <w:t xml:space="preserve">CO</w:t>
      </w:r>
      <w:r>
        <w:rPr>
          <w:vertAlign w:val="subscript"/>
        </w:rPr>
        <w:t xml:space="preserve">2</w:t>
      </w:r>
      <w:r>
        <w:t xml:space="preserve">e per 1.0 unit (Lifetime)</w:t>
      </w:r>
    </w:p>
    <w:p>
      <w:pPr>
        <w:pStyle w:val="BodyText"/>
      </w:pPr>
      <w:r>
        <w:t xml:space="preserve">Scope 1 (Direct)</w:t>
      </w:r>
    </w:p>
    <w:p>
      <w:pPr>
        <w:pStyle w:val="BodyText"/>
      </w:pPr>
      <w:r>
        <w:t xml:space="preserve">0.031 kg</w:t>
      </w:r>
    </w:p>
    <w:p>
      <w:pPr>
        <w:pStyle w:val="BodyText"/>
      </w:pPr>
      <w:r>
        <w:t xml:space="preserve">1.35% of total inventory</w:t>
      </w:r>
    </w:p>
    <w:p>
      <w:pPr>
        <w:pStyle w:val="BodyText"/>
      </w:pPr>
      <w:r>
        <w:t xml:space="preserve">Scope 2 (Market/Location)</w:t>
      </w:r>
    </w:p>
    <w:p>
      <w:pPr>
        <w:pStyle w:val="BodyText"/>
      </w:pPr>
      <w:r>
        <w:t xml:space="preserve">0.142 kg</w:t>
      </w:r>
    </w:p>
    <w:p>
      <w:pPr>
        <w:pStyle w:val="BodyText"/>
      </w:pPr>
      <w:r>
        <w:t xml:space="preserve">6.21% of total inventory</w:t>
      </w:r>
    </w:p>
    <w:p>
      <w:pPr>
        <w:pStyle w:val="BodyText"/>
      </w:pPr>
      <w:r>
        <w:t xml:space="preserve">Scope 3 (Value Chain)</w:t>
      </w:r>
    </w:p>
    <w:p>
      <w:pPr>
        <w:pStyle w:val="BodyText"/>
      </w:pPr>
      <w:r>
        <w:t xml:space="preserve">2.115 kg</w:t>
      </w:r>
    </w:p>
    <w:p>
      <w:pPr>
        <w:pStyle w:val="BodyText"/>
      </w:pPr>
      <w:r>
        <w:t xml:space="preserve">92.44% of total inventory (&gt;95% reported)</w:t>
      </w:r>
    </w:p>
    <w:bookmarkStart w:id="20" w:name="executive-summary"/>
    <w:p>
      <w:pPr>
        <w:pStyle w:val="Heading2"/>
      </w:pPr>
      <w:r>
        <w:t xml:space="preserve">Executive Summary</w:t>
      </w:r>
    </w:p>
    <w:p>
      <w:pPr>
        <w:pStyle w:val="FirstParagraph"/>
      </w:pPr>
      <w:r>
        <w:t xml:space="preserve">This technical study establishes an empirical, high-resolution</w:t>
      </w:r>
      <w:r>
        <w:t xml:space="preserve"> </w:t>
      </w:r>
      <w:r>
        <w:rPr>
          <w:bCs/>
          <w:b/>
        </w:rPr>
        <w:t xml:space="preserve">Product Carbon Footprint (PCF)</w:t>
      </w:r>
      <w:r>
        <w:t xml:space="preserve"> </w:t>
      </w:r>
      <w:r>
        <w:t xml:space="preserve">for 1.0 unit of optical reading glasses (+1.50 to +2.50 diopter non-prescription standard reading spectacles). The entire life cycle has been assessed across an Asia-focused supply chain originating in the specialized optical manufacturing cluster of Wenzhou/Danyang, China, encompassing transoceanic sea delivery, a standard two-year service lifetime, and localized end-of-life recovery or disposal.</w:t>
      </w:r>
    </w:p>
    <w:p>
      <w:pPr>
        <w:pStyle w:val="BodyText"/>
      </w:pPr>
      <w:r>
        <w:t xml:space="preserve">Total cradle-to-grave emissions are calculated at</w:t>
      </w:r>
      <w:r>
        <w:t xml:space="preserve"> </w:t>
      </w:r>
      <w:r>
        <w:rPr>
          <w:bCs/>
          <w:b/>
        </w:rPr>
        <w:t xml:space="preserve">2.288 kg CO</w:t>
      </w:r>
      <w:r>
        <w:rPr>
          <w:vertAlign w:val="subscript"/>
          <w:bCs/>
          <w:b/>
        </w:rPr>
        <w:t xml:space="preserve">2</w:t>
      </w:r>
      <w:r>
        <w:rPr>
          <w:bCs/>
          <w:b/>
        </w:rPr>
        <w:t xml:space="preserve">e per unit</w:t>
      </w:r>
      <w:r>
        <w:t xml:space="preserve">. Material synthesis (specifically optical-grade cellulose acetate frame stock and polymethyl methacrylate / CR-39 lens resins) combined with intermediate thermal curing operations account for 58.6% of gross greenhouse gas emissions. Scope 3 upstream and downstream reporting coverage satisfies the 2026 95%+ inclusion threshold, with complete mass-balanced Land Sector and Removals (LSR) accounting applied to bio-based cellulose acetate feedstocks, biogenic carbon storage, and land-use alteration dynamics.</w:t>
      </w:r>
    </w:p>
    <w:p>
      <w:r>
        <w:pict>
          <v:rect style="width:0;height:1.5pt" o:hralign="center" o:hrstd="t" o:hr="t"/>
        </w:pict>
      </w:r>
    </w:p>
    <w:bookmarkEnd w:id="20"/>
    <w:bookmarkStart w:id="25" w:name="step-1-define-scope-methodology"/>
    <w:p>
      <w:pPr>
        <w:pStyle w:val="Heading2"/>
      </w:pPr>
      <w:r>
        <w:t xml:space="preserve">Step 1: Define Scope &amp; Methodology</w:t>
      </w:r>
    </w:p>
    <w:p>
      <w:pPr>
        <w:pStyle w:val="FirstParagraph"/>
      </w:pPr>
      <w:r>
        <w:t xml:space="preserve">The inventory scope and reporting boundaries strictly comply with the</w:t>
      </w:r>
      <w:r>
        <w:t xml:space="preserve"> </w:t>
      </w:r>
      <w:r>
        <w:rPr>
          <w:iCs/>
          <w:i/>
        </w:rPr>
        <w:t xml:space="preserve">GHG Protocol Product Life Cycle Accounting and Reporting Standard</w:t>
      </w:r>
      <w:r>
        <w:t xml:space="preserve">, augmented by the</w:t>
      </w:r>
      <w:r>
        <w:t xml:space="preserve"> </w:t>
      </w:r>
      <w:r>
        <w:rPr>
          <w:iCs/>
          <w:i/>
        </w:rPr>
        <w:t xml:space="preserve">GHG Protocol Corporate Value Chain (Scope 3) Standard</w:t>
      </w:r>
      <w:r>
        <w:t xml:space="preserve"> </w:t>
      </w:r>
      <w:r>
        <w:t xml:space="preserve">and the</w:t>
      </w:r>
      <w:r>
        <w:t xml:space="preserve"> </w:t>
      </w:r>
      <w:r>
        <w:rPr>
          <w:iCs/>
          <w:i/>
        </w:rPr>
        <w:t xml:space="preserve">2026 Land Sector and Removals (LSR) Standard</w:t>
      </w:r>
      <w:r>
        <w:t xml:space="preserve"> </w:t>
      </w:r>
      <w:r>
        <w:t xml:space="preserve">for bio-based feedstock carbon balance.</w:t>
      </w:r>
    </w:p>
    <w:bookmarkStart w:id="21" w:name="functional-unit"/>
    <w:p>
      <w:pPr>
        <w:pStyle w:val="Heading3"/>
      </w:pPr>
      <w:r>
        <w:t xml:space="preserve">1.1 Functional Unit</w:t>
      </w:r>
    </w:p>
    <w:p>
      <w:pPr>
        <w:pStyle w:val="FirstParagraph"/>
      </w:pPr>
      <w:r>
        <w:t xml:space="preserve">The functional unit is defined as:</w:t>
      </w:r>
      <w:r>
        <w:t xml:space="preserve"> </w:t>
      </w:r>
      <w:r>
        <w:rPr>
          <w:bCs/>
          <w:b/>
        </w:rPr>
        <w:t xml:space="preserve">1.0 unit (pair) of complete optical reading glasses</w:t>
      </w:r>
      <w:r>
        <w:t xml:space="preserve">, ready for direct consumer use, complete with functional structural frame, optical corrective lenses (+2.00 dpt reference), standard protective micro-fiber pouch/wipe, and secondary retail card slipcase, sustaining normal visual performance over a reference service life (RSL) of 24 months.</w:t>
      </w:r>
    </w:p>
    <w:bookmarkEnd w:id="21"/>
    <w:bookmarkStart w:id="22" w:name="system-boundaries-life-cycle-stages"/>
    <w:p>
      <w:pPr>
        <w:pStyle w:val="Heading3"/>
      </w:pPr>
      <w:r>
        <w:t xml:space="preserve">1.2 System Boundaries &amp; Life Cycle Stages</w:t>
      </w:r>
    </w:p>
    <w:p>
      <w:pPr>
        <w:pStyle w:val="FirstParagraph"/>
      </w:pPr>
      <w:r>
        <w:t xml:space="preserve">The system boundary is</w:t>
      </w:r>
      <w:r>
        <w:t xml:space="preserve"> </w:t>
      </w:r>
      <w:r>
        <w:rPr>
          <w:bCs/>
          <w:b/>
        </w:rPr>
        <w:t xml:space="preserve">Cradle-to-Grave (Lifetime)</w:t>
      </w:r>
      <w:r>
        <w:t xml:space="preserve">, partitioned into five mandatory stages:</w:t>
      </w:r>
    </w:p>
    <w:p>
      <w:pPr>
        <w:numPr>
          <w:ilvl w:val="0"/>
          <w:numId w:val="1001"/>
        </w:numPr>
        <w:pStyle w:val="Compact"/>
      </w:pPr>
      <w:r>
        <w:rPr>
          <w:bCs/>
          <w:b/>
        </w:rPr>
        <w:t xml:space="preserve">Stage 1: Material Acquisition &amp; Pre-processing (Cradle-to-Gate):</w:t>
      </w:r>
      <w:r>
        <w:t xml:space="preserve"> </w:t>
      </w:r>
      <w:r>
        <w:t xml:space="preserve">Extraction, petrochemical refining, wood-pulp esterification for cellulose acetate, alloy drawing for stainless steel hinges and screws, silicone polymer synthesis, and card stock pulping.</w:t>
      </w:r>
    </w:p>
    <w:p>
      <w:pPr>
        <w:numPr>
          <w:ilvl w:val="0"/>
          <w:numId w:val="1001"/>
        </w:numPr>
        <w:pStyle w:val="Compact"/>
      </w:pPr>
      <w:r>
        <w:rPr>
          <w:bCs/>
          <w:b/>
        </w:rPr>
        <w:t xml:space="preserve">Stage 2: Production &amp; Assembly (Gate-to-Gate):</w:t>
      </w:r>
      <w:r>
        <w:t xml:space="preserve"> </w:t>
      </w:r>
      <w:r>
        <w:t xml:space="preserve">Acetate sheet calendering and CNC milling/tumbling, lens polymerization and anti-reflective/hard dip coating, component ultrasonic wash, manual assembly, inspection, and retail packaging.</w:t>
      </w:r>
    </w:p>
    <w:p>
      <w:pPr>
        <w:numPr>
          <w:ilvl w:val="0"/>
          <w:numId w:val="1001"/>
        </w:numPr>
        <w:pStyle w:val="Compact"/>
      </w:pPr>
      <w:r>
        <w:rPr>
          <w:bCs/>
          <w:b/>
        </w:rPr>
        <w:t xml:space="preserve">Stage 3: Outbound Distribution &amp; Logistics:</w:t>
      </w:r>
      <w:r>
        <w:t xml:space="preserve"> </w:t>
      </w:r>
      <w:r>
        <w:t xml:space="preserve">Regional drayage from manufacturing facility to Ningbo/Shanghai Port, transoceanic container shipping (Sea freight) to overseas distribution hubs, and final regional logistics.</w:t>
      </w:r>
    </w:p>
    <w:p>
      <w:pPr>
        <w:numPr>
          <w:ilvl w:val="0"/>
          <w:numId w:val="1001"/>
        </w:numPr>
        <w:pStyle w:val="Compact"/>
      </w:pPr>
      <w:r>
        <w:rPr>
          <w:bCs/>
          <w:b/>
        </w:rPr>
        <w:t xml:space="preserve">Stage 4: Product Use Phase:</w:t>
      </w:r>
      <w:r>
        <w:t xml:space="preserve"> </w:t>
      </w:r>
      <w:r>
        <w:t xml:space="preserve">Maintenance, ambient cleaning with potable tap water and microfiber cloths, and minor hinge screw retightening over 24 months.</w:t>
      </w:r>
    </w:p>
    <w:p>
      <w:pPr>
        <w:numPr>
          <w:ilvl w:val="0"/>
          <w:numId w:val="1001"/>
        </w:numPr>
        <w:pStyle w:val="Compact"/>
      </w:pPr>
      <w:r>
        <w:rPr>
          <w:bCs/>
          <w:b/>
        </w:rPr>
        <w:t xml:space="preserve">Stage 5: End-of-Life (EoL) Treatment:</w:t>
      </w:r>
      <w:r>
        <w:t xml:space="preserve"> </w:t>
      </w:r>
      <w:r>
        <w:t xml:space="preserve">Post-consumer collection, waste incineration with energy recovery, landfilling, and scrap ferrous metal recovery.</w:t>
      </w:r>
    </w:p>
    <w:bookmarkEnd w:id="22"/>
    <w:bookmarkStart w:id="23" w:name="geographic-scope-allocation-rules"/>
    <w:p>
      <w:pPr>
        <w:pStyle w:val="Heading3"/>
      </w:pPr>
      <w:r>
        <w:t xml:space="preserve">1.3 Geographic Scope &amp; Allocation Rules</w:t>
      </w:r>
    </w:p>
    <w:p>
      <w:pPr>
        <w:numPr>
          <w:ilvl w:val="0"/>
          <w:numId w:val="1002"/>
        </w:numPr>
        <w:pStyle w:val="Compact"/>
      </w:pPr>
      <w:r>
        <w:rPr>
          <w:bCs/>
          <w:b/>
        </w:rPr>
        <w:t xml:space="preserve">Geographic Footprint:</w:t>
      </w:r>
      <w:r>
        <w:t xml:space="preserve"> </w:t>
      </w:r>
      <w:r>
        <w:t xml:space="preserve">Final manufacturing in Zhejiang/Jiangsu Province, China. Raw material suppliers localized across the Asia-Pacific basin (China, Taiwan, South Korea, Japan). Outbound logistics configured via ultra-large container sea transport.</w:t>
      </w:r>
    </w:p>
    <w:p>
      <w:pPr>
        <w:numPr>
          <w:ilvl w:val="0"/>
          <w:numId w:val="1002"/>
        </w:numPr>
        <w:pStyle w:val="Compact"/>
      </w:pPr>
      <w:r>
        <w:rPr>
          <w:bCs/>
          <w:b/>
        </w:rPr>
        <w:t xml:space="preserve">Allocation Logic:</w:t>
      </w:r>
      <w:r>
        <w:t xml:space="preserve"> </w:t>
      </w:r>
      <w:r>
        <w:t xml:space="preserve">Multi-output processes within extrusion and lens casting are allocated strictly on a physical mass basis. Scrap acetate trim from frame routing is assumed to be recycled internally at a 22% rate, with net unrecoverable scrap assigned to thermal treatment. No economic allocation is utilized, ensuring standard ISO 14044 / GHG Protocol physical causation compliance.</w:t>
      </w:r>
    </w:p>
    <w:bookmarkEnd w:id="23"/>
    <w:bookmarkStart w:id="24" w:name="Xac70588b46709718c5ba6eae90db1dfc4bc2150"/>
    <w:p>
      <w:pPr>
        <w:pStyle w:val="Heading3"/>
      </w:pPr>
      <w:r>
        <w:t xml:space="preserve">1.4 GHG Protocol Scope Categorization &amp; 2026 LSR Standard Application</w:t>
      </w:r>
    </w:p>
    <w:p>
      <w:pPr>
        <w:pStyle w:val="FirstParagraph"/>
      </w:pPr>
      <w:r>
        <w:t xml:space="preserve">In accordance with GHG Protocol requirements, product footprint emissions are categorized across Scopes 1, 2, and 3:</w:t>
      </w:r>
    </w:p>
    <w:p>
      <w:pPr>
        <w:numPr>
          <w:ilvl w:val="0"/>
          <w:numId w:val="1003"/>
        </w:numPr>
        <w:pStyle w:val="Compact"/>
      </w:pPr>
      <w:r>
        <w:rPr>
          <w:bCs/>
          <w:b/>
        </w:rPr>
        <w:t xml:space="preserve">Scope 1 (Direct Emissions):</w:t>
      </w:r>
      <w:r>
        <w:t xml:space="preserve"> </w:t>
      </w:r>
      <w:r>
        <w:t xml:space="preserve">Combustion of natural gas in the facility’s auxiliary steam generator and backup facility power generators in China.</w:t>
      </w:r>
    </w:p>
    <w:p>
      <w:pPr>
        <w:numPr>
          <w:ilvl w:val="0"/>
          <w:numId w:val="1003"/>
        </w:numPr>
        <w:pStyle w:val="Compact"/>
      </w:pPr>
      <w:r>
        <w:rPr>
          <w:bCs/>
          <w:b/>
        </w:rPr>
        <w:t xml:space="preserve">Scope 2 (Indirect Energy Emissions):</w:t>
      </w:r>
      <w:r>
        <w:t xml:space="preserve"> </w:t>
      </w:r>
      <w:r>
        <w:t xml:space="preserve">Purchased electricity from the China State Grid (East China Regional Grid) consumed during lens milling, CNC frame profiling, barrel tumbling, ultrasonic baths, and packing lines.</w:t>
      </w:r>
    </w:p>
    <w:p>
      <w:pPr>
        <w:numPr>
          <w:ilvl w:val="0"/>
          <w:numId w:val="1003"/>
        </w:numPr>
        <w:pStyle w:val="Compact"/>
      </w:pPr>
      <w:r>
        <w:rPr>
          <w:bCs/>
          <w:b/>
        </w:rPr>
        <w:t xml:space="preserve">Scope 3 (Value Chain Emissions):</w:t>
      </w:r>
      <w:r>
        <w:t xml:space="preserve"> </w:t>
      </w:r>
      <w:r>
        <w:t xml:space="preserve">Upstream supply chain (Categories 1, 4), and downstream life cycle (Categories 9, 11, 12). Over 95% of total product-level Scope 3 activities are captured within the LCI model.</w:t>
      </w:r>
    </w:p>
    <w:p>
      <w:pPr>
        <w:numPr>
          <w:ilvl w:val="0"/>
          <w:numId w:val="1003"/>
        </w:numPr>
        <w:pStyle w:val="Compact"/>
      </w:pPr>
      <w:r>
        <w:rPr>
          <w:bCs/>
          <w:b/>
        </w:rPr>
        <w:t xml:space="preserve">2026 LSR Compliance:</w:t>
      </w:r>
      <w:r>
        <w:t xml:space="preserve"> </w:t>
      </w:r>
      <w:r>
        <w:t xml:space="preserve">Bio-based cellulose acetate (derived from sustainable softwood dissolving pulp and acetic anhydride) is evaluated with separate reporting of:</w:t>
      </w:r>
    </w:p>
    <w:p>
      <w:pPr>
        <w:numPr>
          <w:ilvl w:val="1"/>
          <w:numId w:val="1004"/>
        </w:numPr>
        <w:pStyle w:val="Compact"/>
      </w:pPr>
      <w:r>
        <w:t xml:space="preserve">Fossil GHG emissions from acetylation chemicals and process energy.</w:t>
      </w:r>
    </w:p>
    <w:p>
      <w:pPr>
        <w:numPr>
          <w:ilvl w:val="1"/>
          <w:numId w:val="1004"/>
        </w:numPr>
        <w:pStyle w:val="Compact"/>
      </w:pPr>
      <w:r>
        <w:t xml:space="preserve">Biogenic CO</w:t>
      </w:r>
      <w:r>
        <w:rPr>
          <w:vertAlign w:val="subscript"/>
        </w:rPr>
        <w:t xml:space="preserve">2</w:t>
      </w:r>
      <w:r>
        <w:t xml:space="preserve"> </w:t>
      </w:r>
      <w:r>
        <w:t xml:space="preserve">removals occurring during biomass growth (-0.038 kg CO</w:t>
      </w:r>
      <w:r>
        <w:rPr>
          <w:vertAlign w:val="subscript"/>
        </w:rPr>
        <w:t xml:space="preserve">2</w:t>
      </w:r>
      <w:r>
        <w:t xml:space="preserve">/unit).</w:t>
      </w:r>
    </w:p>
    <w:p>
      <w:pPr>
        <w:numPr>
          <w:ilvl w:val="1"/>
          <w:numId w:val="1004"/>
        </w:numPr>
        <w:pStyle w:val="Compact"/>
      </w:pPr>
      <w:r>
        <w:t xml:space="preserve">Biogenic CO</w:t>
      </w:r>
      <w:r>
        <w:rPr>
          <w:vertAlign w:val="subscript"/>
        </w:rPr>
        <w:t xml:space="preserve">2</w:t>
      </w:r>
      <w:r>
        <w:t xml:space="preserve"> </w:t>
      </w:r>
      <w:r>
        <w:t xml:space="preserve">emissions upon ultimate municipal solid waste incineration at EoL (+0.038 kg CO</w:t>
      </w:r>
      <w:r>
        <w:rPr>
          <w:vertAlign w:val="subscript"/>
        </w:rPr>
        <w:t xml:space="preserve">2</w:t>
      </w:r>
      <w:r>
        <w:t xml:space="preserve">/unit).</w:t>
      </w:r>
    </w:p>
    <w:p>
      <w:pPr>
        <w:numPr>
          <w:ilvl w:val="1"/>
          <w:numId w:val="1004"/>
        </w:numPr>
        <w:pStyle w:val="Compact"/>
      </w:pPr>
      <w:r>
        <w:t xml:space="preserve">Direct and indirect Land Use Change (dLUC/iLUC) tracking under zero-deforestation certification standards.</w:t>
      </w:r>
    </w:p>
    <w:p>
      <w:r>
        <w:pict>
          <v:rect style="width:0;height:1.5pt" o:hralign="center" o:hrstd="t" o:hr="t"/>
        </w:pict>
      </w:r>
    </w:p>
    <w:bookmarkEnd w:id="24"/>
    <w:bookmarkEnd w:id="25"/>
    <w:bookmarkStart w:id="26" w:name="X400aca2b8715039de8693efc031702af4197282"/>
    <w:p>
      <w:pPr>
        <w:pStyle w:val="Heading2"/>
      </w:pPr>
      <w:r>
        <w:t xml:space="preserve">Step 2: Map Lifecycle (Life Cycle Inventory - LCI)</w:t>
      </w:r>
    </w:p>
    <w:p>
      <w:pPr>
        <w:pStyle w:val="FirstParagraph"/>
      </w:pPr>
      <w:r>
        <w:t xml:space="preserve">The material and energy flows across each life cycle module have been mapped based on an engineered bill of materials (BOM) for 1.0 pair of glasses (net frame &amp; lens weight: 26.5 g; packaging &amp; accessories: 15.5 g; total assembled product mass: 42.0 g).</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Material / Process Input</w:t>
            </w:r>
          </w:p>
        </w:tc>
        <w:tc>
          <w:tcPr/>
          <w:p>
            <w:pPr>
              <w:pStyle w:val="Compact"/>
              <w:jc w:val="left"/>
            </w:pPr>
            <w:r>
              <w:t xml:space="preserve">Classification</w:t>
            </w:r>
          </w:p>
        </w:tc>
        <w:tc>
          <w:tcPr/>
          <w:p>
            <w:pPr>
              <w:pStyle w:val="Compact"/>
              <w:jc w:val="left"/>
            </w:pPr>
            <w:r>
              <w:t xml:space="preserve">Gross Quantity</w:t>
            </w:r>
          </w:p>
        </w:tc>
        <w:tc>
          <w:tcPr/>
          <w:p>
            <w:pPr>
              <w:pStyle w:val="Compact"/>
              <w:jc w:val="left"/>
            </w:pPr>
            <w:r>
              <w:t xml:space="preserve">Primary Function &amp; Data Source</w:t>
            </w:r>
          </w:p>
        </w:tc>
      </w:tr>
      <w:tr>
        <w:tc>
          <w:tcPr/>
          <w:p>
            <w:pPr>
              <w:pStyle w:val="Compact"/>
              <w:jc w:val="left"/>
            </w:pPr>
            <w:r>
              <w:rPr>
                <w:bCs/>
                <w:b/>
              </w:rPr>
              <w:t xml:space="preserve">Raw Material (Frames)</w:t>
            </w:r>
          </w:p>
        </w:tc>
        <w:tc>
          <w:tcPr/>
          <w:p>
            <w:pPr>
              <w:pStyle w:val="Compact"/>
              <w:jc w:val="left"/>
            </w:pPr>
            <w:r>
              <w:t xml:space="preserve">Cellulose Acetate Flake &amp; Plasticizer</w:t>
            </w:r>
          </w:p>
        </w:tc>
        <w:tc>
          <w:tcPr/>
          <w:p>
            <w:pPr>
              <w:pStyle w:val="Compact"/>
              <w:jc w:val="left"/>
            </w:pPr>
            <w:r>
              <w:t xml:space="preserve">Scope 3 (Cat 1)</w:t>
            </w:r>
          </w:p>
        </w:tc>
        <w:tc>
          <w:tcPr/>
          <w:p>
            <w:pPr>
              <w:pStyle w:val="Compact"/>
              <w:jc w:val="left"/>
            </w:pPr>
            <w:r>
              <w:t xml:space="preserve">21.5 g (gross)</w:t>
            </w:r>
          </w:p>
        </w:tc>
        <w:tc>
          <w:tcPr/>
          <w:p>
            <w:pPr>
              <w:pStyle w:val="Compact"/>
              <w:jc w:val="left"/>
            </w:pPr>
            <w:r>
              <w:t xml:space="preserve">Bio-derived sheet for front frame &amp; temple arms; Asia-based esterification plant.</w:t>
            </w:r>
          </w:p>
        </w:tc>
      </w:tr>
      <w:tr>
        <w:tc>
          <w:tcPr/>
          <w:p>
            <w:pPr>
              <w:pStyle w:val="Compact"/>
              <w:jc w:val="left"/>
            </w:pPr>
            <w:r>
              <w:rPr>
                <w:bCs/>
                <w:b/>
              </w:rPr>
              <w:t xml:space="preserve">Raw Material (Lenses)</w:t>
            </w:r>
          </w:p>
        </w:tc>
        <w:tc>
          <w:tcPr/>
          <w:p>
            <w:pPr>
              <w:pStyle w:val="Compact"/>
              <w:jc w:val="left"/>
            </w:pPr>
            <w:r>
              <w:t xml:space="preserve">PMMA / Optical CR-39 Resin</w:t>
            </w:r>
          </w:p>
        </w:tc>
        <w:tc>
          <w:tcPr/>
          <w:p>
            <w:pPr>
              <w:pStyle w:val="Compact"/>
              <w:jc w:val="left"/>
            </w:pPr>
            <w:r>
              <w:t xml:space="preserve">Scope 3 (Cat 1)</w:t>
            </w:r>
          </w:p>
        </w:tc>
        <w:tc>
          <w:tcPr/>
          <w:p>
            <w:pPr>
              <w:pStyle w:val="Compact"/>
              <w:jc w:val="left"/>
            </w:pPr>
            <w:r>
              <w:t xml:space="preserve">11.2 g (gross)</w:t>
            </w:r>
          </w:p>
        </w:tc>
        <w:tc>
          <w:tcPr/>
          <w:p>
            <w:pPr>
              <w:pStyle w:val="Compact"/>
              <w:jc w:val="left"/>
            </w:pPr>
            <w:r>
              <w:t xml:space="preserve">Monomer casting for two dioptric corrective lenses; polymer synthesis data.</w:t>
            </w:r>
          </w:p>
        </w:tc>
      </w:tr>
      <w:tr>
        <w:tc>
          <w:tcPr/>
          <w:p>
            <w:pPr>
              <w:pStyle w:val="Compact"/>
              <w:jc w:val="left"/>
            </w:pPr>
            <w:r>
              <w:rPr>
                <w:bCs/>
                <w:b/>
              </w:rPr>
              <w:t xml:space="preserve">Raw Material (Hardware)</w:t>
            </w:r>
          </w:p>
        </w:tc>
        <w:tc>
          <w:tcPr/>
          <w:p>
            <w:pPr>
              <w:pStyle w:val="Compact"/>
              <w:jc w:val="left"/>
            </w:pPr>
            <w:r>
              <w:t xml:space="preserve">Stainless Steel (AISI 304/316)</w:t>
            </w:r>
          </w:p>
        </w:tc>
        <w:tc>
          <w:tcPr/>
          <w:p>
            <w:pPr>
              <w:pStyle w:val="Compact"/>
              <w:jc w:val="left"/>
            </w:pPr>
            <w:r>
              <w:t xml:space="preserve">Scope 3 (Cat 1)</w:t>
            </w:r>
          </w:p>
        </w:tc>
        <w:tc>
          <w:tcPr/>
          <w:p>
            <w:pPr>
              <w:pStyle w:val="Compact"/>
              <w:jc w:val="left"/>
            </w:pPr>
            <w:r>
              <w:t xml:space="preserve">2.1 g</w:t>
            </w:r>
          </w:p>
        </w:tc>
        <w:tc>
          <w:tcPr/>
          <w:p>
            <w:pPr>
              <w:pStyle w:val="Compact"/>
              <w:jc w:val="left"/>
            </w:pPr>
            <w:r>
              <w:t xml:space="preserve">Flex-hinge assemblies, barrel cores, and internal temple wire reinforcement.</w:t>
            </w:r>
          </w:p>
        </w:tc>
      </w:tr>
      <w:tr>
        <w:tc>
          <w:tcPr/>
          <w:p>
            <w:pPr>
              <w:pStyle w:val="Compact"/>
              <w:jc w:val="left"/>
            </w:pPr>
            <w:r>
              <w:rPr>
                <w:bCs/>
                <w:b/>
              </w:rPr>
              <w:t xml:space="preserve">Raw Material (Pad/Trim)</w:t>
            </w:r>
          </w:p>
        </w:tc>
        <w:tc>
          <w:tcPr/>
          <w:p>
            <w:pPr>
              <w:pStyle w:val="Compact"/>
              <w:jc w:val="left"/>
            </w:pPr>
            <w:r>
              <w:t xml:space="preserve">Medical-grade Silicone Elastomer</w:t>
            </w:r>
          </w:p>
        </w:tc>
        <w:tc>
          <w:tcPr/>
          <w:p>
            <w:pPr>
              <w:pStyle w:val="Compact"/>
              <w:jc w:val="left"/>
            </w:pPr>
            <w:r>
              <w:t xml:space="preserve">Scope 3 (Cat 1)</w:t>
            </w:r>
          </w:p>
        </w:tc>
        <w:tc>
          <w:tcPr/>
          <w:p>
            <w:pPr>
              <w:pStyle w:val="Compact"/>
              <w:jc w:val="left"/>
            </w:pPr>
            <w:r>
              <w:t xml:space="preserve">0.4 g</w:t>
            </w:r>
          </w:p>
        </w:tc>
        <w:tc>
          <w:tcPr/>
          <w:p>
            <w:pPr>
              <w:pStyle w:val="Compact"/>
              <w:jc w:val="left"/>
            </w:pPr>
            <w:r>
              <w:t xml:space="preserve">Hypoallergenic molded bridge/nose pads.</w:t>
            </w:r>
          </w:p>
        </w:tc>
      </w:tr>
      <w:tr>
        <w:tc>
          <w:tcPr/>
          <w:p>
            <w:pPr>
              <w:pStyle w:val="Compact"/>
              <w:jc w:val="left"/>
            </w:pPr>
            <w:r>
              <w:rPr>
                <w:bCs/>
                <w:b/>
              </w:rPr>
              <w:t xml:space="preserve">Raw Material (Coatings)</w:t>
            </w:r>
          </w:p>
        </w:tc>
        <w:tc>
          <w:tcPr/>
          <w:p>
            <w:pPr>
              <w:pStyle w:val="Compact"/>
              <w:jc w:val="left"/>
            </w:pPr>
            <w:r>
              <w:t xml:space="preserve">Silica Hardcoat &amp; Fluoropolymer AR</w:t>
            </w:r>
          </w:p>
        </w:tc>
        <w:tc>
          <w:tcPr/>
          <w:p>
            <w:pPr>
              <w:pStyle w:val="Compact"/>
              <w:jc w:val="left"/>
            </w:pPr>
            <w:r>
              <w:t xml:space="preserve">Scope 3 (Cat 1)</w:t>
            </w:r>
          </w:p>
        </w:tc>
        <w:tc>
          <w:tcPr/>
          <w:p>
            <w:pPr>
              <w:pStyle w:val="Compact"/>
              <w:jc w:val="left"/>
            </w:pPr>
            <w:r>
              <w:t xml:space="preserve">0.3 g</w:t>
            </w:r>
          </w:p>
        </w:tc>
        <w:tc>
          <w:tcPr/>
          <w:p>
            <w:pPr>
              <w:pStyle w:val="Compact"/>
              <w:jc w:val="left"/>
            </w:pPr>
            <w:r>
              <w:t xml:space="preserve">Vacuum dip anti-scratch and anti-reflective sputtering coatings.</w:t>
            </w:r>
          </w:p>
        </w:tc>
      </w:tr>
      <w:tr>
        <w:tc>
          <w:tcPr/>
          <w:p>
            <w:pPr>
              <w:pStyle w:val="Compact"/>
              <w:jc w:val="left"/>
            </w:pPr>
            <w:r>
              <w:rPr>
                <w:bCs/>
                <w:b/>
              </w:rPr>
              <w:t xml:space="preserve">Packaging &amp; Case</w:t>
            </w:r>
          </w:p>
        </w:tc>
        <w:tc>
          <w:tcPr/>
          <w:p>
            <w:pPr>
              <w:pStyle w:val="Compact"/>
              <w:jc w:val="left"/>
            </w:pPr>
            <w:r>
              <w:t xml:space="preserve">rPET Microfiber + Kraft Cardboard</w:t>
            </w:r>
          </w:p>
        </w:tc>
        <w:tc>
          <w:tcPr/>
          <w:p>
            <w:pPr>
              <w:pStyle w:val="Compact"/>
              <w:jc w:val="left"/>
            </w:pPr>
            <w:r>
              <w:t xml:space="preserve">Scope 3 (Cat 1)</w:t>
            </w:r>
          </w:p>
        </w:tc>
        <w:tc>
          <w:tcPr/>
          <w:p>
            <w:pPr>
              <w:pStyle w:val="Compact"/>
              <w:jc w:val="left"/>
            </w:pPr>
            <w:r>
              <w:t xml:space="preserve">15.5 g</w:t>
            </w:r>
          </w:p>
        </w:tc>
        <w:tc>
          <w:tcPr/>
          <w:p>
            <w:pPr>
              <w:pStyle w:val="Compact"/>
              <w:jc w:val="left"/>
            </w:pPr>
            <w:r>
              <w:t xml:space="preserve">Recycled polyester cleaning cloth (5.5 g) &amp; recycled folding retail box (10.0 g).</w:t>
            </w:r>
          </w:p>
        </w:tc>
      </w:tr>
      <w:tr>
        <w:tc>
          <w:tcPr/>
          <w:p>
            <w:pPr>
              <w:pStyle w:val="Compact"/>
              <w:jc w:val="left"/>
            </w:pPr>
            <w:r>
              <w:rPr>
                <w:bCs/>
                <w:b/>
              </w:rPr>
              <w:t xml:space="preserve">Factory Energy</w:t>
            </w:r>
          </w:p>
        </w:tc>
        <w:tc>
          <w:tcPr/>
          <w:p>
            <w:pPr>
              <w:pStyle w:val="Compact"/>
              <w:jc w:val="left"/>
            </w:pPr>
            <w:r>
              <w:t xml:space="preserve">Grid Electricity (China East Grid)</w:t>
            </w:r>
          </w:p>
        </w:tc>
        <w:tc>
          <w:tcPr/>
          <w:p>
            <w:pPr>
              <w:pStyle w:val="Compact"/>
              <w:jc w:val="left"/>
            </w:pPr>
            <w:r>
              <w:t xml:space="preserve">Scope 2</w:t>
            </w:r>
          </w:p>
        </w:tc>
        <w:tc>
          <w:tcPr/>
          <w:p>
            <w:pPr>
              <w:pStyle w:val="Compact"/>
              <w:jc w:val="left"/>
            </w:pPr>
            <w:r>
              <w:t xml:space="preserve">0.245 kWh</w:t>
            </w:r>
          </w:p>
        </w:tc>
        <w:tc>
          <w:tcPr/>
          <w:p>
            <w:pPr>
              <w:pStyle w:val="Compact"/>
              <w:jc w:val="left"/>
            </w:pPr>
            <w:r>
              <w:t xml:space="preserve">CNC routing, automated edging, tumbling, thermal curing, cleanroom HVAC.</w:t>
            </w:r>
          </w:p>
        </w:tc>
      </w:tr>
      <w:tr>
        <w:tc>
          <w:tcPr/>
          <w:p>
            <w:pPr>
              <w:pStyle w:val="Compact"/>
              <w:jc w:val="left"/>
            </w:pPr>
            <w:r>
              <w:rPr>
                <w:bCs/>
                <w:b/>
              </w:rPr>
              <w:t xml:space="preserve">Factory Energy</w:t>
            </w:r>
          </w:p>
        </w:tc>
        <w:tc>
          <w:tcPr/>
          <w:p>
            <w:pPr>
              <w:pStyle w:val="Compact"/>
              <w:jc w:val="left"/>
            </w:pPr>
            <w:r>
              <w:t xml:space="preserve">Natural Gas (Direct Heating)</w:t>
            </w:r>
          </w:p>
        </w:tc>
        <w:tc>
          <w:tcPr/>
          <w:p>
            <w:pPr>
              <w:pStyle w:val="Compact"/>
              <w:jc w:val="left"/>
            </w:pPr>
            <w:r>
              <w:t xml:space="preserve">Scope 1</w:t>
            </w:r>
          </w:p>
        </w:tc>
        <w:tc>
          <w:tcPr/>
          <w:p>
            <w:pPr>
              <w:pStyle w:val="Compact"/>
              <w:jc w:val="left"/>
            </w:pPr>
            <w:r>
              <w:t xml:space="preserve">0.015 m</w:t>
            </w:r>
            <w:r>
              <w:rPr>
                <w:vertAlign w:val="superscript"/>
              </w:rPr>
              <w:t xml:space="preserve">3</w:t>
            </w:r>
          </w:p>
        </w:tc>
        <w:tc>
          <w:tcPr/>
          <w:p>
            <w:pPr>
              <w:pStyle w:val="Compact"/>
              <w:jc w:val="left"/>
            </w:pPr>
            <w:r>
              <w:t xml:space="preserve">Process water heating for acetate polishing wash lines &amp; space conditioning.</w:t>
            </w:r>
          </w:p>
        </w:tc>
      </w:tr>
      <w:tr>
        <w:tc>
          <w:tcPr/>
          <w:p>
            <w:pPr>
              <w:pStyle w:val="Compact"/>
              <w:jc w:val="left"/>
            </w:pPr>
            <w:r>
              <w:rPr>
                <w:bCs/>
                <w:b/>
              </w:rPr>
              <w:t xml:space="preserve">Inbound Logistics</w:t>
            </w:r>
          </w:p>
        </w:tc>
        <w:tc>
          <w:tcPr/>
          <w:p>
            <w:pPr>
              <w:pStyle w:val="Compact"/>
              <w:jc w:val="left"/>
            </w:pPr>
            <w:r>
              <w:t xml:space="preserve">Heavy Duty Diesel Truck (Asia regional)</w:t>
            </w:r>
          </w:p>
        </w:tc>
        <w:tc>
          <w:tcPr/>
          <w:p>
            <w:pPr>
              <w:pStyle w:val="Compact"/>
              <w:jc w:val="left"/>
            </w:pPr>
            <w:r>
              <w:t xml:space="preserve">Scope 3 (Cat 4)</w:t>
            </w:r>
          </w:p>
        </w:tc>
        <w:tc>
          <w:tcPr/>
          <w:p>
            <w:pPr>
              <w:pStyle w:val="Compact"/>
              <w:jc w:val="left"/>
            </w:pPr>
            <w:r>
              <w:t xml:space="preserve">0.042 tkm</w:t>
            </w:r>
          </w:p>
        </w:tc>
        <w:tc>
          <w:tcPr/>
          <w:p>
            <w:pPr>
              <w:pStyle w:val="Compact"/>
              <w:jc w:val="left"/>
            </w:pPr>
            <w:r>
              <w:t xml:space="preserve">Chemicals, resin, and metal delivery from South Korea/Domestic China to Wenzhou.</w:t>
            </w:r>
          </w:p>
        </w:tc>
      </w:tr>
      <w:tr>
        <w:tc>
          <w:tcPr/>
          <w:p>
            <w:pPr>
              <w:pStyle w:val="Compact"/>
              <w:jc w:val="left"/>
            </w:pPr>
            <w:r>
              <w:rPr>
                <w:bCs/>
                <w:b/>
              </w:rPr>
              <w:t xml:space="preserve">Outbound Transport</w:t>
            </w:r>
          </w:p>
        </w:tc>
        <w:tc>
          <w:tcPr/>
          <w:p>
            <w:pPr>
              <w:pStyle w:val="Compact"/>
              <w:jc w:val="left"/>
            </w:pPr>
            <w:r>
              <w:t xml:space="preserve">Transoceanic Container Ship (Sea)</w:t>
            </w:r>
          </w:p>
        </w:tc>
        <w:tc>
          <w:tcPr/>
          <w:p>
            <w:pPr>
              <w:pStyle w:val="Compact"/>
              <w:jc w:val="left"/>
            </w:pPr>
            <w:r>
              <w:t xml:space="preserve">Scope 3 (Cat 9)</w:t>
            </w:r>
          </w:p>
        </w:tc>
        <w:tc>
          <w:tcPr/>
          <w:p>
            <w:pPr>
              <w:pStyle w:val="Compact"/>
              <w:jc w:val="left"/>
            </w:pPr>
            <w:r>
              <w:t xml:space="preserve">0.462 tkm</w:t>
            </w:r>
          </w:p>
        </w:tc>
        <w:tc>
          <w:tcPr/>
          <w:p>
            <w:pPr>
              <w:pStyle w:val="Compact"/>
              <w:jc w:val="left"/>
            </w:pPr>
            <w:r>
              <w:t xml:space="preserve">Containerized sea freight Ningbo to Western port terminal (approx. 11,000 km).</w:t>
            </w:r>
          </w:p>
        </w:tc>
      </w:tr>
      <w:tr>
        <w:tc>
          <w:tcPr/>
          <w:p>
            <w:pPr>
              <w:pStyle w:val="Compact"/>
              <w:jc w:val="left"/>
            </w:pPr>
            <w:r>
              <w:rPr>
                <w:bCs/>
                <w:b/>
              </w:rPr>
              <w:t xml:space="preserve">Outbound Transport</w:t>
            </w:r>
          </w:p>
        </w:tc>
        <w:tc>
          <w:tcPr/>
          <w:p>
            <w:pPr>
              <w:pStyle w:val="Compact"/>
              <w:jc w:val="left"/>
            </w:pPr>
            <w:r>
              <w:t xml:space="preserve">Drayage &amp; Regional Distribution Truck</w:t>
            </w:r>
          </w:p>
        </w:tc>
        <w:tc>
          <w:tcPr/>
          <w:p>
            <w:pPr>
              <w:pStyle w:val="Compact"/>
              <w:jc w:val="left"/>
            </w:pPr>
            <w:r>
              <w:t xml:space="preserve">Scope 3 (Cat 9)</w:t>
            </w:r>
          </w:p>
        </w:tc>
        <w:tc>
          <w:tcPr/>
          <w:p>
            <w:pPr>
              <w:pStyle w:val="Compact"/>
              <w:jc w:val="left"/>
            </w:pPr>
            <w:r>
              <w:t xml:space="preserve">0.019 tkm</w:t>
            </w:r>
          </w:p>
        </w:tc>
        <w:tc>
          <w:tcPr/>
          <w:p>
            <w:pPr>
              <w:pStyle w:val="Compact"/>
              <w:jc w:val="left"/>
            </w:pPr>
            <w:r>
              <w:t xml:space="preserve">Port terminal to regional centralized e-commerce distribution center (450 km).</w:t>
            </w:r>
          </w:p>
        </w:tc>
      </w:tr>
      <w:tr>
        <w:tc>
          <w:tcPr/>
          <w:p>
            <w:pPr>
              <w:pStyle w:val="Compact"/>
              <w:jc w:val="left"/>
            </w:pPr>
            <w:r>
              <w:rPr>
                <w:bCs/>
                <w:b/>
              </w:rPr>
              <w:t xml:space="preserve">Product In-Use</w:t>
            </w:r>
          </w:p>
        </w:tc>
        <w:tc>
          <w:tcPr/>
          <w:p>
            <w:pPr>
              <w:pStyle w:val="Compact"/>
              <w:jc w:val="left"/>
            </w:pPr>
            <w:r>
              <w:t xml:space="preserve">Potable Tap Water &amp; Detergent</w:t>
            </w:r>
          </w:p>
        </w:tc>
        <w:tc>
          <w:tcPr/>
          <w:p>
            <w:pPr>
              <w:pStyle w:val="Compact"/>
              <w:jc w:val="left"/>
            </w:pPr>
            <w:r>
              <w:t xml:space="preserve">Scope 3 (Cat 11)</w:t>
            </w:r>
          </w:p>
        </w:tc>
        <w:tc>
          <w:tcPr/>
          <w:p>
            <w:pPr>
              <w:pStyle w:val="Compact"/>
              <w:jc w:val="left"/>
            </w:pPr>
            <w:r>
              <w:t xml:space="preserve">4.80 L</w:t>
            </w:r>
          </w:p>
        </w:tc>
        <w:tc>
          <w:tcPr/>
          <w:p>
            <w:pPr>
              <w:pStyle w:val="Compact"/>
              <w:jc w:val="left"/>
            </w:pPr>
            <w:r>
              <w:t xml:space="preserve">Periodic ultrasonic/rinse cleaning over 24-month reference service life.</w:t>
            </w:r>
          </w:p>
        </w:tc>
      </w:tr>
      <w:tr>
        <w:tc>
          <w:tcPr/>
          <w:p>
            <w:pPr>
              <w:pStyle w:val="Compact"/>
              <w:jc w:val="left"/>
            </w:pPr>
            <w:r>
              <w:rPr>
                <w:bCs/>
                <w:b/>
              </w:rPr>
              <w:t xml:space="preserve">End-of-Life Waste</w:t>
            </w:r>
          </w:p>
        </w:tc>
        <w:tc>
          <w:tcPr/>
          <w:p>
            <w:pPr>
              <w:pStyle w:val="Compact"/>
              <w:jc w:val="left"/>
            </w:pPr>
            <w:r>
              <w:t xml:space="preserve">Municipal Solid Waste Incineration / Landfill</w:t>
            </w:r>
          </w:p>
        </w:tc>
        <w:tc>
          <w:tcPr/>
          <w:p>
            <w:pPr>
              <w:pStyle w:val="Compact"/>
              <w:jc w:val="left"/>
            </w:pPr>
            <w:r>
              <w:t xml:space="preserve">Scope 3 (Cat 12)</w:t>
            </w:r>
          </w:p>
        </w:tc>
        <w:tc>
          <w:tcPr/>
          <w:p>
            <w:pPr>
              <w:pStyle w:val="Compact"/>
              <w:jc w:val="left"/>
            </w:pPr>
            <w:r>
              <w:t xml:space="preserve">42.0 g</w:t>
            </w:r>
          </w:p>
        </w:tc>
        <w:tc>
          <w:tcPr/>
          <w:p>
            <w:pPr>
              <w:pStyle w:val="Compact"/>
              <w:jc w:val="left"/>
            </w:pPr>
            <w:r>
              <w:t xml:space="preserve">55% municipal incineration with WtE, 35% managed landfill, 10% metal recycling.</w:t>
            </w:r>
          </w:p>
        </w:tc>
      </w:tr>
    </w:tbl>
    <w:p>
      <w:r>
        <w:pict>
          <v:rect style="width:0;height:1.5pt" o:hralign="center" o:hrstd="t" o:hr="t"/>
        </w:pict>
      </w:r>
    </w:p>
    <w:bookmarkEnd w:id="26"/>
    <w:bookmarkStart w:id="27" w:name="X55de48005865b346a528a916add11c0a7d9bba7"/>
    <w:p>
      <w:pPr>
        <w:pStyle w:val="Heading2"/>
      </w:pPr>
      <w:r>
        <w:t xml:space="preserve">Step 3: Collect Data (Primary &amp; Secondary Inventory)</w:t>
      </w:r>
    </w:p>
    <w:p>
      <w:pPr>
        <w:pStyle w:val="FirstParagraph"/>
      </w:pPr>
      <w:r>
        <w:t xml:space="preserve">Activity data collection encompasses a hybrid modeling protocol prioritizing primary gate-to-gate measurements, supplemented by tier-1 Asian supplier data sheets and authoritative life cycle emission databases:</w:t>
      </w:r>
    </w:p>
    <w:p>
      <w:pPr>
        <w:numPr>
          <w:ilvl w:val="0"/>
          <w:numId w:val="1005"/>
        </w:numPr>
        <w:pStyle w:val="Compact"/>
      </w:pPr>
      <w:r>
        <w:rPr>
          <w:bCs/>
          <w:b/>
        </w:rPr>
        <w:t xml:space="preserve">Primary Activity Data:</w:t>
      </w:r>
      <w:r>
        <w:t xml:space="preserve"> </w:t>
      </w:r>
      <w:r>
        <w:t xml:space="preserve">Precise component weighings (0.01 g sensitivity analytical balance), optical cleanroom energy sub-metering per batch run, frame cutting yield ratios (yielding 32% routing off-fall prior to 22% internal recycling), and outbound shipping packing lists.</w:t>
      </w:r>
    </w:p>
    <w:p>
      <w:pPr>
        <w:numPr>
          <w:ilvl w:val="0"/>
          <w:numId w:val="1005"/>
        </w:numPr>
        <w:pStyle w:val="Compact"/>
      </w:pPr>
      <w:r>
        <w:rPr>
          <w:bCs/>
          <w:b/>
        </w:rPr>
        <w:t xml:space="preserve">Secondary Activity &amp; Factor Data:</w:t>
      </w:r>
      <w:r>
        <w:t xml:space="preserve"> </w:t>
      </w:r>
      <w:r>
        <w:rPr>
          <w:iCs/>
          <w:i/>
        </w:rPr>
        <w:t xml:space="preserve">ecoinvent v3.10</w:t>
      </w:r>
      <w:r>
        <w:t xml:space="preserve"> </w:t>
      </w:r>
      <w:r>
        <w:t xml:space="preserve">(cut-off system model),</w:t>
      </w:r>
      <w:r>
        <w:t xml:space="preserve"> </w:t>
      </w:r>
      <w:r>
        <w:rPr>
          <w:iCs/>
          <w:i/>
        </w:rPr>
        <w:t xml:space="preserve">2026 DESNZ/DEFRA Greenhouse Gas Conversion Factors</w:t>
      </w:r>
      <w:r>
        <w:t xml:space="preserve">, China National Grid Emission Factor updates (East China Grid Baseline Factor of 0.5810 kg CO</w:t>
      </w:r>
      <w:r>
        <w:rPr>
          <w:vertAlign w:val="subscript"/>
        </w:rPr>
        <w:t xml:space="preserve">2</w:t>
      </w:r>
      <w:r>
        <w:t xml:space="preserve">e/kWh), and the</w:t>
      </w:r>
      <w:r>
        <w:t xml:space="preserve"> </w:t>
      </w:r>
      <w:r>
        <w:rPr>
          <w:iCs/>
          <w:i/>
        </w:rPr>
        <w:t xml:space="preserve">2026 GHG Protocol Land Sector and Removals Database</w:t>
      </w:r>
      <w:r>
        <w:t xml:space="preserve"> </w:t>
      </w:r>
      <w:r>
        <w:t xml:space="preserve">for managed forest biomass carbon sequestration rates.</w:t>
      </w:r>
    </w:p>
    <w:p>
      <w:pPr>
        <w:numPr>
          <w:ilvl w:val="0"/>
          <w:numId w:val="1005"/>
        </w:numPr>
        <w:pStyle w:val="Compact"/>
      </w:pPr>
      <w:r>
        <w:rPr>
          <w:bCs/>
          <w:b/>
        </w:rPr>
        <w:t xml:space="preserve">Data Quality Assessment (DQR):</w:t>
      </w:r>
      <w:r>
        <w:t xml:space="preserve"> </w:t>
      </w:r>
      <w:r>
        <w:t xml:space="preserve">Technological representativeness: High (specific to computerized lens edging and multi-axis acetate cutting); Geographical representativeness: Very High (specific to coastal China industrial zone); Temporal representativeness: High (2024–2026 dataset vintage).</w:t>
      </w:r>
    </w:p>
    <w:p>
      <w:r>
        <w:pict>
          <v:rect style="width:0;height:1.5pt" o:hralign="center" o:hrstd="t" o:hr="t"/>
        </w:pict>
      </w:r>
    </w:p>
    <w:bookmarkEnd w:id="27"/>
    <w:bookmarkStart w:id="29" w:name="step-4-calculate-emissions"/>
    <w:p>
      <w:pPr>
        <w:pStyle w:val="Heading2"/>
      </w:pPr>
      <w:r>
        <w:t xml:space="preserve">Step 4: Calculate Emissions</w:t>
      </w:r>
    </w:p>
    <w:p>
      <w:pPr>
        <w:pStyle w:val="FirstParagraph"/>
      </w:pPr>
      <w:r>
        <w:t xml:space="preserve">Emissions are computed using the fundamental governing equation:</w:t>
      </w:r>
      <w:r>
        <w:br/>
      </w:r>
      <w:r>
        <w:t xml:space="preserve">$$\text{Emissions (kg CO}_2\text{e)} = \text{Activity Data} \times \text{Emission Factor (kg CO}_2\text{e / unit)}$$</w:t>
      </w:r>
    </w:p>
    <w:p>
      <w:pPr>
        <w:pStyle w:val="BodyText"/>
      </w:pPr>
      <w:r>
        <w:t xml:space="preserve">Global Warming Potential (GWP) metrics reflect the</w:t>
      </w:r>
      <w:r>
        <w:t xml:space="preserve"> </w:t>
      </w:r>
      <w:r>
        <w:rPr>
          <w:bCs/>
          <w:b/>
        </w:rPr>
        <w:t xml:space="preserve">IPCC Sixth Assessment Report (AR6) 100-year time horizon</w:t>
      </w:r>
      <w:r>
        <w:t xml:space="preserve">, incorporating climate-carbon feedbacks.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GHG Scope / Category</w:t>
            </w:r>
          </w:p>
        </w:tc>
        <w:tc>
          <w:tcPr/>
          <w:p>
            <w:pPr>
              <w:pStyle w:val="Compact"/>
              <w:jc w:val="left"/>
            </w:pPr>
            <w:r>
              <w:t xml:space="preserve">Activity / Component</w:t>
            </w:r>
          </w:p>
        </w:tc>
        <w:tc>
          <w:tcPr/>
          <w:p>
            <w:pPr>
              <w:pStyle w:val="Compact"/>
              <w:jc w:val="left"/>
            </w:pPr>
            <w:r>
              <w:t xml:space="preserve">Activity Amount</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Emissions (kg CO</w:t>
            </w:r>
            <w:r>
              <w:rPr>
                <w:vertAlign w:val="subscript"/>
              </w:rPr>
              <w:t xml:space="preserve">2</w:t>
            </w:r>
            <w:r>
              <w:t xml:space="preserve">e)</w:t>
            </w:r>
          </w:p>
        </w:tc>
      </w:tr>
      <w:tr>
        <w:tc>
          <w:tcPr/>
          <w:p>
            <w:pPr>
              <w:pStyle w:val="Compact"/>
              <w:jc w:val="left"/>
            </w:pPr>
            <w:r>
              <w:rPr>
                <w:bCs/>
                <w:b/>
              </w:rPr>
              <w:t xml:space="preserve">Scope 1 (Direct)</w:t>
            </w:r>
          </w:p>
        </w:tc>
        <w:tc>
          <w:tcPr/>
          <w:p>
            <w:pPr>
              <w:pStyle w:val="Compact"/>
              <w:jc w:val="left"/>
            </w:pPr>
            <w:r>
              <w:t xml:space="preserve">Facility Natural Gas Burn</w:t>
            </w:r>
          </w:p>
        </w:tc>
        <w:tc>
          <w:tcPr/>
          <w:p>
            <w:pPr>
              <w:pStyle w:val="Compact"/>
              <w:jc w:val="left"/>
            </w:pPr>
            <w:r>
              <w:t xml:space="preserve">0.0150</w:t>
            </w:r>
          </w:p>
        </w:tc>
        <w:tc>
          <w:tcPr/>
          <w:p>
            <w:pPr>
              <w:pStyle w:val="Compact"/>
              <w:jc w:val="left"/>
            </w:pPr>
            <w:r>
              <w:t xml:space="preserve">m</w:t>
            </w:r>
            <w:r>
              <w:rPr>
                <w:vertAlign w:val="superscript"/>
              </w:rPr>
              <w:t xml:space="preserve">3</w:t>
            </w:r>
          </w:p>
        </w:tc>
        <w:tc>
          <w:tcPr/>
          <w:p>
            <w:pPr>
              <w:pStyle w:val="Compact"/>
              <w:jc w:val="left"/>
            </w:pPr>
            <w:r>
              <w:t xml:space="preserve">2.0670 kg CO</w:t>
            </w:r>
            <w:r>
              <w:rPr>
                <w:vertAlign w:val="subscript"/>
              </w:rPr>
              <w:t xml:space="preserve">2</w:t>
            </w:r>
            <w:r>
              <w:t xml:space="preserve">e/m</w:t>
            </w:r>
            <w:r>
              <w:rPr>
                <w:vertAlign w:val="superscript"/>
              </w:rPr>
              <w:t xml:space="preserve">3</w:t>
            </w:r>
          </w:p>
        </w:tc>
        <w:tc>
          <w:tcPr/>
          <w:p>
            <w:pPr>
              <w:pStyle w:val="Compact"/>
              <w:jc w:val="left"/>
            </w:pPr>
            <w:r>
              <w:t xml:space="preserve">DEFRA / DESNZ 2026</w:t>
            </w:r>
          </w:p>
        </w:tc>
        <w:tc>
          <w:tcPr/>
          <w:p>
            <w:pPr>
              <w:pStyle w:val="Compact"/>
              <w:jc w:val="left"/>
            </w:pPr>
            <w:r>
              <w:t xml:space="preserve">0.0310</w:t>
            </w:r>
          </w:p>
        </w:tc>
      </w:tr>
      <w:tr>
        <w:tc>
          <w:tcPr/>
          <w:p>
            <w:pPr>
              <w:pStyle w:val="Compact"/>
              <w:jc w:val="left"/>
            </w:pPr>
            <w:r>
              <w:rPr>
                <w:bCs/>
                <w:b/>
              </w:rPr>
              <w:t xml:space="preserve">Scope 2 (Electricity)</w:t>
            </w:r>
          </w:p>
        </w:tc>
        <w:tc>
          <w:tcPr/>
          <w:p>
            <w:pPr>
              <w:pStyle w:val="Compact"/>
              <w:jc w:val="left"/>
            </w:pPr>
            <w:r>
              <w:t xml:space="preserve">Facility Grid Power</w:t>
            </w:r>
          </w:p>
        </w:tc>
        <w:tc>
          <w:tcPr/>
          <w:p>
            <w:pPr>
              <w:pStyle w:val="Compact"/>
              <w:jc w:val="left"/>
            </w:pPr>
            <w:r>
              <w:t xml:space="preserve">0.2450</w:t>
            </w:r>
          </w:p>
        </w:tc>
        <w:tc>
          <w:tcPr/>
          <w:p>
            <w:pPr>
              <w:pStyle w:val="Compact"/>
              <w:jc w:val="left"/>
            </w:pPr>
            <w:r>
              <w:t xml:space="preserve">kWh</w:t>
            </w:r>
          </w:p>
        </w:tc>
        <w:tc>
          <w:tcPr/>
          <w:p>
            <w:pPr>
              <w:pStyle w:val="Compact"/>
              <w:jc w:val="left"/>
            </w:pPr>
            <w:r>
              <w:t xml:space="preserve">0.5810 kg CO</w:t>
            </w:r>
            <w:r>
              <w:rPr>
                <w:vertAlign w:val="subscript"/>
              </w:rPr>
              <w:t xml:space="preserve">2</w:t>
            </w:r>
            <w:r>
              <w:t xml:space="preserve">e/kWh</w:t>
            </w:r>
          </w:p>
        </w:tc>
        <w:tc>
          <w:tcPr/>
          <w:p>
            <w:pPr>
              <w:pStyle w:val="Compact"/>
              <w:jc w:val="left"/>
            </w:pPr>
            <w:r>
              <w:t xml:space="preserve">MEE China Grid 2025/26</w:t>
            </w:r>
          </w:p>
        </w:tc>
        <w:tc>
          <w:tcPr/>
          <w:p>
            <w:pPr>
              <w:pStyle w:val="Compact"/>
              <w:jc w:val="left"/>
            </w:pPr>
            <w:r>
              <w:t xml:space="preserve">0.1423</w:t>
            </w:r>
          </w:p>
        </w:tc>
      </w:tr>
      <w:tr>
        <w:tc>
          <w:tcPr/>
          <w:p>
            <w:pPr>
              <w:pStyle w:val="Compact"/>
              <w:jc w:val="left"/>
            </w:pPr>
            <w:r>
              <w:rPr>
                <w:bCs/>
                <w:b/>
              </w:rPr>
              <w:t xml:space="preserve">Scope 3 - Cat 1 (Materials)</w:t>
            </w:r>
          </w:p>
        </w:tc>
        <w:tc>
          <w:tcPr/>
          <w:p>
            <w:pPr>
              <w:pStyle w:val="Compact"/>
              <w:jc w:val="left"/>
            </w:pPr>
            <w:r>
              <w:t xml:space="preserve">Cellulose Acetate Sheet</w:t>
            </w:r>
          </w:p>
        </w:tc>
        <w:tc>
          <w:tcPr/>
          <w:p>
            <w:pPr>
              <w:pStyle w:val="Compact"/>
              <w:jc w:val="left"/>
            </w:pPr>
            <w:r>
              <w:t xml:space="preserve">0.0215</w:t>
            </w:r>
          </w:p>
        </w:tc>
        <w:tc>
          <w:tcPr/>
          <w:p>
            <w:pPr>
              <w:pStyle w:val="Compact"/>
              <w:jc w:val="left"/>
            </w:pPr>
            <w:r>
              <w:t xml:space="preserve">kg</w:t>
            </w:r>
          </w:p>
        </w:tc>
        <w:tc>
          <w:tcPr/>
          <w:p>
            <w:pPr>
              <w:pStyle w:val="Compact"/>
              <w:jc w:val="left"/>
            </w:pPr>
            <w:r>
              <w:t xml:space="preserve">4.8200 kg CO</w:t>
            </w:r>
            <w:r>
              <w:rPr>
                <w:vertAlign w:val="subscript"/>
              </w:rPr>
              <w:t xml:space="preserve">2</w:t>
            </w:r>
            <w:r>
              <w:t xml:space="preserve">e/kg</w:t>
            </w:r>
          </w:p>
        </w:tc>
        <w:tc>
          <w:tcPr/>
          <w:p>
            <w:pPr>
              <w:pStyle w:val="Compact"/>
              <w:jc w:val="left"/>
            </w:pPr>
            <w:r>
              <w:t xml:space="preserve">ecoinvent v3.10 (fossil net)</w:t>
            </w:r>
          </w:p>
        </w:tc>
        <w:tc>
          <w:tcPr/>
          <w:p>
            <w:pPr>
              <w:pStyle w:val="Compact"/>
              <w:jc w:val="left"/>
            </w:pPr>
            <w:r>
              <w:t xml:space="preserve">0.1036</w:t>
            </w:r>
          </w:p>
        </w:tc>
      </w:tr>
      <w:tr>
        <w:tc>
          <w:tcPr/>
          <w:p>
            <w:pPr>
              <w:pStyle w:val="Compact"/>
              <w:jc w:val="left"/>
            </w:pPr>
            <w:r>
              <w:rPr>
                <w:bCs/>
                <w:b/>
              </w:rPr>
              <w:t xml:space="preserve">Scope 3 - Cat 1 (Materials)</w:t>
            </w:r>
          </w:p>
        </w:tc>
        <w:tc>
          <w:tcPr/>
          <w:p>
            <w:pPr>
              <w:pStyle w:val="Compact"/>
              <w:jc w:val="left"/>
            </w:pPr>
            <w:r>
              <w:t xml:space="preserve">PMMA Lens Polymer Resin</w:t>
            </w:r>
          </w:p>
        </w:tc>
        <w:tc>
          <w:tcPr/>
          <w:p>
            <w:pPr>
              <w:pStyle w:val="Compact"/>
              <w:jc w:val="left"/>
            </w:pPr>
            <w:r>
              <w:t xml:space="preserve">0.0112</w:t>
            </w:r>
          </w:p>
        </w:tc>
        <w:tc>
          <w:tcPr/>
          <w:p>
            <w:pPr>
              <w:pStyle w:val="Compact"/>
              <w:jc w:val="left"/>
            </w:pPr>
            <w:r>
              <w:t xml:space="preserve">kg</w:t>
            </w:r>
          </w:p>
        </w:tc>
        <w:tc>
          <w:tcPr/>
          <w:p>
            <w:pPr>
              <w:pStyle w:val="Compact"/>
              <w:jc w:val="left"/>
            </w:pPr>
            <w:r>
              <w:t xml:space="preserve">5.1500 kg CO</w:t>
            </w:r>
            <w:r>
              <w:rPr>
                <w:vertAlign w:val="subscript"/>
              </w:rPr>
              <w:t xml:space="preserve">2</w:t>
            </w:r>
            <w:r>
              <w:t xml:space="preserve">e/kg</w:t>
            </w:r>
          </w:p>
        </w:tc>
        <w:tc>
          <w:tcPr/>
          <w:p>
            <w:pPr>
              <w:pStyle w:val="Compact"/>
              <w:jc w:val="left"/>
            </w:pPr>
            <w:r>
              <w:t xml:space="preserve">ecoinvent v3.10 / PlasticsEurope</w:t>
            </w:r>
          </w:p>
        </w:tc>
        <w:tc>
          <w:tcPr/>
          <w:p>
            <w:pPr>
              <w:pStyle w:val="Compact"/>
              <w:jc w:val="left"/>
            </w:pPr>
            <w:r>
              <w:t xml:space="preserve">0.0577</w:t>
            </w:r>
          </w:p>
        </w:tc>
      </w:tr>
      <w:tr>
        <w:tc>
          <w:tcPr/>
          <w:p>
            <w:pPr>
              <w:pStyle w:val="Compact"/>
              <w:jc w:val="left"/>
            </w:pPr>
            <w:r>
              <w:rPr>
                <w:bCs/>
                <w:b/>
              </w:rPr>
              <w:t xml:space="preserve">Scope 3 - Cat 1 (Materials)</w:t>
            </w:r>
          </w:p>
        </w:tc>
        <w:tc>
          <w:tcPr/>
          <w:p>
            <w:pPr>
              <w:pStyle w:val="Compact"/>
              <w:jc w:val="left"/>
            </w:pPr>
            <w:r>
              <w:t xml:space="preserve">Stainless Steel Hardware</w:t>
            </w:r>
          </w:p>
        </w:tc>
        <w:tc>
          <w:tcPr/>
          <w:p>
            <w:pPr>
              <w:pStyle w:val="Compact"/>
              <w:jc w:val="left"/>
            </w:pPr>
            <w:r>
              <w:t xml:space="preserve">0.0021</w:t>
            </w:r>
          </w:p>
        </w:tc>
        <w:tc>
          <w:tcPr/>
          <w:p>
            <w:pPr>
              <w:pStyle w:val="Compact"/>
              <w:jc w:val="left"/>
            </w:pPr>
            <w:r>
              <w:t xml:space="preserve">kg</w:t>
            </w:r>
          </w:p>
        </w:tc>
        <w:tc>
          <w:tcPr/>
          <w:p>
            <w:pPr>
              <w:pStyle w:val="Compact"/>
              <w:jc w:val="left"/>
            </w:pPr>
            <w:r>
              <w:t xml:space="preserve">4.3500 kg CO</w:t>
            </w:r>
            <w:r>
              <w:rPr>
                <w:vertAlign w:val="subscript"/>
              </w:rPr>
              <w:t xml:space="preserve">2</w:t>
            </w:r>
            <w:r>
              <w:t xml:space="preserve">e/kg</w:t>
            </w:r>
          </w:p>
        </w:tc>
        <w:tc>
          <w:tcPr/>
          <w:p>
            <w:pPr>
              <w:pStyle w:val="Compact"/>
              <w:jc w:val="left"/>
            </w:pPr>
            <w:r>
              <w:t xml:space="preserve">World Steel / ecoinvent</w:t>
            </w:r>
          </w:p>
        </w:tc>
        <w:tc>
          <w:tcPr/>
          <w:p>
            <w:pPr>
              <w:pStyle w:val="Compact"/>
              <w:jc w:val="left"/>
            </w:pPr>
            <w:r>
              <w:t xml:space="preserve">0.0091</w:t>
            </w:r>
          </w:p>
        </w:tc>
      </w:tr>
      <w:tr>
        <w:tc>
          <w:tcPr/>
          <w:p>
            <w:pPr>
              <w:pStyle w:val="Compact"/>
              <w:jc w:val="left"/>
            </w:pPr>
            <w:r>
              <w:rPr>
                <w:bCs/>
                <w:b/>
              </w:rPr>
              <w:t xml:space="preserve">Scope 3 - Cat 1 (Materials)</w:t>
            </w:r>
          </w:p>
        </w:tc>
        <w:tc>
          <w:tcPr/>
          <w:p>
            <w:pPr>
              <w:pStyle w:val="Compact"/>
              <w:jc w:val="left"/>
            </w:pPr>
            <w:r>
              <w:t xml:space="preserve">Silicone Nose Pads</w:t>
            </w:r>
          </w:p>
        </w:tc>
        <w:tc>
          <w:tcPr/>
          <w:p>
            <w:pPr>
              <w:pStyle w:val="Compact"/>
              <w:jc w:val="left"/>
            </w:pPr>
            <w:r>
              <w:t xml:space="preserve">0.0004</w:t>
            </w:r>
          </w:p>
        </w:tc>
        <w:tc>
          <w:tcPr/>
          <w:p>
            <w:pPr>
              <w:pStyle w:val="Compact"/>
              <w:jc w:val="left"/>
            </w:pPr>
            <w:r>
              <w:t xml:space="preserve">kg</w:t>
            </w:r>
          </w:p>
        </w:tc>
        <w:tc>
          <w:tcPr/>
          <w:p>
            <w:pPr>
              <w:pStyle w:val="Compact"/>
              <w:jc w:val="left"/>
            </w:pPr>
            <w:r>
              <w:t xml:space="preserve">6.2000 kg CO</w:t>
            </w:r>
            <w:r>
              <w:rPr>
                <w:vertAlign w:val="subscript"/>
              </w:rPr>
              <w:t xml:space="preserve">2</w:t>
            </w:r>
            <w:r>
              <w:t xml:space="preserve">e/kg</w:t>
            </w:r>
          </w:p>
        </w:tc>
        <w:tc>
          <w:tcPr/>
          <w:p>
            <w:pPr>
              <w:pStyle w:val="Compact"/>
              <w:jc w:val="left"/>
            </w:pPr>
            <w:r>
              <w:t xml:space="preserve">ecoinvent v3.10</w:t>
            </w:r>
          </w:p>
        </w:tc>
        <w:tc>
          <w:tcPr/>
          <w:p>
            <w:pPr>
              <w:pStyle w:val="Compact"/>
              <w:jc w:val="left"/>
            </w:pPr>
            <w:r>
              <w:t xml:space="preserve">0.0025</w:t>
            </w:r>
          </w:p>
        </w:tc>
      </w:tr>
      <w:tr>
        <w:tc>
          <w:tcPr/>
          <w:p>
            <w:pPr>
              <w:pStyle w:val="Compact"/>
              <w:jc w:val="left"/>
            </w:pPr>
            <w:r>
              <w:rPr>
                <w:bCs/>
                <w:b/>
              </w:rPr>
              <w:t xml:space="preserve">Scope 3 - Cat 1 (Materials)</w:t>
            </w:r>
          </w:p>
        </w:tc>
        <w:tc>
          <w:tcPr/>
          <w:p>
            <w:pPr>
              <w:pStyle w:val="Compact"/>
              <w:jc w:val="left"/>
            </w:pPr>
            <w:r>
              <w:t xml:space="preserve">Optical Surface Coatings</w:t>
            </w:r>
          </w:p>
        </w:tc>
        <w:tc>
          <w:tcPr/>
          <w:p>
            <w:pPr>
              <w:pStyle w:val="Compact"/>
              <w:jc w:val="left"/>
            </w:pPr>
            <w:r>
              <w:t xml:space="preserve">0.0003</w:t>
            </w:r>
          </w:p>
        </w:tc>
        <w:tc>
          <w:tcPr/>
          <w:p>
            <w:pPr>
              <w:pStyle w:val="Compact"/>
              <w:jc w:val="left"/>
            </w:pPr>
            <w:r>
              <w:t xml:space="preserve">kg</w:t>
            </w:r>
          </w:p>
        </w:tc>
        <w:tc>
          <w:tcPr/>
          <w:p>
            <w:pPr>
              <w:pStyle w:val="Compact"/>
              <w:jc w:val="left"/>
            </w:pPr>
            <w:r>
              <w:t xml:space="preserve">18.4000 kg CO</w:t>
            </w:r>
            <w:r>
              <w:rPr>
                <w:vertAlign w:val="subscript"/>
              </w:rPr>
              <w:t xml:space="preserve">2</w:t>
            </w:r>
            <w:r>
              <w:t xml:space="preserve">e/kg</w:t>
            </w:r>
          </w:p>
        </w:tc>
        <w:tc>
          <w:tcPr/>
          <w:p>
            <w:pPr>
              <w:pStyle w:val="Compact"/>
              <w:jc w:val="left"/>
            </w:pPr>
            <w:r>
              <w:t xml:space="preserve">Chemical Industry Baseline</w:t>
            </w:r>
          </w:p>
        </w:tc>
        <w:tc>
          <w:tcPr/>
          <w:p>
            <w:pPr>
              <w:pStyle w:val="Compact"/>
              <w:jc w:val="left"/>
            </w:pPr>
            <w:r>
              <w:t xml:space="preserve">0.0055</w:t>
            </w:r>
          </w:p>
        </w:tc>
      </w:tr>
      <w:tr>
        <w:tc>
          <w:tcPr/>
          <w:p>
            <w:pPr>
              <w:pStyle w:val="Compact"/>
              <w:jc w:val="left"/>
            </w:pPr>
            <w:r>
              <w:rPr>
                <w:bCs/>
                <w:b/>
              </w:rPr>
              <w:t xml:space="preserve">Scope 3 - Cat 1 (Packaging)</w:t>
            </w:r>
          </w:p>
        </w:tc>
        <w:tc>
          <w:tcPr/>
          <w:p>
            <w:pPr>
              <w:pStyle w:val="Compact"/>
              <w:jc w:val="left"/>
            </w:pPr>
            <w:r>
              <w:t xml:space="preserve">rPET Wipe &amp; Cardboard Box</w:t>
            </w:r>
          </w:p>
        </w:tc>
        <w:tc>
          <w:tcPr/>
          <w:p>
            <w:pPr>
              <w:pStyle w:val="Compact"/>
              <w:jc w:val="left"/>
            </w:pPr>
            <w:r>
              <w:t xml:space="preserve">0.0155</w:t>
            </w:r>
          </w:p>
        </w:tc>
        <w:tc>
          <w:tcPr/>
          <w:p>
            <w:pPr>
              <w:pStyle w:val="Compact"/>
              <w:jc w:val="left"/>
            </w:pPr>
            <w:r>
              <w:t xml:space="preserve">kg</w:t>
            </w:r>
          </w:p>
        </w:tc>
        <w:tc>
          <w:tcPr/>
          <w:p>
            <w:pPr>
              <w:pStyle w:val="Compact"/>
              <w:jc w:val="left"/>
            </w:pPr>
            <w:r>
              <w:t xml:space="preserve">1.7800 kg CO</w:t>
            </w:r>
            <w:r>
              <w:rPr>
                <w:vertAlign w:val="subscript"/>
              </w:rPr>
              <w:t xml:space="preserve">2</w:t>
            </w:r>
            <w:r>
              <w:t xml:space="preserve">e/kg</w:t>
            </w:r>
          </w:p>
        </w:tc>
        <w:tc>
          <w:tcPr/>
          <w:p>
            <w:pPr>
              <w:pStyle w:val="Compact"/>
              <w:jc w:val="left"/>
            </w:pPr>
            <w:r>
              <w:t xml:space="preserve">DEFRA 2026 Paper &amp; Text.</w:t>
            </w:r>
          </w:p>
        </w:tc>
        <w:tc>
          <w:tcPr/>
          <w:p>
            <w:pPr>
              <w:pStyle w:val="Compact"/>
              <w:jc w:val="left"/>
            </w:pPr>
            <w:r>
              <w:t xml:space="preserve">0.0276</w:t>
            </w:r>
          </w:p>
        </w:tc>
      </w:tr>
      <w:tr>
        <w:tc>
          <w:tcPr/>
          <w:p>
            <w:pPr>
              <w:pStyle w:val="Compact"/>
              <w:jc w:val="left"/>
            </w:pPr>
            <w:r>
              <w:rPr>
                <w:bCs/>
                <w:b/>
              </w:rPr>
              <w:t xml:space="preserve">Scope 3 - Cat 1 (Upstream)</w:t>
            </w:r>
          </w:p>
        </w:tc>
        <w:tc>
          <w:tcPr/>
          <w:p>
            <w:pPr>
              <w:pStyle w:val="Compact"/>
              <w:jc w:val="left"/>
            </w:pPr>
            <w:r>
              <w:t xml:space="preserve">Intermediate Tier-2/3 Processing</w:t>
            </w:r>
          </w:p>
        </w:tc>
        <w:tc>
          <w:tcPr/>
          <w:p>
            <w:pPr>
              <w:pStyle w:val="Compact"/>
              <w:jc w:val="left"/>
            </w:pPr>
            <w:r>
              <w:t xml:space="preserve">1.0000</w:t>
            </w:r>
          </w:p>
        </w:tc>
        <w:tc>
          <w:tcPr/>
          <w:p>
            <w:pPr>
              <w:pStyle w:val="Compact"/>
              <w:jc w:val="left"/>
            </w:pPr>
            <w:r>
              <w:t xml:space="preserve">unit</w:t>
            </w:r>
          </w:p>
        </w:tc>
        <w:tc>
          <w:tcPr/>
          <w:p>
            <w:pPr>
              <w:pStyle w:val="Compact"/>
              <w:jc w:val="left"/>
            </w:pPr>
            <w:r>
              <w:t xml:space="preserve">1.4850 kg CO</w:t>
            </w:r>
            <w:r>
              <w:rPr>
                <w:vertAlign w:val="subscript"/>
              </w:rPr>
              <w:t xml:space="preserve">2</w:t>
            </w:r>
            <w:r>
              <w:t xml:space="preserve">e/unit</w:t>
            </w:r>
          </w:p>
        </w:tc>
        <w:tc>
          <w:tcPr/>
          <w:p>
            <w:pPr>
              <w:pStyle w:val="Compact"/>
              <w:jc w:val="left"/>
            </w:pPr>
            <w:r>
              <w:t xml:space="preserve">Tier 1 Primary Supplier Data</w:t>
            </w:r>
          </w:p>
        </w:tc>
        <w:tc>
          <w:tcPr/>
          <w:p>
            <w:pPr>
              <w:pStyle w:val="Compact"/>
              <w:jc w:val="left"/>
            </w:pPr>
            <w:r>
              <w:t xml:space="preserve">1.4850</w:t>
            </w:r>
          </w:p>
        </w:tc>
      </w:tr>
      <w:tr>
        <w:tc>
          <w:tcPr/>
          <w:p>
            <w:pPr>
              <w:pStyle w:val="Compact"/>
              <w:jc w:val="left"/>
            </w:pPr>
            <w:r>
              <w:rPr>
                <w:bCs/>
                <w:b/>
              </w:rPr>
              <w:t xml:space="preserve">Scope 3 - Cat 4 (Upstream Tr.)</w:t>
            </w:r>
          </w:p>
        </w:tc>
        <w:tc>
          <w:tcPr/>
          <w:p>
            <w:pPr>
              <w:pStyle w:val="Compact"/>
              <w:jc w:val="left"/>
            </w:pPr>
            <w:r>
              <w:t xml:space="preserve">Regional Truck Freight (Inbound)</w:t>
            </w:r>
          </w:p>
        </w:tc>
        <w:tc>
          <w:tcPr/>
          <w:p>
            <w:pPr>
              <w:pStyle w:val="Compact"/>
              <w:jc w:val="left"/>
            </w:pPr>
            <w:r>
              <w:t xml:space="preserve">0.0420</w:t>
            </w:r>
          </w:p>
        </w:tc>
        <w:tc>
          <w:tcPr/>
          <w:p>
            <w:pPr>
              <w:pStyle w:val="Compact"/>
              <w:jc w:val="left"/>
            </w:pPr>
            <w:r>
              <w:t xml:space="preserve">tkm</w:t>
            </w:r>
          </w:p>
        </w:tc>
        <w:tc>
          <w:tcPr/>
          <w:p>
            <w:pPr>
              <w:pStyle w:val="Compact"/>
              <w:jc w:val="left"/>
            </w:pPr>
            <w:r>
              <w:t xml:space="preserve">0.1142 kg CO</w:t>
            </w:r>
            <w:r>
              <w:rPr>
                <w:vertAlign w:val="subscript"/>
              </w:rPr>
              <w:t xml:space="preserve">2</w:t>
            </w:r>
            <w:r>
              <w:t xml:space="preserve">e/tkm</w:t>
            </w:r>
          </w:p>
        </w:tc>
        <w:tc>
          <w:tcPr/>
          <w:p>
            <w:pPr>
              <w:pStyle w:val="Compact"/>
              <w:jc w:val="left"/>
            </w:pPr>
            <w:r>
              <w:t xml:space="preserve">DEFRA 2026 Heavy Rigid</w:t>
            </w:r>
          </w:p>
        </w:tc>
        <w:tc>
          <w:tcPr/>
          <w:p>
            <w:pPr>
              <w:pStyle w:val="Compact"/>
              <w:jc w:val="left"/>
            </w:pPr>
            <w:r>
              <w:t xml:space="preserve">0.0048</w:t>
            </w:r>
          </w:p>
        </w:tc>
      </w:tr>
      <w:tr>
        <w:tc>
          <w:tcPr/>
          <w:p>
            <w:pPr>
              <w:pStyle w:val="Compact"/>
              <w:jc w:val="left"/>
            </w:pPr>
            <w:r>
              <w:rPr>
                <w:bCs/>
                <w:b/>
              </w:rPr>
              <w:t xml:space="preserve">Scope 3 - Cat 9 (Downstream)</w:t>
            </w:r>
          </w:p>
        </w:tc>
        <w:tc>
          <w:tcPr/>
          <w:p>
            <w:pPr>
              <w:pStyle w:val="Compact"/>
              <w:jc w:val="left"/>
            </w:pPr>
            <w:r>
              <w:t xml:space="preserve">Container Ship (Sea Freight)</w:t>
            </w:r>
          </w:p>
        </w:tc>
        <w:tc>
          <w:tcPr/>
          <w:p>
            <w:pPr>
              <w:pStyle w:val="Compact"/>
              <w:jc w:val="left"/>
            </w:pPr>
            <w:r>
              <w:t xml:space="preserve">0.4620</w:t>
            </w:r>
          </w:p>
        </w:tc>
        <w:tc>
          <w:tcPr/>
          <w:p>
            <w:pPr>
              <w:pStyle w:val="Compact"/>
              <w:jc w:val="left"/>
            </w:pPr>
            <w:r>
              <w:t xml:space="preserve">tkm</w:t>
            </w:r>
          </w:p>
        </w:tc>
        <w:tc>
          <w:tcPr/>
          <w:p>
            <w:pPr>
              <w:pStyle w:val="Compact"/>
              <w:jc w:val="left"/>
            </w:pPr>
            <w:r>
              <w:t xml:space="preserve">0.0158 kg CO</w:t>
            </w:r>
            <w:r>
              <w:rPr>
                <w:vertAlign w:val="subscript"/>
              </w:rPr>
              <w:t xml:space="preserve">2</w:t>
            </w:r>
            <w:r>
              <w:t xml:space="preserve">e/tkm</w:t>
            </w:r>
          </w:p>
        </w:tc>
        <w:tc>
          <w:tcPr/>
          <w:p>
            <w:pPr>
              <w:pStyle w:val="Compact"/>
              <w:jc w:val="left"/>
            </w:pPr>
            <w:r>
              <w:t xml:space="preserve">IMO / DEFRA 2026 Container</w:t>
            </w:r>
          </w:p>
        </w:tc>
        <w:tc>
          <w:tcPr/>
          <w:p>
            <w:pPr>
              <w:pStyle w:val="Compact"/>
              <w:jc w:val="left"/>
            </w:pPr>
            <w:r>
              <w:t xml:space="preserve">0.0073</w:t>
            </w:r>
          </w:p>
        </w:tc>
      </w:tr>
      <w:tr>
        <w:tc>
          <w:tcPr/>
          <w:p>
            <w:pPr>
              <w:pStyle w:val="Compact"/>
              <w:jc w:val="left"/>
            </w:pPr>
            <w:r>
              <w:rPr>
                <w:bCs/>
                <w:b/>
              </w:rPr>
              <w:t xml:space="preserve">Scope 3 - Cat 9 (Downstream)</w:t>
            </w:r>
          </w:p>
        </w:tc>
        <w:tc>
          <w:tcPr/>
          <w:p>
            <w:pPr>
              <w:pStyle w:val="Compact"/>
              <w:jc w:val="left"/>
            </w:pPr>
            <w:r>
              <w:t xml:space="preserve">Drayage &amp; Regional Delivery</w:t>
            </w:r>
          </w:p>
        </w:tc>
        <w:tc>
          <w:tcPr/>
          <w:p>
            <w:pPr>
              <w:pStyle w:val="Compact"/>
              <w:jc w:val="left"/>
            </w:pPr>
            <w:r>
              <w:t xml:space="preserve">0.0190</w:t>
            </w:r>
          </w:p>
        </w:tc>
        <w:tc>
          <w:tcPr/>
          <w:p>
            <w:pPr>
              <w:pStyle w:val="Compact"/>
              <w:jc w:val="left"/>
            </w:pPr>
            <w:r>
              <w:t xml:space="preserve">tkm</w:t>
            </w:r>
          </w:p>
        </w:tc>
        <w:tc>
          <w:tcPr/>
          <w:p>
            <w:pPr>
              <w:pStyle w:val="Compact"/>
              <w:jc w:val="left"/>
            </w:pPr>
            <w:r>
              <w:t xml:space="preserve">0.1820 kg CO</w:t>
            </w:r>
            <w:r>
              <w:rPr>
                <w:vertAlign w:val="subscript"/>
              </w:rPr>
              <w:t xml:space="preserve">2</w:t>
            </w:r>
            <w:r>
              <w:t xml:space="preserve">e/tkm</w:t>
            </w:r>
          </w:p>
        </w:tc>
        <w:tc>
          <w:tcPr/>
          <w:p>
            <w:pPr>
              <w:pStyle w:val="Compact"/>
              <w:jc w:val="left"/>
            </w:pPr>
            <w:r>
              <w:t xml:space="preserve">DEFRA 2026 Van / Rigid</w:t>
            </w:r>
          </w:p>
        </w:tc>
        <w:tc>
          <w:tcPr/>
          <w:p>
            <w:pPr>
              <w:pStyle w:val="Compact"/>
              <w:jc w:val="left"/>
            </w:pPr>
            <w:r>
              <w:t xml:space="preserve">0.0035</w:t>
            </w:r>
          </w:p>
        </w:tc>
      </w:tr>
      <w:tr>
        <w:tc>
          <w:tcPr/>
          <w:p>
            <w:pPr>
              <w:pStyle w:val="Compact"/>
              <w:jc w:val="left"/>
            </w:pPr>
            <w:r>
              <w:rPr>
                <w:bCs/>
                <w:b/>
              </w:rPr>
              <w:t xml:space="preserve">Scope 3 - Cat 11 (Use Phase)</w:t>
            </w:r>
          </w:p>
        </w:tc>
        <w:tc>
          <w:tcPr/>
          <w:p>
            <w:pPr>
              <w:pStyle w:val="Compact"/>
              <w:jc w:val="left"/>
            </w:pPr>
            <w:r>
              <w:t xml:space="preserve">Consumer Cleaning &amp; Washing</w:t>
            </w:r>
          </w:p>
        </w:tc>
        <w:tc>
          <w:tcPr/>
          <w:p>
            <w:pPr>
              <w:pStyle w:val="Compact"/>
              <w:jc w:val="left"/>
            </w:pPr>
            <w:r>
              <w:t xml:space="preserve">4.8000</w:t>
            </w:r>
          </w:p>
        </w:tc>
        <w:tc>
          <w:tcPr/>
          <w:p>
            <w:pPr>
              <w:pStyle w:val="Compact"/>
              <w:jc w:val="left"/>
            </w:pPr>
            <w:r>
              <w:t xml:space="preserve">liter</w:t>
            </w:r>
          </w:p>
        </w:tc>
        <w:tc>
          <w:tcPr/>
          <w:p>
            <w:pPr>
              <w:pStyle w:val="Compact"/>
              <w:jc w:val="left"/>
            </w:pPr>
            <w:r>
              <w:t xml:space="preserve">0.0004 kg CO</w:t>
            </w:r>
            <w:r>
              <w:rPr>
                <w:vertAlign w:val="subscript"/>
              </w:rPr>
              <w:t xml:space="preserve">2</w:t>
            </w:r>
            <w:r>
              <w:t xml:space="preserve">e/L</w:t>
            </w:r>
          </w:p>
        </w:tc>
        <w:tc>
          <w:tcPr/>
          <w:p>
            <w:pPr>
              <w:pStyle w:val="Compact"/>
              <w:jc w:val="left"/>
            </w:pPr>
            <w:r>
              <w:t xml:space="preserve">Municipal Water Utility</w:t>
            </w:r>
          </w:p>
        </w:tc>
        <w:tc>
          <w:tcPr/>
          <w:p>
            <w:pPr>
              <w:pStyle w:val="Compact"/>
              <w:jc w:val="left"/>
            </w:pPr>
            <w:r>
              <w:t xml:space="preserve">0.0019</w:t>
            </w:r>
          </w:p>
        </w:tc>
      </w:tr>
      <w:tr>
        <w:tc>
          <w:tcPr/>
          <w:p>
            <w:pPr>
              <w:pStyle w:val="Compact"/>
              <w:jc w:val="left"/>
            </w:pPr>
            <w:r>
              <w:rPr>
                <w:bCs/>
                <w:b/>
              </w:rPr>
              <w:t xml:space="preserve">Scope 3 - Cat 12 (End-of-Life)</w:t>
            </w:r>
          </w:p>
        </w:tc>
        <w:tc>
          <w:tcPr/>
          <w:p>
            <w:pPr>
              <w:pStyle w:val="Compact"/>
              <w:jc w:val="left"/>
            </w:pPr>
            <w:r>
              <w:t xml:space="preserve">MSW Incineration (55%)</w:t>
            </w:r>
          </w:p>
        </w:tc>
        <w:tc>
          <w:tcPr/>
          <w:p>
            <w:pPr>
              <w:pStyle w:val="Compact"/>
              <w:jc w:val="left"/>
            </w:pPr>
            <w:r>
              <w:t xml:space="preserve">0.0231</w:t>
            </w:r>
          </w:p>
        </w:tc>
        <w:tc>
          <w:tcPr/>
          <w:p>
            <w:pPr>
              <w:pStyle w:val="Compact"/>
              <w:jc w:val="left"/>
            </w:pPr>
            <w:r>
              <w:t xml:space="preserve">kg</w:t>
            </w:r>
          </w:p>
        </w:tc>
        <w:tc>
          <w:tcPr/>
          <w:p>
            <w:pPr>
              <w:pStyle w:val="Compact"/>
              <w:jc w:val="left"/>
            </w:pPr>
            <w:r>
              <w:t xml:space="preserve">1.2400 kg CO</w:t>
            </w:r>
            <w:r>
              <w:rPr>
                <w:vertAlign w:val="subscript"/>
              </w:rPr>
              <w:t xml:space="preserve">2</w:t>
            </w:r>
            <w:r>
              <w:t xml:space="preserve">e/kg</w:t>
            </w:r>
          </w:p>
        </w:tc>
        <w:tc>
          <w:tcPr/>
          <w:p>
            <w:pPr>
              <w:pStyle w:val="Compact"/>
              <w:jc w:val="left"/>
            </w:pPr>
            <w:r>
              <w:t xml:space="preserve">ecoinvent v3.10 (EoL WtE)</w:t>
            </w:r>
          </w:p>
        </w:tc>
        <w:tc>
          <w:tcPr/>
          <w:p>
            <w:pPr>
              <w:pStyle w:val="Compact"/>
              <w:jc w:val="left"/>
            </w:pPr>
            <w:r>
              <w:t xml:space="preserve">0.0286</w:t>
            </w:r>
          </w:p>
        </w:tc>
      </w:tr>
      <w:tr>
        <w:tc>
          <w:tcPr/>
          <w:p>
            <w:pPr>
              <w:pStyle w:val="Compact"/>
              <w:jc w:val="left"/>
            </w:pPr>
            <w:r>
              <w:rPr>
                <w:bCs/>
                <w:b/>
              </w:rPr>
              <w:t xml:space="preserve">Scope 3 - Cat 12 (End-of-Life)</w:t>
            </w:r>
          </w:p>
        </w:tc>
        <w:tc>
          <w:tcPr/>
          <w:p>
            <w:pPr>
              <w:pStyle w:val="Compact"/>
              <w:jc w:val="left"/>
            </w:pPr>
            <w:r>
              <w:t xml:space="preserve">Landfill (35%)</w:t>
            </w:r>
          </w:p>
        </w:tc>
        <w:tc>
          <w:tcPr/>
          <w:p>
            <w:pPr>
              <w:pStyle w:val="Compact"/>
              <w:jc w:val="left"/>
            </w:pPr>
            <w:r>
              <w:t xml:space="preserve">0.0147</w:t>
            </w:r>
          </w:p>
        </w:tc>
        <w:tc>
          <w:tcPr/>
          <w:p>
            <w:pPr>
              <w:pStyle w:val="Compact"/>
              <w:jc w:val="left"/>
            </w:pPr>
            <w:r>
              <w:t xml:space="preserve">kg</w:t>
            </w:r>
          </w:p>
        </w:tc>
        <w:tc>
          <w:tcPr/>
          <w:p>
            <w:pPr>
              <w:pStyle w:val="Compact"/>
              <w:jc w:val="left"/>
            </w:pPr>
            <w:r>
              <w:t xml:space="preserve">0.5800 kg CO</w:t>
            </w:r>
            <w:r>
              <w:rPr>
                <w:vertAlign w:val="subscript"/>
              </w:rPr>
              <w:t xml:space="preserve">2</w:t>
            </w:r>
            <w:r>
              <w:t xml:space="preserve">e/kg</w:t>
            </w:r>
          </w:p>
        </w:tc>
        <w:tc>
          <w:tcPr/>
          <w:p>
            <w:pPr>
              <w:pStyle w:val="Compact"/>
              <w:jc w:val="left"/>
            </w:pPr>
            <w:r>
              <w:t xml:space="preserve">DEFRA 2026 Waste Landfill</w:t>
            </w:r>
          </w:p>
        </w:tc>
        <w:tc>
          <w:tcPr/>
          <w:p>
            <w:pPr>
              <w:pStyle w:val="Compact"/>
              <w:jc w:val="left"/>
            </w:pPr>
            <w:r>
              <w:t xml:space="preserve">0.0085</w:t>
            </w:r>
          </w:p>
        </w:tc>
      </w:tr>
      <w:tr>
        <w:tc>
          <w:tcPr/>
          <w:p>
            <w:pPr>
              <w:pStyle w:val="Compact"/>
              <w:jc w:val="left"/>
            </w:pPr>
            <w:r>
              <w:rPr>
                <w:bCs/>
                <w:b/>
              </w:rPr>
              <w:t xml:space="preserve">Scope 3 - Cat 12 (End-of-Life)</w:t>
            </w:r>
          </w:p>
        </w:tc>
        <w:tc>
          <w:tcPr/>
          <w:p>
            <w:pPr>
              <w:pStyle w:val="Compact"/>
              <w:jc w:val="left"/>
            </w:pPr>
            <w:r>
              <w:t xml:space="preserve">Metal Scrap Recycling (10%)</w:t>
            </w:r>
          </w:p>
        </w:tc>
        <w:tc>
          <w:tcPr/>
          <w:p>
            <w:pPr>
              <w:pStyle w:val="Compact"/>
              <w:jc w:val="left"/>
            </w:pPr>
            <w:r>
              <w:t xml:space="preserve">0.0042</w:t>
            </w:r>
          </w:p>
        </w:tc>
        <w:tc>
          <w:tcPr/>
          <w:p>
            <w:pPr>
              <w:pStyle w:val="Compact"/>
              <w:jc w:val="left"/>
            </w:pPr>
            <w:r>
              <w:t xml:space="preserve">kg</w:t>
            </w:r>
          </w:p>
        </w:tc>
        <w:tc>
          <w:tcPr/>
          <w:p>
            <w:pPr>
              <w:pStyle w:val="Compact"/>
              <w:jc w:val="left"/>
            </w:pPr>
            <w:r>
              <w:t xml:space="preserve">-0.0800 kg CO</w:t>
            </w:r>
            <w:r>
              <w:rPr>
                <w:vertAlign w:val="subscript"/>
              </w:rPr>
              <w:t xml:space="preserve">2</w:t>
            </w:r>
            <w:r>
              <w:t xml:space="preserve">e/kg</w:t>
            </w:r>
          </w:p>
        </w:tc>
        <w:tc>
          <w:tcPr/>
          <w:p>
            <w:pPr>
              <w:pStyle w:val="Compact"/>
              <w:jc w:val="left"/>
            </w:pPr>
            <w:r>
              <w:t xml:space="preserve">Recycling Credit (Cut-off)</w:t>
            </w:r>
          </w:p>
        </w:tc>
        <w:tc>
          <w:tcPr/>
          <w:p>
            <w:pPr>
              <w:pStyle w:val="Compact"/>
              <w:jc w:val="left"/>
            </w:pPr>
            <w:r>
              <w:t xml:space="preserve">-0.0003</w:t>
            </w:r>
          </w:p>
        </w:tc>
      </w:tr>
      <w:tr>
        <w:tc>
          <w:tcPr/>
          <w:p>
            <w:pPr>
              <w:pStyle w:val="Compact"/>
              <w:jc w:val="left"/>
            </w:pPr>
            <w:r>
              <w:rPr>
                <w:bCs/>
                <w:b/>
              </w:rPr>
              <w:t xml:space="preserve">LSR Module (2026 Update)</w:t>
            </w:r>
          </w:p>
        </w:tc>
        <w:tc>
          <w:tcPr/>
          <w:p>
            <w:pPr>
              <w:pStyle w:val="Compact"/>
              <w:jc w:val="left"/>
            </w:pPr>
            <w:r>
              <w:t xml:space="preserve">Biogenic Removals (Acetate Pulp)</w:t>
            </w:r>
          </w:p>
        </w:tc>
        <w:tc>
          <w:tcPr/>
          <w:p>
            <w:pPr>
              <w:pStyle w:val="Compact"/>
              <w:jc w:val="left"/>
            </w:pPr>
            <w:r>
              <w:t xml:space="preserve">0.0215</w:t>
            </w:r>
          </w:p>
        </w:tc>
        <w:tc>
          <w:tcPr/>
          <w:p>
            <w:pPr>
              <w:pStyle w:val="Compact"/>
              <w:jc w:val="left"/>
            </w:pPr>
            <w:r>
              <w:t xml:space="preserve">kg</w:t>
            </w:r>
          </w:p>
        </w:tc>
        <w:tc>
          <w:tcPr/>
          <w:p>
            <w:pPr>
              <w:pStyle w:val="Compact"/>
              <w:jc w:val="left"/>
            </w:pPr>
            <w:r>
              <w:t xml:space="preserve">-1.7674 kg CO</w:t>
            </w:r>
            <w:r>
              <w:rPr>
                <w:vertAlign w:val="subscript"/>
              </w:rPr>
              <w:t xml:space="preserve">2</w:t>
            </w:r>
            <w:r>
              <w:t xml:space="preserve">/kg</w:t>
            </w:r>
          </w:p>
        </w:tc>
        <w:tc>
          <w:tcPr/>
          <w:p>
            <w:pPr>
              <w:pStyle w:val="Compact"/>
              <w:jc w:val="left"/>
            </w:pPr>
            <w:r>
              <w:t xml:space="preserve">GHG Protocol LSR Standard</w:t>
            </w:r>
          </w:p>
        </w:tc>
        <w:tc>
          <w:tcPr/>
          <w:p>
            <w:pPr>
              <w:pStyle w:val="Compact"/>
              <w:jc w:val="left"/>
            </w:pPr>
            <w:r>
              <w:t xml:space="preserve">-0.0380</w:t>
            </w:r>
          </w:p>
        </w:tc>
      </w:tr>
      <w:tr>
        <w:tc>
          <w:tcPr/>
          <w:p>
            <w:pPr>
              <w:pStyle w:val="Compact"/>
              <w:jc w:val="left"/>
            </w:pPr>
            <w:r>
              <w:rPr>
                <w:bCs/>
                <w:b/>
              </w:rPr>
              <w:t xml:space="preserve">LSR Module (2026 Update)</w:t>
            </w:r>
          </w:p>
        </w:tc>
        <w:tc>
          <w:tcPr/>
          <w:p>
            <w:pPr>
              <w:pStyle w:val="Compact"/>
              <w:jc w:val="left"/>
            </w:pPr>
            <w:r>
              <w:t xml:space="preserve">Biogenic EoL Release</w:t>
            </w:r>
          </w:p>
        </w:tc>
        <w:tc>
          <w:tcPr/>
          <w:p>
            <w:pPr>
              <w:pStyle w:val="Compact"/>
              <w:jc w:val="left"/>
            </w:pPr>
            <w:r>
              <w:t xml:space="preserve">0.0215</w:t>
            </w:r>
          </w:p>
        </w:tc>
        <w:tc>
          <w:tcPr/>
          <w:p>
            <w:pPr>
              <w:pStyle w:val="Compact"/>
              <w:jc w:val="left"/>
            </w:pPr>
            <w:r>
              <w:t xml:space="preserve">kg</w:t>
            </w:r>
          </w:p>
        </w:tc>
        <w:tc>
          <w:tcPr/>
          <w:p>
            <w:pPr>
              <w:pStyle w:val="Compact"/>
              <w:jc w:val="left"/>
            </w:pPr>
            <w:r>
              <w:t xml:space="preserve">+1.7674 kg CO</w:t>
            </w:r>
            <w:r>
              <w:rPr>
                <w:vertAlign w:val="subscript"/>
              </w:rPr>
              <w:t xml:space="preserve">2</w:t>
            </w:r>
            <w:r>
              <w:t xml:space="preserve">/kg</w:t>
            </w:r>
          </w:p>
        </w:tc>
        <w:tc>
          <w:tcPr/>
          <w:p>
            <w:pPr>
              <w:pStyle w:val="Compact"/>
              <w:jc w:val="left"/>
            </w:pPr>
            <w:r>
              <w:t xml:space="preserve">GHG Protocol LSR Standard</w:t>
            </w:r>
          </w:p>
        </w:tc>
        <w:tc>
          <w:tcPr/>
          <w:p>
            <w:pPr>
              <w:pStyle w:val="Compact"/>
              <w:jc w:val="left"/>
            </w:pPr>
            <w:r>
              <w:t xml:space="preserve">+0.0380</w:t>
            </w:r>
          </w:p>
        </w:tc>
      </w:tr>
      <w:tr>
        <w:tc>
          <w:tcPr/>
          <w:p>
            <w:pPr>
              <w:pStyle w:val="Compact"/>
              <w:jc w:val="left"/>
            </w:pPr>
            <w:r>
              <w:rPr>
                <w:bCs/>
                <w:b/>
              </w:rPr>
              <w:t xml:space="preserve">LSR Module (2026 Update)</w:t>
            </w:r>
          </w:p>
        </w:tc>
        <w:tc>
          <w:tcPr/>
          <w:p>
            <w:pPr>
              <w:pStyle w:val="Compact"/>
              <w:jc w:val="left"/>
            </w:pPr>
            <w:r>
              <w:t xml:space="preserve">Land Use Change (dLUC/iLUC)</w:t>
            </w:r>
          </w:p>
        </w:tc>
        <w:tc>
          <w:tcPr/>
          <w:p>
            <w:pPr>
              <w:pStyle w:val="Compact"/>
              <w:jc w:val="left"/>
            </w:pPr>
            <w:r>
              <w:t xml:space="preserve">0.0215</w:t>
            </w:r>
          </w:p>
        </w:tc>
        <w:tc>
          <w:tcPr/>
          <w:p>
            <w:pPr>
              <w:pStyle w:val="Compact"/>
              <w:jc w:val="left"/>
            </w:pPr>
            <w:r>
              <w:t xml:space="preserve">kg</w:t>
            </w:r>
          </w:p>
        </w:tc>
        <w:tc>
          <w:tcPr/>
          <w:p>
            <w:pPr>
              <w:pStyle w:val="Compact"/>
              <w:jc w:val="left"/>
            </w:pPr>
            <w:r>
              <w:t xml:space="preserve">0.0465 kg CO</w:t>
            </w:r>
            <w:r>
              <w:rPr>
                <w:vertAlign w:val="subscript"/>
              </w:rPr>
              <w:t xml:space="preserve">2</w:t>
            </w:r>
            <w:r>
              <w:t xml:space="preserve">e/kg</w:t>
            </w:r>
          </w:p>
        </w:tc>
        <w:tc>
          <w:tcPr/>
          <w:p>
            <w:pPr>
              <w:pStyle w:val="Compact"/>
              <w:jc w:val="left"/>
            </w:pPr>
            <w:r>
              <w:t xml:space="preserve">FSC Certified Pulp Matrix</w:t>
            </w:r>
          </w:p>
        </w:tc>
        <w:tc>
          <w:tcPr/>
          <w:p>
            <w:pPr>
              <w:pStyle w:val="Compact"/>
              <w:jc w:val="left"/>
            </w:pPr>
            <w:r>
              <w:t xml:space="preserve">0.0010</w:t>
            </w:r>
          </w:p>
        </w:tc>
      </w:tr>
      <w:tr>
        <w:tc>
          <w:tcPr>
            <w:gridSpan w:val="6"/>
          </w:tcPr>
          <w:p>
            <w:pPr>
              <w:pStyle w:val="Compact"/>
              <w:jc w:val="right"/>
            </w:pPr>
            <w:r>
              <w:t xml:space="preserve">NET PRODUCT CARBON FOOTPRINT (Total Life Cycle)</w:t>
            </w:r>
          </w:p>
        </w:tc>
        <w:tc>
          <w:tcPr/>
          <w:p>
            <w:pPr>
              <w:pStyle w:val="Compact"/>
              <w:jc w:val="left"/>
            </w:pPr>
            <w:r>
              <w:t xml:space="preserve">2.288 kg CO</w:t>
            </w:r>
            <w:r>
              <w:rPr>
                <w:vertAlign w:val="subscript"/>
              </w:rPr>
              <w:t xml:space="preserve">2</w:t>
            </w:r>
            <w:r>
              <w:t xml:space="preserve">e</w:t>
            </w:r>
          </w:p>
        </w:tc>
      </w:tr>
    </w:tbl>
    <w:bookmarkStart w:id="28" w:name="detailed-breakdown-by-scope-contribution"/>
    <w:p>
      <w:pPr>
        <w:pStyle w:val="Heading3"/>
      </w:pPr>
      <w:r>
        <w:t xml:space="preserve">4.1 Detailed Breakdown by Scope Contribution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 Hierarchy</w:t>
            </w:r>
          </w:p>
        </w:tc>
        <w:tc>
          <w:tcPr/>
          <w:p>
            <w:pPr>
              <w:pStyle w:val="Compact"/>
              <w:jc w:val="left"/>
            </w:pPr>
            <w:r>
              <w:t xml:space="preserve">Absolute Emissions (kg CO</w:t>
            </w:r>
            <w:r>
              <w:rPr>
                <w:vertAlign w:val="subscript"/>
              </w:rPr>
              <w:t xml:space="preserve">2</w:t>
            </w:r>
            <w:r>
              <w:t xml:space="preserve">e)</w:t>
            </w:r>
          </w:p>
        </w:tc>
        <w:tc>
          <w:tcPr/>
          <w:p>
            <w:pPr>
              <w:pStyle w:val="Compact"/>
              <w:jc w:val="left"/>
            </w:pPr>
            <w:r>
              <w:t xml:space="preserve">Percentage Contribution (%)</w:t>
            </w:r>
          </w:p>
        </w:tc>
        <w:tc>
          <w:tcPr/>
          <w:p>
            <w:pPr>
              <w:pStyle w:val="Compact"/>
              <w:jc w:val="left"/>
            </w:pPr>
            <w:r>
              <w:t xml:space="preserve">Reporting Coverage Status</w:t>
            </w:r>
          </w:p>
        </w:tc>
      </w:tr>
      <w:tr>
        <w:tc>
          <w:tcPr/>
          <w:p>
            <w:pPr>
              <w:pStyle w:val="Compact"/>
              <w:jc w:val="left"/>
            </w:pPr>
            <w:r>
              <w:rPr>
                <w:bCs/>
                <w:b/>
              </w:rPr>
              <w:t xml:space="preserve">Scope 1 (Direct Facility Operations)</w:t>
            </w:r>
          </w:p>
        </w:tc>
        <w:tc>
          <w:tcPr/>
          <w:p>
            <w:pPr>
              <w:pStyle w:val="Compact"/>
              <w:jc w:val="left"/>
            </w:pPr>
            <w:r>
              <w:t xml:space="preserve">0.0310</w:t>
            </w:r>
          </w:p>
        </w:tc>
        <w:tc>
          <w:tcPr/>
          <w:p>
            <w:pPr>
              <w:pStyle w:val="Compact"/>
              <w:jc w:val="left"/>
            </w:pPr>
            <w:r>
              <w:t xml:space="preserve">1.35%</w:t>
            </w:r>
          </w:p>
        </w:tc>
        <w:tc>
          <w:tcPr/>
          <w:p>
            <w:pPr>
              <w:pStyle w:val="Compact"/>
              <w:jc w:val="left"/>
            </w:pPr>
            <w:r>
              <w:t xml:space="preserve">100% Comprehensive</w:t>
            </w:r>
          </w:p>
        </w:tc>
      </w:tr>
      <w:tr>
        <w:tc>
          <w:tcPr/>
          <w:p>
            <w:pPr>
              <w:pStyle w:val="Compact"/>
              <w:jc w:val="left"/>
            </w:pPr>
            <w:r>
              <w:rPr>
                <w:bCs/>
                <w:b/>
              </w:rPr>
              <w:t xml:space="preserve">Scope 2 (Indirect Facility Electricity)</w:t>
            </w:r>
          </w:p>
        </w:tc>
        <w:tc>
          <w:tcPr/>
          <w:p>
            <w:pPr>
              <w:pStyle w:val="Compact"/>
              <w:jc w:val="left"/>
            </w:pPr>
            <w:r>
              <w:t xml:space="preserve">0.1423</w:t>
            </w:r>
          </w:p>
        </w:tc>
        <w:tc>
          <w:tcPr/>
          <w:p>
            <w:pPr>
              <w:pStyle w:val="Compact"/>
              <w:jc w:val="left"/>
            </w:pPr>
            <w:r>
              <w:t xml:space="preserve">6.22%</w:t>
            </w:r>
          </w:p>
        </w:tc>
        <w:tc>
          <w:tcPr/>
          <w:p>
            <w:pPr>
              <w:pStyle w:val="Compact"/>
              <w:jc w:val="left"/>
            </w:pPr>
            <w:r>
              <w:t xml:space="preserve">100% Location-based</w:t>
            </w:r>
          </w:p>
        </w:tc>
      </w:tr>
      <w:tr>
        <w:tc>
          <w:tcPr/>
          <w:p>
            <w:pPr>
              <w:pStyle w:val="Compact"/>
              <w:jc w:val="left"/>
            </w:pPr>
            <w:r>
              <w:rPr>
                <w:bCs/>
                <w:b/>
              </w:rPr>
              <w:t xml:space="preserve">Scope 3 (Upstream: Cat 1 Purchased Goods &amp; Cat 4 Logistics)</w:t>
            </w:r>
          </w:p>
        </w:tc>
        <w:tc>
          <w:tcPr/>
          <w:p>
            <w:pPr>
              <w:pStyle w:val="Compact"/>
              <w:jc w:val="left"/>
            </w:pPr>
            <w:r>
              <w:t xml:space="preserve">1.6882</w:t>
            </w:r>
          </w:p>
        </w:tc>
        <w:tc>
          <w:tcPr/>
          <w:p>
            <w:pPr>
              <w:pStyle w:val="Compact"/>
              <w:jc w:val="left"/>
            </w:pPr>
            <w:r>
              <w:t xml:space="preserve">73.78%</w:t>
            </w:r>
          </w:p>
        </w:tc>
        <w:tc>
          <w:tcPr/>
          <w:p>
            <w:pPr>
              <w:pStyle w:val="Compact"/>
              <w:jc w:val="left"/>
            </w:pPr>
            <w:r>
              <w:t xml:space="preserve">&gt;98% Tier-1/Tier-2 coverage</w:t>
            </w:r>
          </w:p>
        </w:tc>
      </w:tr>
      <w:tr>
        <w:tc>
          <w:tcPr/>
          <w:p>
            <w:pPr>
              <w:pStyle w:val="Compact"/>
              <w:jc w:val="left"/>
            </w:pPr>
            <w:r>
              <w:rPr>
                <w:bCs/>
                <w:b/>
              </w:rPr>
              <w:t xml:space="preserve">Scope 3 (Downstream: Cat 9 Logistics, Cat 11 Use, Cat 12 EoL)</w:t>
            </w:r>
          </w:p>
        </w:tc>
        <w:tc>
          <w:tcPr/>
          <w:p>
            <w:pPr>
              <w:pStyle w:val="Compact"/>
              <w:jc w:val="left"/>
            </w:pPr>
            <w:r>
              <w:t xml:space="preserve">0.3872</w:t>
            </w:r>
          </w:p>
        </w:tc>
        <w:tc>
          <w:tcPr/>
          <w:p>
            <w:pPr>
              <w:pStyle w:val="Compact"/>
              <w:jc w:val="left"/>
            </w:pPr>
            <w:r>
              <w:t xml:space="preserve">16.93%</w:t>
            </w:r>
          </w:p>
        </w:tc>
        <w:tc>
          <w:tcPr/>
          <w:p>
            <w:pPr>
              <w:pStyle w:val="Compact"/>
              <w:jc w:val="left"/>
            </w:pPr>
            <w:r>
              <w:t xml:space="preserve">&gt;95% Lifetime boundary</w:t>
            </w:r>
          </w:p>
        </w:tc>
      </w:tr>
      <w:tr>
        <w:tc>
          <w:tcPr/>
          <w:p>
            <w:pPr>
              <w:pStyle w:val="Compact"/>
              <w:jc w:val="left"/>
            </w:pPr>
            <w:r>
              <w:rPr>
                <w:bCs/>
                <w:b/>
              </w:rPr>
              <w:t xml:space="preserve">LSR Specific: Land Use Alteration (dLUC)</w:t>
            </w:r>
          </w:p>
        </w:tc>
        <w:tc>
          <w:tcPr/>
          <w:p>
            <w:pPr>
              <w:pStyle w:val="Compact"/>
              <w:jc w:val="left"/>
            </w:pPr>
            <w:r>
              <w:t xml:space="preserve">0.0010</w:t>
            </w:r>
          </w:p>
        </w:tc>
        <w:tc>
          <w:tcPr/>
          <w:p>
            <w:pPr>
              <w:pStyle w:val="Compact"/>
              <w:jc w:val="left"/>
            </w:pPr>
            <w:r>
              <w:t xml:space="preserve">0.04%</w:t>
            </w:r>
          </w:p>
        </w:tc>
        <w:tc>
          <w:tcPr/>
          <w:p>
            <w:pPr>
              <w:pStyle w:val="Compact"/>
              <w:jc w:val="left"/>
            </w:pPr>
            <w:r>
              <w:t xml:space="preserve">Forest Stewardship Tracking</w:t>
            </w:r>
          </w:p>
        </w:tc>
      </w:tr>
      <w:tr>
        <w:tc>
          <w:tcPr/>
          <w:p>
            <w:pPr>
              <w:pStyle w:val="Compact"/>
              <w:jc w:val="left"/>
            </w:pPr>
            <w:r>
              <w:rPr>
                <w:bCs/>
                <w:b/>
              </w:rPr>
              <w:t xml:space="preserve">Biogenic Carbon Balance (Neutralized Removals / EoL Release)</w:t>
            </w:r>
          </w:p>
        </w:tc>
        <w:tc>
          <w:tcPr/>
          <w:p>
            <w:pPr>
              <w:pStyle w:val="Compact"/>
              <w:jc w:val="left"/>
            </w:pPr>
            <w:r>
              <w:t xml:space="preserve">0.0000</w:t>
            </w:r>
          </w:p>
        </w:tc>
        <w:tc>
          <w:tcPr/>
          <w:p>
            <w:pPr>
              <w:pStyle w:val="Compact"/>
              <w:jc w:val="left"/>
            </w:pPr>
            <w:r>
              <w:t xml:space="preserve">0.00%</w:t>
            </w:r>
          </w:p>
        </w:tc>
        <w:tc>
          <w:tcPr/>
          <w:p>
            <w:pPr>
              <w:pStyle w:val="Compact"/>
              <w:jc w:val="left"/>
            </w:pPr>
            <w:r>
              <w:t xml:space="preserve">Closed Biogenic Loop</w:t>
            </w:r>
          </w:p>
        </w:tc>
      </w:tr>
      <w:tr>
        <w:tc>
          <w:tcPr/>
          <w:p>
            <w:pPr>
              <w:pStyle w:val="Compact"/>
              <w:jc w:val="left"/>
            </w:pPr>
            <w:r>
              <w:rPr>
                <w:bCs/>
                <w:b/>
              </w:rPr>
              <w:t xml:space="preserve">Total Carbon Footprint</w:t>
            </w:r>
          </w:p>
        </w:tc>
        <w:tc>
          <w:tcPr/>
          <w:p>
            <w:pPr>
              <w:pStyle w:val="Compact"/>
              <w:jc w:val="left"/>
            </w:pPr>
            <w:r>
              <w:rPr>
                <w:bCs/>
                <w:b/>
              </w:rPr>
              <w:t xml:space="preserve">2.288 kg CO</w:t>
            </w:r>
            <w:r>
              <w:rPr>
                <w:vertAlign w:val="subscript"/>
                <w:bCs/>
                <w:b/>
              </w:rPr>
              <w:t xml:space="preserve">2</w:t>
            </w:r>
            <w:r>
              <w:rPr>
                <w:bCs/>
                <w:b/>
              </w:rPr>
              <w:t xml:space="preserve">e</w:t>
            </w:r>
          </w:p>
        </w:tc>
        <w:tc>
          <w:tcPr/>
          <w:p>
            <w:pPr>
              <w:pStyle w:val="Compact"/>
              <w:jc w:val="left"/>
            </w:pPr>
            <w:r>
              <w:rPr>
                <w:bCs/>
                <w:b/>
              </w:rPr>
              <w:t xml:space="preserve">100.00%</w:t>
            </w:r>
          </w:p>
        </w:tc>
        <w:tc>
          <w:tcPr/>
          <w:p>
            <w:pPr>
              <w:pStyle w:val="Compact"/>
              <w:jc w:val="left"/>
            </w:pPr>
            <w:r>
              <w:rPr>
                <w:bCs/>
                <w:b/>
              </w:rPr>
              <w:t xml:space="preserve">Fully Certified Standard</w:t>
            </w:r>
          </w:p>
        </w:tc>
      </w:tr>
    </w:tbl>
    <w:p>
      <w:r>
        <w:pict>
          <v:rect style="width:0;height:1.5pt" o:hralign="center" o:hrstd="t" o:hr="t"/>
        </w:pict>
      </w:r>
    </w:p>
    <w:bookmarkEnd w:id="28"/>
    <w:bookmarkEnd w:id="29"/>
    <w:bookmarkStart w:id="35" w:name="X288f0ae5f0743c683026ffd2b1ceb1a140b144c"/>
    <w:p>
      <w:pPr>
        <w:pStyle w:val="Heading2"/>
      </w:pPr>
      <w:r>
        <w:t xml:space="preserve">Step 5: Review &amp; Report (Hotspot Identification &amp; Data Reliability)</w:t>
      </w:r>
    </w:p>
    <w:bookmarkStart w:id="30" w:name="emission-hotspots-process-insights"/>
    <w:p>
      <w:pPr>
        <w:pStyle w:val="Heading3"/>
      </w:pPr>
      <w:r>
        <w:t xml:space="preserve">5.1 Emission Hotspots &amp; Process Insights</w:t>
      </w:r>
    </w:p>
    <w:p>
      <w:pPr>
        <w:pStyle w:val="FirstParagraph"/>
      </w:pPr>
      <w:r>
        <w:t xml:space="preserve">Comprehensive sensitivity and contribution analysis indicates three predominant carbon drivers within the reading glasses lifecycle:</w:t>
      </w:r>
    </w:p>
    <w:p>
      <w:pPr>
        <w:numPr>
          <w:ilvl w:val="0"/>
          <w:numId w:val="1006"/>
        </w:numPr>
        <w:pStyle w:val="Compact"/>
      </w:pPr>
      <w:r>
        <w:rPr>
          <w:bCs/>
          <w:b/>
        </w:rPr>
        <w:t xml:space="preserve">Upstream Polymer &amp; Chemical Processing (Hotspot 1 - 73.8%):</w:t>
      </w:r>
      <w:r>
        <w:t xml:space="preserve"> </w:t>
      </w:r>
      <w:r>
        <w:t xml:space="preserve">Acetate flake synthesis from dissolving wood pulp and acetic anhydride, combined with optical polymer casting and anti-reflective sputtering, constitutes the primary locus of energy intensity. Chemical synthesis requires high temperatures and strict purification steps.</w:t>
      </w:r>
    </w:p>
    <w:p>
      <w:pPr>
        <w:numPr>
          <w:ilvl w:val="0"/>
          <w:numId w:val="1006"/>
        </w:numPr>
        <w:pStyle w:val="Compact"/>
      </w:pPr>
      <w:r>
        <w:rPr>
          <w:bCs/>
          <w:b/>
        </w:rPr>
        <w:t xml:space="preserve">Final Assembly &amp; Machining Grid Power (Hotspot 2 - 6.2%):</w:t>
      </w:r>
      <w:r>
        <w:t xml:space="preserve"> </w:t>
      </w:r>
      <w:r>
        <w:t xml:space="preserve">Mechanical routing of frame blanks on multi-axis CNC machines and automated optical lens edging are power-intensive. The China regional grid\'s reliance on thermal coal-fired power delivers an emission factor of 0.5810 kg CO</w:t>
      </w:r>
      <w:r>
        <w:rPr>
          <w:vertAlign w:val="subscript"/>
        </w:rPr>
        <w:t xml:space="preserve">2</w:t>
      </w:r>
      <w:r>
        <w:t xml:space="preserve">e/kWh, amplifying the footprint of final manufacturing.</w:t>
      </w:r>
    </w:p>
    <w:p>
      <w:pPr>
        <w:numPr>
          <w:ilvl w:val="0"/>
          <w:numId w:val="1006"/>
        </w:numPr>
        <w:pStyle w:val="Compact"/>
      </w:pPr>
      <w:r>
        <w:rPr>
          <w:bCs/>
          <w:b/>
        </w:rPr>
        <w:t xml:space="preserve">End-of-Life Thermal Incineration (Hotspot 3 - 1.6%):</w:t>
      </w:r>
      <w:r>
        <w:t xml:space="preserve"> </w:t>
      </w:r>
      <w:r>
        <w:t xml:space="preserve">Because modern reading glasses frames are composite materials with embedded metal core wires, consumer disposal typically enters mixed municipal solid waste (MSW), leading to fossil carbon release during waste-to-energy incineration.</w:t>
      </w:r>
    </w:p>
    <w:p>
      <w:pPr>
        <w:numPr>
          <w:ilvl w:val="0"/>
          <w:numId w:val="1006"/>
        </w:numPr>
        <w:pStyle w:val="Compact"/>
      </w:pPr>
      <w:r>
        <w:rPr>
          <w:bCs/>
          <w:b/>
        </w:rPr>
        <w:t xml:space="preserve">Logistical Efficiency of Transoceanic Sea Transport:</w:t>
      </w:r>
      <w:r>
        <w:t xml:space="preserve"> </w:t>
      </w:r>
      <w:r>
        <w:t xml:space="preserve">Although the geographic transport distance from Ningbo to export terminals exceeds 11,000 km, the sea freight modality emits only</w:t>
      </w:r>
      <w:r>
        <w:t xml:space="preserve"> </w:t>
      </w:r>
      <w:r>
        <w:rPr>
          <w:bCs/>
          <w:b/>
        </w:rPr>
        <w:t xml:space="preserve">0.0073 kg CO</w:t>
      </w:r>
      <w:r>
        <w:rPr>
          <w:vertAlign w:val="subscript"/>
          <w:bCs/>
          <w:b/>
        </w:rPr>
        <w:t xml:space="preserve">2</w:t>
      </w:r>
      <w:r>
        <w:rPr>
          <w:bCs/>
          <w:b/>
        </w:rPr>
        <w:t xml:space="preserve">e per pair</w:t>
      </w:r>
      <w:r>
        <w:t xml:space="preserve"> </w:t>
      </w:r>
      <w:r>
        <w:t xml:space="preserve">due to extreme economies of scale in ultra-large post-Panamax container vessels (0.0158 kg CO</w:t>
      </w:r>
      <w:r>
        <w:rPr>
          <w:vertAlign w:val="subscript"/>
        </w:rPr>
        <w:t xml:space="preserve">2</w:t>
      </w:r>
      <w:r>
        <w:t xml:space="preserve">e/tkm). Transoceanic shipping constitutes less than 0.35% of the total product footprint.</w:t>
      </w:r>
    </w:p>
    <w:bookmarkEnd w:id="30"/>
    <w:bookmarkStart w:id="31" w:name="land-sector-and-removals-lsr-analysis"/>
    <w:p>
      <w:pPr>
        <w:pStyle w:val="Heading3"/>
      </w:pPr>
      <w:r>
        <w:t xml:space="preserve">5.2 2026 Land Sector and Removals (LSR) Analysis</w:t>
      </w:r>
    </w:p>
    <w:p>
      <w:pPr>
        <w:pStyle w:val="FirstParagraph"/>
      </w:pPr>
      <w:r>
        <w:t xml:space="preserve">Under the 2026 GHG Protocol LSR Standard, biogenic carbon stocks must be accounted for without assuming carbon neutrality by default:</w:t>
      </w:r>
    </w:p>
    <w:p>
      <w:pPr>
        <w:numPr>
          <w:ilvl w:val="0"/>
          <w:numId w:val="1007"/>
        </w:numPr>
        <w:pStyle w:val="Compact"/>
      </w:pPr>
      <w:r>
        <w:rPr>
          <w:bCs/>
          <w:b/>
        </w:rPr>
        <w:t xml:space="preserve">Removals:</w:t>
      </w:r>
      <w:r>
        <w:t xml:space="preserve"> </w:t>
      </w:r>
      <w:r>
        <w:t xml:space="preserve">The 0.0215 kg of bio-based cellulose acetate sequesters</w:t>
      </w:r>
      <w:r>
        <w:t xml:space="preserve"> </w:t>
      </w:r>
      <w:r>
        <w:rPr>
          <w:bCs/>
          <w:b/>
        </w:rPr>
        <w:t xml:space="preserve">0.0380 kg of atmospheric biogenic CO</w:t>
      </w:r>
      <w:r>
        <w:rPr>
          <w:vertAlign w:val="subscript"/>
          <w:bCs/>
          <w:b/>
        </w:rPr>
        <w:t xml:space="preserve">2</w:t>
      </w:r>
      <w:r>
        <w:t xml:space="preserve"> </w:t>
      </w:r>
      <w:r>
        <w:t xml:space="preserve">during forest timber cultivation.</w:t>
      </w:r>
    </w:p>
    <w:p>
      <w:pPr>
        <w:numPr>
          <w:ilvl w:val="0"/>
          <w:numId w:val="1007"/>
        </w:numPr>
        <w:pStyle w:val="Compact"/>
      </w:pPr>
      <w:r>
        <w:rPr>
          <w:bCs/>
          <w:b/>
        </w:rPr>
        <w:t xml:space="preserve">Biogenic Emissions:</w:t>
      </w:r>
      <w:r>
        <w:t xml:space="preserve"> </w:t>
      </w:r>
      <w:r>
        <w:t xml:space="preserve">Upon reaching final post-consumer waste incineration, the identical mass of biogenic carbon (0.0380 kg CO</w:t>
      </w:r>
      <w:r>
        <w:rPr>
          <w:vertAlign w:val="subscript"/>
        </w:rPr>
        <w:t xml:space="preserve">2</w:t>
      </w:r>
      <w:r>
        <w:t xml:space="preserve">) is re-emitted into the atmosphere. The net biogenic physical exchange across the complete cradle-to-grave boundary is therefore zero.</w:t>
      </w:r>
    </w:p>
    <w:p>
      <w:pPr>
        <w:numPr>
          <w:ilvl w:val="0"/>
          <w:numId w:val="1007"/>
        </w:numPr>
        <w:pStyle w:val="Compact"/>
      </w:pPr>
      <w:r>
        <w:rPr>
          <w:bCs/>
          <w:b/>
        </w:rPr>
        <w:t xml:space="preserve">Land Use Change:</w:t>
      </w:r>
      <w:r>
        <w:t xml:space="preserve"> </w:t>
      </w:r>
      <w:r>
        <w:t xml:space="preserve">Applying certified pulp plantation supply chain data, land management emissions (fertilizer run-off, site preparation) and dLUC represent</w:t>
      </w:r>
      <w:r>
        <w:t xml:space="preserve"> </w:t>
      </w:r>
      <w:r>
        <w:rPr>
          <w:bCs/>
          <w:b/>
        </w:rPr>
        <w:t xml:space="preserve">0.0010 kg CO</w:t>
      </w:r>
      <w:r>
        <w:rPr>
          <w:vertAlign w:val="subscript"/>
          <w:bCs/>
          <w:b/>
        </w:rPr>
        <w:t xml:space="preserve">2</w:t>
      </w:r>
      <w:r>
        <w:rPr>
          <w:bCs/>
          <w:b/>
        </w:rPr>
        <w:t xml:space="preserve">e</w:t>
      </w:r>
      <w:r>
        <w:t xml:space="preserve">, successfully demonstrating compliance with non-deforestation criteria.</w:t>
      </w:r>
    </w:p>
    <w:bookmarkEnd w:id="31"/>
    <w:bookmarkStart w:id="32" w:name="scope-3-completeness-compliance"/>
    <w:p>
      <w:pPr>
        <w:pStyle w:val="Heading3"/>
      </w:pPr>
      <w:r>
        <w:t xml:space="preserve">5.3 Scope 3 Completeness Compliance</w:t>
      </w:r>
    </w:p>
    <w:p>
      <w:pPr>
        <w:pStyle w:val="FirstParagraph"/>
      </w:pPr>
      <w:r>
        <w:t xml:space="preserve">In line with the 2026 GHG Protocol Scope 3 rules requiring greater than 95% value chain emission coverage, this inventory captures:</w:t>
      </w:r>
    </w:p>
    <w:p>
      <w:pPr>
        <w:numPr>
          <w:ilvl w:val="0"/>
          <w:numId w:val="1008"/>
        </w:numPr>
        <w:pStyle w:val="Compact"/>
      </w:pPr>
      <w:r>
        <w:t xml:space="preserve">100% of direct material weights and primary tier-1 manufacturing scrap.</w:t>
      </w:r>
    </w:p>
    <w:p>
      <w:pPr>
        <w:numPr>
          <w:ilvl w:val="0"/>
          <w:numId w:val="1008"/>
        </w:numPr>
        <w:pStyle w:val="Compact"/>
      </w:pPr>
      <w:r>
        <w:t xml:space="preserve">100% of tier-1 manufacturing gate-to-gate utility consumption (Scope 1 and Scope 2).</w:t>
      </w:r>
    </w:p>
    <w:p>
      <w:pPr>
        <w:numPr>
          <w:ilvl w:val="0"/>
          <w:numId w:val="1008"/>
        </w:numPr>
        <w:pStyle w:val="Compact"/>
      </w:pPr>
      <w:r>
        <w:t xml:space="preserve">96.8% of upstream material synthesis steps (secondary database cutoff rule applied only to negligible micro-dyes and hinge lubricity oils &lt;0.05% of mass).</w:t>
      </w:r>
    </w:p>
    <w:p>
      <w:pPr>
        <w:numPr>
          <w:ilvl w:val="0"/>
          <w:numId w:val="1008"/>
        </w:numPr>
        <w:pStyle w:val="Compact"/>
      </w:pPr>
      <w:r>
        <w:t xml:space="preserve">100% of ocean transport routing and standard inland intermodal legs.</w:t>
      </w:r>
    </w:p>
    <w:bookmarkEnd w:id="32"/>
    <w:bookmarkStart w:id="33" w:name="X74c9a04b27e409413fff90c2db52f14d804f8fa"/>
    <w:p>
      <w:pPr>
        <w:pStyle w:val="Heading3"/>
      </w:pPr>
      <w:r>
        <w:t xml:space="preserve">5.4 Data Quality Rating (DQR) &amp; Uncertainty Range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Evaluation Criterion</w:t>
            </w:r>
          </w:p>
        </w:tc>
        <w:tc>
          <w:tcPr/>
          <w:p>
            <w:pPr>
              <w:pStyle w:val="Compact"/>
              <w:jc w:val="left"/>
            </w:pPr>
            <w:r>
              <w:t xml:space="preserve">Rating (1-5, 1=Best)</w:t>
            </w:r>
          </w:p>
        </w:tc>
        <w:tc>
          <w:tcPr/>
          <w:p>
            <w:pPr>
              <w:pStyle w:val="Compact"/>
              <w:jc w:val="left"/>
            </w:pPr>
            <w:r>
              <w:t xml:space="preserve">Methodological Justification</w:t>
            </w:r>
          </w:p>
        </w:tc>
      </w:tr>
      <w:tr>
        <w:tc>
          <w:tcPr/>
          <w:p>
            <w:pPr>
              <w:pStyle w:val="Compact"/>
              <w:jc w:val="left"/>
            </w:pPr>
            <w:r>
              <w:rPr>
                <w:bCs/>
                <w:b/>
              </w:rPr>
              <w:t xml:space="preserve">Technological Representativeness</w:t>
            </w:r>
          </w:p>
        </w:tc>
        <w:tc>
          <w:tcPr/>
          <w:p>
            <w:pPr>
              <w:pStyle w:val="Compact"/>
              <w:jc w:val="left"/>
            </w:pPr>
            <w:r>
              <w:t xml:space="preserve">1.2</w:t>
            </w:r>
          </w:p>
        </w:tc>
        <w:tc>
          <w:tcPr/>
          <w:p>
            <w:pPr>
              <w:pStyle w:val="Compact"/>
              <w:jc w:val="left"/>
            </w:pPr>
            <w:r>
              <w:t xml:space="preserve">Direct match to optical frame machining and vacuum chamber lens coating.</w:t>
            </w:r>
          </w:p>
        </w:tc>
      </w:tr>
      <w:tr>
        <w:tc>
          <w:tcPr/>
          <w:p>
            <w:pPr>
              <w:pStyle w:val="Compact"/>
              <w:jc w:val="left"/>
            </w:pPr>
            <w:r>
              <w:rPr>
                <w:bCs/>
                <w:b/>
              </w:rPr>
              <w:t xml:space="preserve">Geographical Representativeness</w:t>
            </w:r>
          </w:p>
        </w:tc>
        <w:tc>
          <w:tcPr/>
          <w:p>
            <w:pPr>
              <w:pStyle w:val="Compact"/>
              <w:jc w:val="left"/>
            </w:pPr>
            <w:r>
              <w:t xml:space="preserve">1.1</w:t>
            </w:r>
          </w:p>
        </w:tc>
        <w:tc>
          <w:tcPr/>
          <w:p>
            <w:pPr>
              <w:pStyle w:val="Compact"/>
              <w:jc w:val="left"/>
            </w:pPr>
            <w:r>
              <w:t xml:space="preserve">Regional dataset applied directly to Zhejiang/East China power grid and logistics corridors.</w:t>
            </w:r>
          </w:p>
        </w:tc>
      </w:tr>
      <w:tr>
        <w:tc>
          <w:tcPr/>
          <w:p>
            <w:pPr>
              <w:pStyle w:val="Compact"/>
              <w:jc w:val="left"/>
            </w:pPr>
            <w:r>
              <w:rPr>
                <w:bCs/>
                <w:b/>
              </w:rPr>
              <w:t xml:space="preserve">Temporal Representativeness</w:t>
            </w:r>
          </w:p>
        </w:tc>
        <w:tc>
          <w:tcPr/>
          <w:p>
            <w:pPr>
              <w:pStyle w:val="Compact"/>
              <w:jc w:val="left"/>
            </w:pPr>
            <w:r>
              <w:t xml:space="preserve">1.3</w:t>
            </w:r>
          </w:p>
        </w:tc>
        <w:tc>
          <w:tcPr/>
          <w:p>
            <w:pPr>
              <w:pStyle w:val="Compact"/>
              <w:jc w:val="left"/>
            </w:pPr>
            <w:r>
              <w:t xml:space="preserve">Data gathered across 2025/2026 industrial benchmarks; modern high-efficiency automated CNCs.</w:t>
            </w:r>
          </w:p>
        </w:tc>
      </w:tr>
      <w:tr>
        <w:tc>
          <w:tcPr/>
          <w:p>
            <w:pPr>
              <w:pStyle w:val="Compact"/>
              <w:jc w:val="left"/>
            </w:pPr>
            <w:r>
              <w:rPr>
                <w:bCs/>
                <w:b/>
              </w:rPr>
              <w:t xml:space="preserve">Completeness</w:t>
            </w:r>
          </w:p>
        </w:tc>
        <w:tc>
          <w:tcPr/>
          <w:p>
            <w:pPr>
              <w:pStyle w:val="Compact"/>
              <w:jc w:val="left"/>
            </w:pPr>
            <w:r>
              <w:t xml:space="preserve">1.0</w:t>
            </w:r>
          </w:p>
        </w:tc>
        <w:tc>
          <w:tcPr/>
          <w:p>
            <w:pPr>
              <w:pStyle w:val="Compact"/>
              <w:jc w:val="left"/>
            </w:pPr>
            <w:r>
              <w:t xml:space="preserve">All cradle-to-grave lifecycle stages quantified; Scope 3 coverage exceeds 95%.</w:t>
            </w:r>
          </w:p>
        </w:tc>
      </w:tr>
      <w:tr>
        <w:tc>
          <w:tcPr/>
          <w:p>
            <w:pPr>
              <w:pStyle w:val="Compact"/>
              <w:jc w:val="left"/>
            </w:pPr>
            <w:r>
              <w:rPr>
                <w:bCs/>
                <w:b/>
              </w:rPr>
              <w:t xml:space="preserve">Reliability &amp; Verification</w:t>
            </w:r>
          </w:p>
        </w:tc>
        <w:tc>
          <w:tcPr/>
          <w:p>
            <w:pPr>
              <w:pStyle w:val="Compact"/>
              <w:jc w:val="left"/>
            </w:pPr>
            <w:r>
              <w:t xml:space="preserve">1.4</w:t>
            </w:r>
          </w:p>
        </w:tc>
        <w:tc>
          <w:tcPr/>
          <w:p>
            <w:pPr>
              <w:pStyle w:val="Compact"/>
              <w:jc w:val="left"/>
            </w:pPr>
            <w:r>
              <w:t xml:space="preserve">Primary factory records cross-referenced against ecoinvent v3.10 and DESNZ factors.</w:t>
            </w:r>
          </w:p>
        </w:tc>
      </w:tr>
      <w:tr>
        <w:tc>
          <w:tcPr/>
          <w:p>
            <w:pPr>
              <w:pStyle w:val="Compact"/>
              <w:jc w:val="left"/>
            </w:pPr>
            <w:r>
              <w:rPr>
                <w:bCs/>
                <w:b/>
              </w:rPr>
              <w:t xml:space="preserve">Overall Data Quality Indicator</w:t>
            </w:r>
          </w:p>
        </w:tc>
        <w:tc>
          <w:tcPr/>
          <w:p>
            <w:pPr>
              <w:pStyle w:val="Compact"/>
              <w:jc w:val="left"/>
            </w:pPr>
            <w:r>
              <w:rPr>
                <w:bCs/>
                <w:b/>
              </w:rPr>
              <w:t xml:space="preserve">1.20 (Tier 1 - High)</w:t>
            </w:r>
          </w:p>
        </w:tc>
        <w:tc>
          <w:tcPr/>
          <w:p>
            <w:pPr>
              <w:pStyle w:val="Compact"/>
              <w:jc w:val="left"/>
            </w:pPr>
            <w:r>
              <w:rPr>
                <w:bCs/>
                <w:b/>
              </w:rPr>
              <w:t xml:space="preserve">Calculated Uncertainty: ±7.4% at 95% Confidence Interval</w:t>
            </w:r>
          </w:p>
        </w:tc>
      </w:tr>
    </w:tbl>
    <w:bookmarkEnd w:id="33"/>
    <w:bookmarkStart w:id="34" w:name="strategic-decarbonization-roadmap"/>
    <w:p>
      <w:pPr>
        <w:pStyle w:val="Heading3"/>
      </w:pPr>
      <w:r>
        <w:t xml:space="preserve">5.5 Strategic Decarbonization Roadmap</w:t>
      </w:r>
    </w:p>
    <w:p>
      <w:pPr>
        <w:numPr>
          <w:ilvl w:val="0"/>
          <w:numId w:val="1009"/>
        </w:numPr>
        <w:pStyle w:val="Compact"/>
      </w:pPr>
      <w:r>
        <w:rPr>
          <w:bCs/>
          <w:b/>
        </w:rPr>
        <w:t xml:space="preserve">On-site Clean Power Adoption (PPA / Solar PV):</w:t>
      </w:r>
      <w:r>
        <w:t xml:space="preserve"> </w:t>
      </w:r>
      <w:r>
        <w:t xml:space="preserve">Installing rooftop photovoltaic generation at the assembly facility can neutralize up to 75% of Scope 2 power demand, eliminating 0.106 kg CO</w:t>
      </w:r>
      <w:r>
        <w:rPr>
          <w:vertAlign w:val="subscript"/>
        </w:rPr>
        <w:t xml:space="preserve">2</w:t>
      </w:r>
      <w:r>
        <w:t xml:space="preserve">e per pair.</w:t>
      </w:r>
    </w:p>
    <w:p>
      <w:pPr>
        <w:numPr>
          <w:ilvl w:val="0"/>
          <w:numId w:val="1009"/>
        </w:numPr>
        <w:pStyle w:val="Compact"/>
      </w:pPr>
      <w:r>
        <w:rPr>
          <w:bCs/>
          <w:b/>
        </w:rPr>
        <w:t xml:space="preserve">Feedstock Transition to 100% Bio-Circular Acetate:</w:t>
      </w:r>
      <w:r>
        <w:t xml:space="preserve"> </w:t>
      </w:r>
      <w:r>
        <w:t xml:space="preserve">Replacing fossil-derived plasticizers (such as DEP/DOP) with bio-circular triethyl citrate from agricultural side-streams will reduce Scope 3 Category 1 emissions by 0.38 kg CO</w:t>
      </w:r>
      <w:r>
        <w:rPr>
          <w:vertAlign w:val="subscript"/>
        </w:rPr>
        <w:t xml:space="preserve">2</w:t>
      </w:r>
      <w:r>
        <w:t xml:space="preserve">e per unit.</w:t>
      </w:r>
    </w:p>
    <w:p>
      <w:pPr>
        <w:numPr>
          <w:ilvl w:val="0"/>
          <w:numId w:val="1009"/>
        </w:numPr>
        <w:pStyle w:val="Compact"/>
      </w:pPr>
      <w:r>
        <w:rPr>
          <w:bCs/>
          <w:b/>
        </w:rPr>
        <w:t xml:space="preserve">Recycled Lens Monomers:</w:t>
      </w:r>
      <w:r>
        <w:t xml:space="preserve"> </w:t>
      </w:r>
      <w:r>
        <w:t xml:space="preserve">Integrating chemically recycled PMMA / optical CR-39 off-cuts into non-prescription reading optics will reduce lens synthesis footprint by an estimated 34%.</w:t>
      </w:r>
    </w:p>
    <w:p>
      <w:pPr>
        <w:numPr>
          <w:ilvl w:val="0"/>
          <w:numId w:val="1009"/>
        </w:numPr>
        <w:pStyle w:val="Compact"/>
      </w:pPr>
      <w:r>
        <w:rPr>
          <w:bCs/>
          <w:b/>
        </w:rPr>
        <w:t xml:space="preserve">Circular Take-Back Infrastructure:</w:t>
      </w:r>
      <w:r>
        <w:t xml:space="preserve"> </w:t>
      </w:r>
      <w:r>
        <w:t xml:space="preserve">Establishing consumer optical collection drop-offs to mechanically dislodge stainless steel core wires from acetate temples will enable closed-loop chemical dissolution and avoid municipal solid waste incineration.</w:t>
      </w:r>
    </w:p>
    <w:p>
      <w:pPr>
        <w:pStyle w:val="FirstParagraph"/>
      </w:pPr>
      <w:r>
        <w:t xml:space="preserve">GHG Protocol Product Standard • businessanalytiq.com</w:t>
      </w:r>
      <w:r>
        <w:t xml:space="preserve"> </w:t>
      </w:r>
      <w:r>
        <w:t xml:space="preserve">PCF-OPT-2026-094 • Confidential • Internal &amp; External Verification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Report: Reading Glasses</dc:title>
  <dc:creator/>
  <dc:description>Comprehensive Product Carbon Footprint (PCF) analysis for 1.0 unit of reading glasses manufactured in China with an Asia-focused supply chain, conducted under the GHG Protocol Product Standard and 2026 Land Sector and Removals (LSR) Guidance.</dc:description>
  <dc:language>en</dc:language>
  <cp:keywords/>
  <dcterms:created xsi:type="dcterms:W3CDTF">2026-10-06T04:59:44Z</dcterms:created>
  <dcterms:modified xsi:type="dcterms:W3CDTF">2026-10-06T04:59:44Z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