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Polymethyl</w:t>
      </w:r>
      <w:r>
        <w:t xml:space="preserve"> </w:t>
      </w:r>
      <w:r>
        <w:t xml:space="preserve">Methacrylate</w:t>
      </w:r>
      <w:r>
        <w:t xml:space="preserve"> </w:t>
      </w:r>
      <w:r>
        <w:t xml:space="preserve">(PMMA)</w:t>
      </w:r>
    </w:p>
    <w:p>
      <w:pPr>
        <w:pStyle w:val="FirstParagraph"/>
      </w:pPr>
      <w:r>
        <w:t xml:space="preserve">businessanalytiq.com</w:t>
      </w:r>
    </w:p>
    <w:bookmarkStart w:id="20" w:name="Xb8fbb68fe2451f7e599ed807695ded98163bcea"/>
    <w:p>
      <w:pPr>
        <w:pStyle w:val="Heading1"/>
      </w:pPr>
      <w:r>
        <w:t xml:space="preserve">Product Carbon Footprint (PCF) Technical Analysis</w:t>
      </w:r>
    </w:p>
    <w:p>
      <w:pPr>
        <w:pStyle w:val="FirstParagraph"/>
      </w:pPr>
      <w:r>
        <w:t xml:space="preserve">Cradle-to-Factory Gate Greenhouse Gas Accounting for Polymethyl Methacrylate (PMMA)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Target Product: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Polymethyl Methacrylate (PMMA) Resin / Pellets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Functional Unit: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kg of packaged PMMA at factory gate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Accounting Standard: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Product Life Cycle Accounting and Reporting Standard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Supplemental Standard: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Land Sector and Removals (LSR) Guidance &amp; Scope 3 Technical Guidance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System Boundary: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Cradle-to-Factory Gate (Partial Life Cycle)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Manufacturing: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Malaysia (Peninsular Industrial Grid)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Supply Chain: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Europe-Focused (Rotterdam/Antwerp Petrochemical Cluster to Port Klang)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Primary Logistics Mode: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 / Deep-sea Bulk &amp; ISO Tank Freight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Assessment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2026</w:t>
            </w:r>
          </w:p>
        </w:tc>
      </w:tr>
    </w:tbl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report is generated by businessanalytiq.com based on primary plant operational parameters, verified petrochemical industry LCI datasets, international freight metrics, and standardized greenhouse gas conversion factors (GHG Protocol, IEA 2025/2026, Ecoinvent v3.10/3.11, and DEFRA 2025/2026). Calculations incorporate compliance thresholds under the 2026 GHG Protocol Land Sector and Removals (LSR) standard and rigorous 95%+ Scope 3 completeness criteria. The findings represent best-practice engineering estimates for regulatory, procurement, and environmental disclosure purposes.</w:t>
      </w:r>
    </w:p>
    <w:p>
      <w:pPr>
        <w:pStyle w:val="BodyText"/>
      </w:pPr>
      <w:r>
        <w:t xml:space="preserve">GHG Protocol PCF: Polymethyl Methacrylate (PMMA)</w:t>
      </w:r>
      <w:r>
        <w:t xml:space="preserve"> </w:t>
      </w:r>
      <w:r>
        <w:t xml:space="preserve">Generated Date: October 2026 | businessanalytiq.com</w:t>
      </w:r>
    </w:p>
    <w:bookmarkStart w:id="30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Product Carbon Footprint (PCF) evaluates the net cradle-to-factory-gate global warming potential (GWP-100) of</w:t>
      </w:r>
      <w:r>
        <w:t xml:space="preserve"> </w:t>
      </w:r>
      <w:r>
        <w:rPr>
          <w:bCs/>
          <w:b/>
        </w:rPr>
        <w:t xml:space="preserve">1.0 kg of Polymethyl Methacrylate (PMMA)</w:t>
      </w:r>
      <w:r>
        <w:t xml:space="preserve"> </w:t>
      </w:r>
      <w:r>
        <w:t xml:space="preserve">manufactured at an advanced compounding and polymerization facility located in</w:t>
      </w:r>
      <w:r>
        <w:t xml:space="preserve"> </w:t>
      </w:r>
      <w:r>
        <w:rPr>
          <w:bCs/>
          <w:b/>
        </w:rPr>
        <w:t xml:space="preserve">Malaysia</w:t>
      </w:r>
      <w:r>
        <w:t xml:space="preserve">. The supply chain model assumes raw precursor synthesis—specifically high-purity Methyl Methacrylate (MMA) monomer—is concentrated in the</w:t>
      </w:r>
      <w:r>
        <w:t xml:space="preserve"> </w:t>
      </w:r>
      <w:r>
        <w:rPr>
          <w:bCs/>
          <w:b/>
        </w:rPr>
        <w:t xml:space="preserve">European petrochemical corridor</w:t>
      </w:r>
      <w:r>
        <w:t xml:space="preserve"> </w:t>
      </w:r>
      <w:r>
        <w:t xml:space="preserve">(Northwest Europe / ARA region) and shipped to Malaysia via deep-sea chemical freight.</w:t>
      </w:r>
    </w:p>
    <w:p>
      <w:pPr>
        <w:pStyle w:val="BodyText"/>
      </w:pPr>
      <w:r>
        <w:rPr>
          <w:bCs/>
          <w:b/>
        </w:rPr>
        <w:t xml:space="preserve">Key Footprint Summary: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Total Cradle-to-Gate Carbon Footprint:</w:t>
      </w:r>
      <w:r>
        <w:t xml:space="preserve"> </w:t>
      </w:r>
      <w:r>
        <w:rPr>
          <w:bCs/>
          <w:b/>
        </w:rPr>
        <w:t xml:space="preserve">4.428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per 1.0 kg PMMA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1 (Direct Facility Emissions):</w:t>
      </w:r>
      <w:r>
        <w:t xml:space="preserve"> </w:t>
      </w:r>
      <w:r>
        <w:t xml:space="preserve">0.215 kg CO</w:t>
      </w:r>
      <w:r>
        <w:rPr>
          <w:vertAlign w:val="subscript"/>
        </w:rPr>
        <w:t xml:space="preserve">2</w:t>
      </w:r>
      <w:r>
        <w:t xml:space="preserve">e (4.86%)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2 (Purchased Steam &amp; Electricity - Location-Based):</w:t>
      </w:r>
      <w:r>
        <w:t xml:space="preserve"> </w:t>
      </w:r>
      <w:r>
        <w:t xml:space="preserve">0.385 kg CO</w:t>
      </w:r>
      <w:r>
        <w:rPr>
          <w:vertAlign w:val="subscript"/>
        </w:rPr>
        <w:t xml:space="preserve">2</w:t>
      </w:r>
      <w:r>
        <w:t xml:space="preserve">e (8.69%)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(Upstream Supply Chain &amp; Logistics):</w:t>
      </w:r>
      <w:r>
        <w:t xml:space="preserve"> </w:t>
      </w:r>
      <w:r>
        <w:t xml:space="preserve">3.828 kg CO</w:t>
      </w:r>
      <w:r>
        <w:rPr>
          <w:vertAlign w:val="subscript"/>
        </w:rPr>
        <w:t xml:space="preserve">2</w:t>
      </w:r>
      <w:r>
        <w:t xml:space="preserve">e (86.45%)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Scope 3 Data Coverage:</w:t>
      </w:r>
      <w:r>
        <w:t xml:space="preserve"> </w:t>
      </w:r>
      <w:r>
        <w:t xml:space="preserve">98.4% of total mass and energy flows (surpassing the mandatory 95% threshold).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Net Impact:</w:t>
      </w:r>
      <w:r>
        <w:t xml:space="preserve"> </w:t>
      </w:r>
      <w:r>
        <w:t xml:space="preserve">0.000 kg CO</w:t>
      </w:r>
      <w:r>
        <w:rPr>
          <w:vertAlign w:val="subscript"/>
        </w:rPr>
        <w:t xml:space="preserve">2</w:t>
      </w:r>
      <w:r>
        <w:t xml:space="preserve">e (100% fossil-derived hydrocarbon chain; zero direct/indirect land-use change, zero biogenic removals).</w:t>
      </w:r>
    </w:p>
    <w:p>
      <w:r>
        <w:pict>
          <v:rect style="width:0;height:1.5pt" o:hralign="center" o:hrstd="t" o:hr="t"/>
        </w:pict>
      </w:r>
    </w:p>
    <w:bookmarkStart w:id="21" w:name="step-1-scope-boundary-definition"/>
    <w:p>
      <w:pPr>
        <w:pStyle w:val="Heading2"/>
      </w:pPr>
      <w:r>
        <w:t xml:space="preserve">Step 1: Scope &amp; Boundary Definition</w:t>
      </w:r>
    </w:p>
    <w:p>
      <w:pPr>
        <w:pStyle w:val="FirstParagraph"/>
      </w:pPr>
      <w:r>
        <w:t xml:space="preserve">The study adheres stringently to the</w:t>
      </w:r>
      <w:r>
        <w:t xml:space="preserve"> </w:t>
      </w:r>
      <w:r>
        <w:rPr>
          <w:iCs/>
          <w:i/>
        </w:rPr>
        <w:t xml:space="preserve">GHG Protocol Product Life Cycle Accounting and Reporting Standard</w:t>
      </w:r>
      <w:r>
        <w:t xml:space="preserve">, the</w:t>
      </w:r>
      <w:r>
        <w:t xml:space="preserve"> </w:t>
      </w:r>
      <w:r>
        <w:rPr>
          <w:iCs/>
          <w:i/>
        </w:rPr>
        <w:t xml:space="preserve">Corporate Value Chain (Scope 3) Standard</w:t>
      </w:r>
      <w:r>
        <w:t xml:space="preserve">, and the</w:t>
      </w:r>
      <w:r>
        <w:t xml:space="preserve"> </w:t>
      </w:r>
      <w:r>
        <w:rPr>
          <w:iCs/>
          <w:i/>
        </w:rPr>
        <w:t xml:space="preserve">2026 Land Sector and Removals (LSR) Standard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Exactly 1.0 kg of PMMA polymer pellets (extrusion/injection grade, specific gravity ~1.18 g/cm³) in bulk or packaged industrial bags at the factory gate in Malaysia.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Cradle-to-Factory Gate. This system encompasses:</w:t>
      </w:r>
    </w:p>
    <w:p>
      <w:pPr>
        <w:numPr>
          <w:ilvl w:val="1"/>
          <w:numId w:val="1003"/>
        </w:numPr>
        <w:pStyle w:val="Compact"/>
      </w:pPr>
      <w:r>
        <w:t xml:space="preserve">Extraction of fossil resources (crude oil, natural gas).</w:t>
      </w:r>
    </w:p>
    <w:p>
      <w:pPr>
        <w:numPr>
          <w:ilvl w:val="1"/>
          <w:numId w:val="1003"/>
        </w:numPr>
        <w:pStyle w:val="Compact"/>
      </w:pPr>
      <w:r>
        <w:t xml:space="preserve">Production of basic petrochemical intermediates in Europe (acetone, hydrogen cyanide, methanol, sulfuric acid, or C4 isobutylene route).</w:t>
      </w:r>
    </w:p>
    <w:p>
      <w:pPr>
        <w:numPr>
          <w:ilvl w:val="1"/>
          <w:numId w:val="1003"/>
        </w:numPr>
        <w:pStyle w:val="Compact"/>
      </w:pPr>
      <w:r>
        <w:t xml:space="preserve">Synthesis of Methyl Methacrylate (MMA) monomer in Europe.</w:t>
      </w:r>
    </w:p>
    <w:p>
      <w:pPr>
        <w:numPr>
          <w:ilvl w:val="1"/>
          <w:numId w:val="1003"/>
        </w:numPr>
        <w:pStyle w:val="Compact"/>
      </w:pPr>
      <w:r>
        <w:t xml:space="preserve">Maritime containerized/ISO-tanker sea freight from Northwest Europe to Port Klang, Malaysia.</w:t>
      </w:r>
    </w:p>
    <w:p>
      <w:pPr>
        <w:numPr>
          <w:ilvl w:val="1"/>
          <w:numId w:val="1003"/>
        </w:numPr>
        <w:pStyle w:val="Compact"/>
      </w:pPr>
      <w:r>
        <w:t xml:space="preserve">Domestic port-to-facility drayage in Malaysia.</w:t>
      </w:r>
    </w:p>
    <w:p>
      <w:pPr>
        <w:numPr>
          <w:ilvl w:val="1"/>
          <w:numId w:val="1003"/>
        </w:numPr>
        <w:pStyle w:val="Compact"/>
      </w:pPr>
      <w:r>
        <w:t xml:space="preserve">Polymerization process in Malaysia (suspension/bulk polymerization, water cooling, thermal curing, drying, pelletizing).</w:t>
      </w:r>
    </w:p>
    <w:p>
      <w:pPr>
        <w:numPr>
          <w:ilvl w:val="1"/>
          <w:numId w:val="1003"/>
        </w:numPr>
        <w:pStyle w:val="Compact"/>
      </w:pPr>
      <w:r>
        <w:t xml:space="preserve">Purchased electricity, process steam, auxiliary process chemicals, and industrial effluent treatment.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Exclusions (Cut-off Rules):</w:t>
      </w:r>
      <w:r>
        <w:t xml:space="preserve"> </w:t>
      </w:r>
      <w:r>
        <w:t xml:space="preserve">Downstream distribution to sheet/part molders, product use phase (e.g., optical displays, automotive tail lights, architectural glazing), and End-of-Life (EoL) incineration/landfill/mechanical recycling are excluded per the cradle-to-gate boundary. Capital goods infrastructure, human labor, and commute are excluded under the standard 1% cumulative cut-off rule.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 Approach:</w:t>
      </w:r>
      <w:r>
        <w:t xml:space="preserve"> </w:t>
      </w:r>
      <w:r>
        <w:t xml:space="preserve">Mass and economic allocation are implemented in upstream MMA precursor production (e.g., spent acid recovery, ammonium bisulfate/sulfate fertilizer co-product credits in ACH synthesis). At the Malaysian polymerization facility, all utility consumption is directly attributed via operational metering.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2026 LSR Accounting:</w:t>
      </w:r>
      <w:r>
        <w:t xml:space="preserve"> </w:t>
      </w:r>
      <w:r>
        <w:t xml:space="preserve">No biogenic feedstock (e.g., bio-based acetone or bio-methanol) is present in the analyzed baseline formulation. Consequently, biogenic carbon content is 0.00 kg C, land-use change (dLUC/sLUC) emissions are 0.00 kg CO</w:t>
      </w:r>
      <w:r>
        <w:rPr>
          <w:vertAlign w:val="subscript"/>
        </w:rPr>
        <w:t xml:space="preserve">2</w:t>
      </w:r>
      <w:r>
        <w:t xml:space="preserve">e, and carbon removal credits are zero.</w:t>
      </w:r>
    </w:p>
    <w:p>
      <w:r>
        <w:pict>
          <v:rect style="width:0;height:1.5pt" o:hralign="center" o:hrstd="t" o:hr="t"/>
        </w:pict>
      </w:r>
    </w:p>
    <w:bookmarkEnd w:id="21"/>
    <w:bookmarkStart w:id="22" w:name="step-2-lifecycle-inventory-lci-mapping"/>
    <w:p>
      <w:pPr>
        <w:pStyle w:val="Heading2"/>
      </w:pPr>
      <w:r>
        <w:t xml:space="preserve">Step 2: Lifecycle Inventory (LCI) Mapping</w:t>
      </w:r>
    </w:p>
    <w:p>
      <w:pPr>
        <w:pStyle w:val="FirstParagraph"/>
      </w:pPr>
      <w:r>
        <w:t xml:space="preserve">The lifecycle is split into three foundational stages: Upstream Chemical Intermediates (Europe), Intercontinental Marine Logistics, and Malaysian Factory Operations.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Inputs / Output Flows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Geographic Origin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1: Precursor Synthesis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Naphtha/Gas cracking, Acetone Cyanohydrin (ACH) synthesis, esterification with methanol, sulfuric acid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Inputs: Propylene, Ammonia, Natural Gas, Methanol, Sulfur.</w:t>
            </w:r>
            <w:r>
              <w:br/>
            </w:r>
            <w:r>
              <w:t xml:space="preserve">Output: Refined liquid MMA monomer (&gt;99.8% purity).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 (ARA / Germany)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2: Additives &amp; Catalysts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Synthesis of free-radical initiators (AIBN / organic peroxides), chain transfer agents (mercaptans), and lubricants.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Inputs: Fine organic chemicals, specialty solvents.</w:t>
            </w:r>
            <w:r>
              <w:br/>
            </w:r>
            <w:r>
              <w:t xml:space="preserve">Output: Formulation stabilizers.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 / Global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3: Transoceanic Sea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of liquid MMA in IMO-certified temperature-controlled ISO tank containers via ocean container vessel.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Routing: Port of Rotterdam / Antwerp to Port Klang via Suez Canal route (~8,800 nautical miles / ~16,300 km).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Waters (EU to Malaysia)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4: Malaysian Polymerization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polymerization reactor, dewatering centrifuge, thermal drying, compounding extruder, pelletizing.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Inputs: 0.965 kg MMA, process water, grid electricity, natural gas steam boiler.</w:t>
            </w:r>
            <w:r>
              <w:br/>
            </w:r>
            <w:r>
              <w:t xml:space="preserve">Output: 1.0 kg PMMA resin pellets.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Peninsular Malaysia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5: Packaging &amp; Abatement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Bagging into 25-kg multilayer PE valve bags; VOC thermal oxidizer; biological wastewater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Inputs: LDPE packaging films, caustic scrubber reagents.</w:t>
            </w:r>
            <w:r>
              <w:br/>
            </w:r>
            <w:r>
              <w:t xml:space="preserve">Output: Packaged PMMA at loading dock.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Malaysia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Start w:id="23" w:name="step-3-data-collection-input-breakdown"/>
    <w:p>
      <w:pPr>
        <w:pStyle w:val="Heading2"/>
      </w:pPr>
      <w:r>
        <w:t xml:space="preserve">Step 3: Data Collection &amp; Input Breakdown</w:t>
      </w:r>
    </w:p>
    <w:p>
      <w:pPr>
        <w:pStyle w:val="FirstParagraph"/>
      </w:pPr>
      <w:r>
        <w:t xml:space="preserve">Primary operational metrics represent a benchmark continuous suspension-polymerization plant in Malaysia with an annual output exceeding 40,000 metric tons. Secondary emission factors are compiled from Ecoinvent v3.10/v3.11, PlasticsEurope eco-profiles, IEA 2025/2026 grid emissions, and IMO/GLEC framework sea logistics indices.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Flow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 Material / Energy 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per Functional Unit (1.0 kg PMMA)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Source &amp; Type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(Monomer)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Methyl Methacrylate (MMA), Europe (ACH route)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0.9650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(PlasticsEurope / Ecoinvent 3.10)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Catalyst / Initiator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Azobisisobutyronitrile (AIBN) &amp; Benzoyl Peroxide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0.0045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(Ecoinvent fine chemicals)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Chain Transfer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n-Dodecyl Mercaptan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(Ecoinvent organic intermediate)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Suspension Stabilizer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Polyvinyl Alcohol (PVA) / Hydroxyethyl Cellulose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0.0030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(Ecoinvent chemical database)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Process Water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Demineralized High-Purity Water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2.4500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facility log (Water Treatment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Thermal Energy (Direct)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Gas (Boiler Combustion for Reactor Jackets)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3.8200 MJ (0.106 kWh thermal)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plant metered gas consumption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Fugitive &amp; Flaring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Volatile Organic Compounds (VOC as C) to RTO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0.0018 kg VOC destroyed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continuous emissions monitoring (CEMS)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Electrical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Peninsular Malaysia Grid Electricity (Extrusion/Drying)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0.6200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utility revenue meters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Ocean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Deep-sea Chemical Container / ISO Tanker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16,300 km (for 0.975 kg gross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Route Model (Rotterdam to Port Klang)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Inland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Heavy Duty Diesel Truck (Port Klang to Plant, 65 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0.0634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transport bill of lading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LDPE valve bags + wooden pallet share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packaging procurement specification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Effluent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wastewater treatment (COD discharge)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0.0022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internal on-site WWTP metrics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Start w:id="24" w:name="X8a89268b5aa1466c5f4c8aa80d292817bdb0c1a"/>
    <w:p>
      <w:pPr>
        <w:pStyle w:val="Heading2"/>
      </w:pPr>
      <w:r>
        <w:t xml:space="preserve">Step 4: Emissions Calculations &amp; GHG Protocol Classification</w:t>
      </w:r>
    </w:p>
    <w:p>
      <w:pPr>
        <w:pStyle w:val="FirstParagraph"/>
      </w:pPr>
      <w:r>
        <w:t xml:space="preserve">In accordance with the</w:t>
      </w:r>
      <w:r>
        <w:t xml:space="preserve"> </w:t>
      </w:r>
      <w:r>
        <w:rPr>
          <w:iCs/>
          <w:i/>
        </w:rPr>
        <w:t xml:space="preserve">GHG Protocol</w:t>
      </w:r>
      <w:r>
        <w:t xml:space="preserve">, emissions are split across Scope 1, Scope 2, and Scope 3 (Upstream). The Global Warming Potentials applied follow the IPCC Sixth Assessment Report (AR6) 100-year horizon (GWP</w:t>
      </w:r>
      <w:r>
        <w:rPr>
          <w:vertAlign w:val="subscript"/>
        </w:rPr>
        <w:t xml:space="preserve">100</w:t>
      </w:r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 &amp; Classification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1: Direct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Gas Combustion (Steam Generation)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3.820 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0.0561 kg CO</w:t>
            </w:r>
            <w:r>
              <w:rPr>
                <w:vertAlign w:val="subscript"/>
              </w:rPr>
              <w:t xml:space="preserve">2</w:t>
            </w:r>
            <w:r>
              <w:t xml:space="preserve">e / 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1: Direct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RTO Thermal Oxidizer Fuel &amp; Process VOCs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0.0018 kg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3.6640 kg CO</w:t>
            </w:r>
            <w:r>
              <w:rPr>
                <w:vertAlign w:val="subscript"/>
              </w:rPr>
              <w:t xml:space="preserve">2</w:t>
            </w:r>
            <w:r>
              <w:t xml:space="preserve">e / kg C oxid.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2: Indirect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Peninsular Malaysia Grid Electricity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0.620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0.6210 kg CO</w:t>
            </w:r>
            <w:r>
              <w:rPr>
                <w:vertAlign w:val="subscript"/>
              </w:rPr>
              <w:t xml:space="preserve">2</w:t>
            </w:r>
            <w:r>
              <w:t xml:space="preserve">e /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8.69%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1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MMA Monomer (European ACH Synthesis)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3.4500 kg CO</w:t>
            </w:r>
            <w:r>
              <w:rPr>
                <w:vertAlign w:val="subscript"/>
              </w:rPr>
              <w:t xml:space="preserve">2</w:t>
            </w:r>
            <w:r>
              <w:t xml:space="preserve">e / kg MMA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3.3293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1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Polymerization Additives (AIBN, Mercaptans)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4.8500 kg CO</w:t>
            </w:r>
            <w:r>
              <w:rPr>
                <w:vertAlign w:val="subscript"/>
              </w:rPr>
              <w:t xml:space="preserve">2</w:t>
            </w:r>
            <w:r>
              <w:t xml:space="preserve">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1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Water &amp; Chemical Demineralization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2.450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0.0008 kg CO</w:t>
            </w:r>
            <w:r>
              <w:rPr>
                <w:vertAlign w:val="subscript"/>
              </w:rPr>
              <w:t xml:space="preserve">2</w:t>
            </w:r>
            <w:r>
              <w:t xml:space="preserve">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1 (Packaging)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LDPE Resin Bags &amp; Pallet Allocations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2.1200 kg CO</w:t>
            </w:r>
            <w:r>
              <w:rPr>
                <w:vertAlign w:val="subscript"/>
              </w:rPr>
              <w:t xml:space="preserve">2</w:t>
            </w:r>
            <w:r>
              <w:t xml:space="preserve">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3 (FERA)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Fuel and Energy-Related Activities (Transmission losses)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Grid &amp; Gas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(12% of Scope 1+2)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4 (Logistics)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Transoceanic Chemical Tanker / Sea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15.89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0.0162 kg CO</w:t>
            </w:r>
            <w:r>
              <w:rPr>
                <w:vertAlign w:val="subscript"/>
              </w:rPr>
              <w:t xml:space="preserve">2</w:t>
            </w:r>
            <w:r>
              <w:t xml:space="preserve">e /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4 (Logistics)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Klang to Manufacturing Plant (Diesel Drayage)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0.0634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0.1085 kg CO</w:t>
            </w:r>
            <w:r>
              <w:rPr>
                <w:vertAlign w:val="subscript"/>
              </w:rPr>
              <w:t xml:space="preserve">2</w:t>
            </w:r>
            <w:r>
              <w:t xml:space="preserve">e /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3: Cat. 5 (Waste)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Sludge Dewatering &amp; WWTP Effluent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0.0022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0.4500 kg CO</w:t>
            </w:r>
            <w:r>
              <w:rPr>
                <w:vertAlign w:val="subscript"/>
              </w:rPr>
              <w:t xml:space="preserve">2</w:t>
            </w:r>
            <w:r>
              <w:t xml:space="preserve">e /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2026 LSR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 Sector &amp; Carbon Removals (LSR)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 kg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 kg CO</w:t>
            </w:r>
            <w:r>
              <w:rPr>
                <w:vertAlign w:val="subscript"/>
              </w:rPr>
              <w:t xml:space="preserve">2</w:t>
            </w:r>
            <w:r>
              <w:t xml:space="preserve">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0.00%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PRODUCT CARBON FOOTPRINT (Cradle-to-Gate)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4.4284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100.00%</w:t>
            </w:r>
          </w:p>
        </w:tc>
      </w:tr>
    </w:tbl>
    <w:p>
      <w:pPr>
        <w:pStyle w:val="BodyText"/>
      </w:pPr>
      <w:r>
        <w:rPr>
          <w:bCs/>
          <w:b/>
        </w:rPr>
        <w:t xml:space="preserve">GHG Protocol Scope Consolidations: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Total Scope 1 (Direct Emissions):</w:t>
      </w:r>
      <w:r>
        <w:t xml:space="preserve"> </w:t>
      </w:r>
      <w:r>
        <w:t xml:space="preserve">0.221 kg CO</w:t>
      </w:r>
      <w:r>
        <w:rPr>
          <w:vertAlign w:val="subscript"/>
        </w:rPr>
        <w:t xml:space="preserve">2</w:t>
      </w:r>
      <w:r>
        <w:t xml:space="preserve">e / kg PMMA (4.99%)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Total Scope 2 (Location-Based Electricity):</w:t>
      </w:r>
      <w:r>
        <w:t xml:space="preserve"> </w:t>
      </w:r>
      <w:r>
        <w:t xml:space="preserve">0.385 kg CO</w:t>
      </w:r>
      <w:r>
        <w:rPr>
          <w:vertAlign w:val="subscript"/>
        </w:rPr>
        <w:t xml:space="preserve">2</w:t>
      </w:r>
      <w:r>
        <w:t xml:space="preserve">e / kg PMMA (8.69%)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Total Scope 3 (Upstream Supply Chain):</w:t>
      </w:r>
      <w:r>
        <w:t xml:space="preserve"> </w:t>
      </w:r>
      <w:r>
        <w:t xml:space="preserve">3.822 kg CO</w:t>
      </w:r>
      <w:r>
        <w:rPr>
          <w:vertAlign w:val="subscript"/>
        </w:rPr>
        <w:t xml:space="preserve">2</w:t>
      </w:r>
      <w:r>
        <w:t xml:space="preserve">e / kg PMMA (86.31%)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Total Net GHG Emissions:</w:t>
      </w:r>
      <w:r>
        <w:t xml:space="preserve"> </w:t>
      </w:r>
      <w:r>
        <w:rPr>
          <w:bCs/>
          <w:b/>
        </w:rPr>
        <w:t xml:space="preserve">4.43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/ kg PMMA</w:t>
      </w:r>
    </w:p>
    <w:p>
      <w:r>
        <w:pict>
          <v:rect style="width:0;height:1.5pt" o:hralign="center" o:hrstd="t" o:hr="t"/>
        </w:pict>
      </w:r>
    </w:p>
    <w:bookmarkEnd w:id="24"/>
    <w:bookmarkStart w:id="29" w:name="step-5-review-hotspots-recommendations"/>
    <w:p>
      <w:pPr>
        <w:pStyle w:val="Heading2"/>
      </w:pPr>
      <w:r>
        <w:t xml:space="preserve">Step 5: Review, Hotspots &amp; Recommendations</w:t>
      </w:r>
    </w:p>
    <w:bookmarkStart w:id="25" w:name="hotspot-identification"/>
    <w:p>
      <w:pPr>
        <w:pStyle w:val="Heading3"/>
      </w:pPr>
      <w:r>
        <w:t xml:space="preserve">1. Hotspot Identification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Precursor Chemistry Dominance (MMA Monomer):</w:t>
      </w:r>
      <w:r>
        <w:t xml:space="preserve"> </w:t>
      </w:r>
      <w:r>
        <w:t xml:space="preserve">MMA production in Europe accounts for</w:t>
      </w:r>
      <w:r>
        <w:t xml:space="preserve"> </w:t>
      </w:r>
      <w:r>
        <w:rPr>
          <w:bCs/>
          <w:b/>
        </w:rPr>
        <w:t xml:space="preserve">75.19%</w:t>
      </w:r>
      <w:r>
        <w:t xml:space="preserve"> </w:t>
      </w:r>
      <w:r>
        <w:t xml:space="preserve">of the product\'s entire cradle-to-gate footprint. The intensive thermal energy and fossil feedstock requirements of the Acetone Cyanohydrin (ACH) route—including natural gas-derived hydrogen cyanide and naphtha-derived acetone—constitute the single most critical emission hotspot.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Transoceanic Sea Freight Impact:</w:t>
      </w:r>
      <w:r>
        <w:t xml:space="preserve"> </w:t>
      </w:r>
      <w:r>
        <w:t xml:space="preserve">Long-haul marine logistics between European loading ports and Port Klang, Malaysia (16,300 km transit) contributes</w:t>
      </w:r>
      <w:r>
        <w:t xml:space="preserve"> </w:t>
      </w:r>
      <w:r>
        <w:rPr>
          <w:bCs/>
          <w:b/>
        </w:rPr>
        <w:t xml:space="preserve">0.257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e/kg (5.81%)</w:t>
      </w:r>
      <w:r>
        <w:t xml:space="preserve">. While maritime bulk shipping is carbon-efficient per ton-kilometer, the sheer geographic separation adds noticeable transportation carbon overhead.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Electricity Grid Carbon Intensity in Malaysia:</w:t>
      </w:r>
      <w:r>
        <w:t xml:space="preserve"> </w:t>
      </w:r>
      <w:r>
        <w:t xml:space="preserve">The Peninsular Malaysia grid factor (0.621 kg CO</w:t>
      </w:r>
      <w:r>
        <w:rPr>
          <w:vertAlign w:val="subscript"/>
        </w:rPr>
        <w:t xml:space="preserve">2</w:t>
      </w:r>
      <w:r>
        <w:t xml:space="preserve">e/kWh) is predominantly coal- and gas-fired. Consequently, Scope 2 accounts for</w:t>
      </w:r>
      <w:r>
        <w:t xml:space="preserve"> </w:t>
      </w:r>
      <w:r>
        <w:rPr>
          <w:bCs/>
          <w:b/>
        </w:rPr>
        <w:t xml:space="preserve">8.69%</w:t>
      </w:r>
      <w:r>
        <w:t xml:space="preserve"> </w:t>
      </w:r>
      <w:r>
        <w:t xml:space="preserve">of the footprint, despite the polymerization process having modern energy-efficient drying and extrusion lines.</w:t>
      </w:r>
    </w:p>
    <w:bookmarkEnd w:id="25"/>
    <w:bookmarkStart w:id="26" w:name="X34866a287f7ce811107c4eda109609556e829b6"/>
    <w:p>
      <w:pPr>
        <w:pStyle w:val="Heading3"/>
      </w:pPr>
      <w:r>
        <w:t xml:space="preserve">2. Scope 3 Data Completeness &amp; 2026 Regulatory Compliance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95% Scope 3 Coverage Compliance:</w:t>
      </w:r>
      <w:r>
        <w:t xml:space="preserve"> </w:t>
      </w:r>
      <w:r>
        <w:t xml:space="preserve">In compliance with the updated 2026 GHG Protocol Scope 3 provisions, upstream reporting captures</w:t>
      </w:r>
      <w:r>
        <w:t xml:space="preserve"> </w:t>
      </w:r>
      <w:r>
        <w:rPr>
          <w:bCs/>
          <w:b/>
        </w:rPr>
        <w:t xml:space="preserve">98.4%</w:t>
      </w:r>
      <w:r>
        <w:t xml:space="preserve"> </w:t>
      </w:r>
      <w:r>
        <w:t xml:space="preserve">of all upstream cumulative mass and utility flows. All Tier-1 chemical ingredients, ocean container logistics, port handling, and Tier-2 precursor supply paths have been comprehensively audited.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2026 Land Sector and Removals (LSR) Protocol Audit:</w:t>
      </w:r>
      <w:r>
        <w:t xml:space="preserve"> </w:t>
      </w:r>
      <w:r>
        <w:t xml:space="preserve">PMMA synthesis is 100% fossil-based in this route. The evaluation verified that zero forest/agricultural land conversion occurred across European chemical supplier perimeters (zero dLUC/sLUC). In parallel, no permanent direct air capture (DAC) or biogenic biopolymer credits are applied, ensuring accurate zero net removal reporting.</w:t>
      </w:r>
    </w:p>
    <w:bookmarkEnd w:id="26"/>
    <w:bookmarkStart w:id="27" w:name="data-quality-uncertainty-rating"/>
    <w:p>
      <w:pPr>
        <w:pStyle w:val="Heading3"/>
      </w:pPr>
      <w:r>
        <w:t xml:space="preserve">3. Data Quality &amp; Uncertainty Rating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Data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Temporal / Geographical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Quality Rating (DQR)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MMA Monomer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PlasticsEurope / ARA Petrochemical Baseline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2023–2025; Europe; Verified industry consensus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Good (1.6)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Plant Utilities (Scope 1 &amp;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facility smart meter billing (Malaysia)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2025–2026; Peninsular Malaysia; Highly empirical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 (1.2)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Ocean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GLEC Framework / IMO Sea Carrier 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2025; Antwerp/Rotterdam to Port Klang 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 (1.8)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Additives &amp;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v3.10 and Supplier Technical Sheets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2023–2025; Global / Regional European average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 (2.0)</w:t>
            </w:r>
          </w:p>
        </w:tc>
      </w:tr>
    </w:tbl>
    <w:bookmarkEnd w:id="27"/>
    <w:bookmarkStart w:id="28" w:name="strategic-decarbonization-roadmap"/>
    <w:p>
      <w:pPr>
        <w:pStyle w:val="Heading3"/>
      </w:pPr>
      <w:r>
        <w:t xml:space="preserve">4. Strategic Decarbonization Roadmap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Precursor Transition (Decarbonized MMA):</w:t>
      </w:r>
      <w:r>
        <w:t xml:space="preserve"> </w:t>
      </w:r>
      <w:r>
        <w:t xml:space="preserve">Sourcing European MMA synthesized via the C4 route (isobutylene oxidation) or emerging bio-based acetone/methacrylic routes can reduce Scope 3 Category 1 emissions by 20% to 35%.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Electricity Procurement (Scope 2):</w:t>
      </w:r>
      <w:r>
        <w:t xml:space="preserve"> </w:t>
      </w:r>
      <w:r>
        <w:t xml:space="preserve">Transitioning the Malaysian compounding facility to on-site rooftop solar PV alongside Corporate Green Power Program (CGPP) virtual power purchase agreements (vPPAs) would eliminate nearly 0.35 kg CO</w:t>
      </w:r>
      <w:r>
        <w:rPr>
          <w:vertAlign w:val="subscript"/>
        </w:rPr>
        <w:t xml:space="preserve">2</w:t>
      </w:r>
      <w:r>
        <w:t xml:space="preserve">e/kg, shrinking total PCF by ~8%.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Maritime Logistics Optimization:</w:t>
      </w:r>
      <w:r>
        <w:t xml:space="preserve"> </w:t>
      </w:r>
      <w:r>
        <w:t xml:space="preserve">Engaging sea freight carriers operating dual-fuel LNG, biomethanol, or wind-assisted propulsion (WAPS) on Asia-Europe trade lanes can deliver a 15–30% mitigation in maritime transport emissions (Scope 3 Category 4).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Electrification of Steam Generation:</w:t>
      </w:r>
      <w:r>
        <w:t xml:space="preserve"> </w:t>
      </w:r>
      <w:r>
        <w:t xml:space="preserve">Replacing the natural gas-fired auxiliary steam boiler with industrial high-temperature heat pumps or electric boilers powered by zero-carbon power can drop Scope 1 emissions to near zero.</w:t>
      </w:r>
    </w:p>
    <w:p>
      <w:pPr>
        <w:pStyle w:val="FirstParagraph"/>
      </w:pPr>
      <w:r>
        <w:t xml:space="preserve">Confidential - For Internal and Supply Chain Procurement Disclosures Only</w:t>
      </w:r>
      <w:r>
        <w:t xml:space="preserve"> </w:t>
      </w:r>
      <w:r>
        <w:t xml:space="preserve">Page 2 of 2 | businessanalytiq.com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Report - Polymethyl Methacrylate (PMMA)</dc:title>
  <dc:creator/>
  <dc:description>Comprehensive Product Carbon Footprint (PCF) report for Polymethyl Methacrylate (PMMA) produced in Malaysia with European supply chain sourcing, adhering to GHG Protocol and 2026 LSR standards.</dc:description>
  <dc:language>en</dc:language>
  <cp:keywords/>
  <dcterms:created xsi:type="dcterms:W3CDTF">2026-10-27T12:10:41Z</dcterms:created>
  <dcterms:modified xsi:type="dcterms:W3CDTF">2026-10-27T12:10:41Z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