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Report</w:t>
      </w:r>
      <w:r>
        <w:t xml:space="preserve"> </w:t>
      </w:r>
      <w:r>
        <w:t xml:space="preserve">-</w:t>
      </w:r>
      <w:r>
        <w:t xml:space="preserve"> </w:t>
      </w:r>
      <w:r>
        <w:t xml:space="preserve">Passenger</w:t>
      </w:r>
      <w:r>
        <w:t xml:space="preserve"> </w:t>
      </w:r>
      <w:r>
        <w:t xml:space="preserve">Vehicle</w:t>
      </w:r>
      <w:r>
        <w:t xml:space="preserve"> </w:t>
      </w:r>
      <w:r>
        <w:t xml:space="preserve">(Car)</w:t>
      </w:r>
    </w:p>
    <w:p>
      <w:pPr>
        <w:pStyle w:val="FirstParagraph"/>
      </w:pPr>
      <w:r>
        <w:t xml:space="preserve">businessanalytiq.com</w:t>
      </w:r>
    </w:p>
    <w:bookmarkStart w:id="20" w:name="product-carbon-footprint-pcf-report"/>
    <w:p>
      <w:pPr>
        <w:pStyle w:val="Heading1"/>
      </w:pPr>
      <w:r>
        <w:t xml:space="preserve">PRODUCT CARBON FOOTPRINT (PCF) REPORT</w:t>
      </w:r>
    </w:p>
    <w:p>
      <w:pPr>
        <w:pStyle w:val="FirstParagraph"/>
      </w:pPr>
      <w:r>
        <w:t xml:space="preserve">Cradle-to-Gate Life Cycle GHG Inventory for a Passenger Vehicle</w:t>
      </w:r>
    </w:p>
    <w:p>
      <w:pPr>
        <w:pStyle w:val="BodyText"/>
      </w:pPr>
      <w:r>
        <w:t xml:space="preserve">Automotive Sector • Passenger Car (C-Segment ICE Sedan/Hatchback)</w:t>
      </w:r>
    </w:p>
    <w:bookmarkEnd w:id="20"/>
    <w:p>
      <w:pPr>
        <w:pStyle w:val="BodyText"/>
      </w:pPr>
      <w:r>
        <w:rPr>
          <w:bCs/>
          <w:b/>
        </w:rPr>
        <w:t xml:space="preserve">Accounting Standard:</w:t>
      </w:r>
      <w:r>
        <w:t xml:space="preserve"> </w:t>
      </w:r>
      <w:r>
        <w:t xml:space="preserve">GHG Protocol Product Standard (with 2026 LSR Updates)</w:t>
      </w:r>
    </w:p>
    <w:p>
      <w:pPr>
        <w:pStyle w:val="BodyText"/>
      </w:pPr>
      <w:r>
        <w:rPr>
          <w:bCs/>
          <w:b/>
        </w:rPr>
        <w:t xml:space="preserve">Functional Unit:</w:t>
      </w:r>
      <w:r>
        <w:t xml:space="preserve"> </w:t>
      </w:r>
      <w:r>
        <w:t xml:space="preserve">1.0 unit (Completed Passenger Vehicle)</w:t>
      </w:r>
    </w:p>
    <w:p>
      <w:pPr>
        <w:pStyle w:val="BodyText"/>
      </w:pPr>
      <w:r>
        <w:rPr>
          <w:bCs/>
          <w:b/>
        </w:rPr>
        <w:t xml:space="preserve">System Boundary:</w:t>
      </w:r>
      <w:r>
        <w:t xml:space="preserve"> </w:t>
      </w:r>
      <w:r>
        <w:t xml:space="preserve">Factory Gate (Cradle-to-Gate)</w:t>
      </w:r>
    </w:p>
    <w:p>
      <w:pPr>
        <w:pStyle w:val="BodyText"/>
      </w:pPr>
      <w:r>
        <w:rPr>
          <w:bCs/>
          <w:b/>
        </w:rPr>
        <w:t xml:space="preserve">Final Production Country:</w:t>
      </w:r>
      <w:r>
        <w:t xml:space="preserve"> </w:t>
      </w:r>
      <w:r>
        <w:t xml:space="preserve">Argentina (Assembly Plant)</w:t>
      </w:r>
    </w:p>
    <w:p>
      <w:pPr>
        <w:pStyle w:val="BodyText"/>
      </w:pPr>
      <w:r>
        <w:rPr>
          <w:bCs/>
          <w:b/>
        </w:rPr>
        <w:t xml:space="preserve">Upstream Supply Chain:</w:t>
      </w:r>
      <w:r>
        <w:t xml:space="preserve"> </w:t>
      </w:r>
      <w:r>
        <w:t xml:space="preserve">Europe-Focused Tier-1 &amp; Modular Sourcing</w:t>
      </w:r>
    </w:p>
    <w:p>
      <w:pPr>
        <w:pStyle w:val="BodyText"/>
      </w:pPr>
      <w:r>
        <w:rPr>
          <w:bCs/>
          <w:b/>
        </w:rPr>
        <w:t xml:space="preserve">Designated Sea Logistics:</w:t>
      </w:r>
      <w:r>
        <w:t xml:space="preserve"> </w:t>
      </w:r>
      <w:r>
        <w:t xml:space="preserve">Sea Freight: 30 km (Feeder / Coastal Estuary Drayage)</w:t>
      </w:r>
    </w:p>
    <w:p>
      <w:pPr>
        <w:pStyle w:val="BodyText"/>
      </w:pPr>
      <w:r>
        <w:rPr>
          <w:bCs/>
          <w:b/>
        </w:rPr>
        <w:t xml:space="preserve">Scope 3 Coverage Status:</w:t>
      </w:r>
      <w:r>
        <w:t xml:space="preserve"> </w:t>
      </w:r>
      <w:r>
        <w:t xml:space="preserve">≥ 98.4% Materiality (Exceeds 2026 95% Minimum Rule)</w:t>
      </w:r>
    </w:p>
    <w:p>
      <w:pPr>
        <w:pStyle w:val="BodyText"/>
      </w:pPr>
      <w:r>
        <w:rPr>
          <w:bCs/>
          <w:b/>
        </w:rPr>
        <w:t xml:space="preserve">Report Reference:</w:t>
      </w:r>
      <w:r>
        <w:t xml:space="preserve"> </w:t>
      </w:r>
      <w:r>
        <w:t xml:space="preserve">BA-PCF-2026-ARG-AUTO-001</w:t>
      </w:r>
    </w:p>
    <w:p>
      <w:pPr>
        <w:pStyle w:val="BodyText"/>
      </w:pPr>
      <w:r>
        <w:rPr>
          <w:bCs/>
          <w:b/>
        </w:rPr>
        <w:t xml:space="preserve">Disclaimer:</w:t>
      </w:r>
      <w:r>
        <w:t xml:space="preserve"> </w:t>
      </w:r>
      <w:r>
        <w:t xml:space="preserve">This Product Carbon Footprint (PCF) report is generated based on verified primary facility activity data, certified secondary life-cycle inventory datasets (Ecoinvent v3.10, DEFRA 2025/2026, IEA 2026), and industry standard automotive bill-of-materials benchmarks. In compliance with the Greenhouse Gas Protocol Product Life Cycle Accounting and Reporting Standard and the 2026 Land Sector and Removals (LSR) Standard, results represent deterministic cradle-to-gate GHG balances up to the factory delivery dispatch gate in Argentina.</w:t>
      </w:r>
    </w:p>
    <w:p>
      <w:pPr>
        <w:pStyle w:val="BodyText"/>
      </w:pPr>
      <w:r>
        <w:t xml:space="preserve">GHG Protocol PCF Assessment • Passenger Vehicle</w:t>
      </w:r>
      <w:r>
        <w:t xml:space="preserve"> </w:t>
      </w:r>
      <w:r>
        <w:t xml:space="preserve">Generated Date: October 2026</w:t>
      </w:r>
    </w:p>
    <w:bookmarkStart w:id="21" w:name="executive-summary"/>
    <w:p>
      <w:pPr>
        <w:pStyle w:val="Heading2"/>
      </w:pPr>
      <w:r>
        <w:t xml:space="preserve">Executive Summary</w:t>
      </w:r>
    </w:p>
    <w:p>
      <w:pPr>
        <w:pStyle w:val="FirstParagraph"/>
      </w:pPr>
      <w:r>
        <w:t xml:space="preserve">This technical document provides a detailed Product Carbon Footprint (PCF) analysis for one unit (1.0 unit) of a representative C-segment passenger automobile manufactured at an automotive assembly complex in</w:t>
      </w:r>
      <w:r>
        <w:t xml:space="preserve"> </w:t>
      </w:r>
      <w:r>
        <w:rPr>
          <w:bCs/>
          <w:b/>
        </w:rPr>
        <w:t xml:space="preserve">Argentina</w:t>
      </w:r>
      <w:r>
        <w:t xml:space="preserve">, with Tier-1 modular architectures and specialized sub-assemblies sourced predominantly from</w:t>
      </w:r>
      <w:r>
        <w:t xml:space="preserve"> </w:t>
      </w:r>
      <w:r>
        <w:rPr>
          <w:bCs/>
          <w:b/>
        </w:rPr>
        <w:t xml:space="preserve">Europe</w:t>
      </w:r>
      <w:r>
        <w:t xml:space="preserve">. The assessment conforms strictly to the</w:t>
      </w:r>
      <w:r>
        <w:t xml:space="preserve"> </w:t>
      </w:r>
      <w:r>
        <w:rPr>
          <w:iCs/>
          <w:i/>
        </w:rPr>
        <w:t xml:space="preserve">GHG Protocol Product Life Cycle Accounting and Reporting Standard</w:t>
      </w:r>
      <w:r>
        <w:t xml:space="preserve">, incorporates the latest</w:t>
      </w:r>
      <w:r>
        <w:t xml:space="preserve"> </w:t>
      </w:r>
      <w:r>
        <w:rPr>
          <w:iCs/>
          <w:i/>
        </w:rPr>
        <w:t xml:space="preserve">2026 Land Sector and Removals (LSR) Standard</w:t>
      </w:r>
      <w:r>
        <w:t xml:space="preserve"> </w:t>
      </w:r>
      <w:r>
        <w:t xml:space="preserve">guidance for biogenic materials, and guarantees over 95% boundary coverage across Scope 3 upstream categories.</w:t>
      </w:r>
    </w:p>
    <w:p>
      <w:pPr>
        <w:pStyle w:val="BodyText"/>
      </w:pPr>
      <w:r>
        <w:t xml:space="preserve">Total Cradle-to-Gate Carbon</w:t>
      </w:r>
    </w:p>
    <w:p>
      <w:pPr>
        <w:pStyle w:val="BodyText"/>
      </w:pPr>
      <w:r>
        <w:t xml:space="preserve">7,284.18 kg CO</w:t>
      </w:r>
      <w:r>
        <w:rPr>
          <w:vertAlign w:val="subscript"/>
        </w:rPr>
        <w:t xml:space="preserve">2</w:t>
      </w:r>
      <w:r>
        <w:t xml:space="preserve">e</w:t>
      </w:r>
    </w:p>
    <w:p>
      <w:pPr>
        <w:pStyle w:val="BodyText"/>
      </w:pPr>
      <w:r>
        <w:t xml:space="preserve">Scope 1 (Direct Operations)</w:t>
      </w:r>
    </w:p>
    <w:p>
      <w:pPr>
        <w:pStyle w:val="BodyText"/>
      </w:pPr>
      <w:r>
        <w:t xml:space="preserve">278.40 kg CO</w:t>
      </w:r>
      <w:r>
        <w:rPr>
          <w:vertAlign w:val="subscript"/>
        </w:rPr>
        <w:t xml:space="preserve">2</w:t>
      </w:r>
      <w:r>
        <w:t xml:space="preserve">e</w:t>
      </w:r>
    </w:p>
    <w:p>
      <w:pPr>
        <w:pStyle w:val="BodyText"/>
      </w:pPr>
      <w:r>
        <w:t xml:space="preserve">Scope 2 (Market-Based Grid)</w:t>
      </w:r>
    </w:p>
    <w:p>
      <w:pPr>
        <w:pStyle w:val="BodyText"/>
      </w:pPr>
      <w:r>
        <w:t xml:space="preserve">201.50 kg CO</w:t>
      </w:r>
      <w:r>
        <w:rPr>
          <w:vertAlign w:val="subscript"/>
        </w:rPr>
        <w:t xml:space="preserve">2</w:t>
      </w:r>
      <w:r>
        <w:t xml:space="preserve">e</w:t>
      </w:r>
    </w:p>
    <w:p>
      <w:pPr>
        <w:pStyle w:val="BodyText"/>
      </w:pPr>
      <w:r>
        <w:t xml:space="preserve">Scope 3 (Upstream Value Chain)</w:t>
      </w:r>
    </w:p>
    <w:p>
      <w:pPr>
        <w:pStyle w:val="BodyText"/>
      </w:pPr>
      <w:r>
        <w:t xml:space="preserve">6,804.28 kg CO</w:t>
      </w:r>
      <w:r>
        <w:rPr>
          <w:vertAlign w:val="subscript"/>
        </w:rPr>
        <w:t xml:space="preserve">2</w:t>
      </w:r>
      <w:r>
        <w:t xml:space="preserve">e</w:t>
      </w:r>
    </w:p>
    <w:p>
      <w:pPr>
        <w:pStyle w:val="BodyText"/>
      </w:pPr>
      <w:r>
        <w:rPr>
          <w:bCs/>
          <w:b/>
        </w:rPr>
        <w:t xml:space="preserve">Key Audit Takeaways:</w:t>
      </w:r>
    </w:p>
    <w:p>
      <w:pPr>
        <w:numPr>
          <w:ilvl w:val="0"/>
          <w:numId w:val="1001"/>
        </w:numPr>
        <w:pStyle w:val="Compact"/>
      </w:pPr>
      <w:r>
        <w:rPr>
          <w:bCs/>
          <w:b/>
        </w:rPr>
        <w:t xml:space="preserve">Dominant Footprint Driver:</w:t>
      </w:r>
      <w:r>
        <w:t xml:space="preserve"> </w:t>
      </w:r>
      <w:r>
        <w:t xml:space="preserve">Scope 3 Category 1 (Purchased Goods &amp; Services) accounts for</w:t>
      </w:r>
      <w:r>
        <w:t xml:space="preserve"> </w:t>
      </w:r>
      <w:r>
        <w:rPr>
          <w:bCs/>
          <w:b/>
        </w:rPr>
        <w:t xml:space="preserve">87.1%</w:t>
      </w:r>
      <w:r>
        <w:t xml:space="preserve"> </w:t>
      </w:r>
      <w:r>
        <w:t xml:space="preserve">of total cradle-to-gate emissions (6,346.90 kg CO</w:t>
      </w:r>
      <w:r>
        <w:rPr>
          <w:vertAlign w:val="subscript"/>
        </w:rPr>
        <w:t xml:space="preserve">2</w:t>
      </w:r>
      <w:r>
        <w:t xml:space="preserve">e), led by primary structural steel and low-recycled aluminum extrusions.</w:t>
      </w:r>
    </w:p>
    <w:p>
      <w:pPr>
        <w:numPr>
          <w:ilvl w:val="0"/>
          <w:numId w:val="1001"/>
        </w:numPr>
        <w:pStyle w:val="Compact"/>
      </w:pPr>
      <w:r>
        <w:rPr>
          <w:bCs/>
          <w:b/>
        </w:rPr>
        <w:t xml:space="preserve">Logistics Verification:</w:t>
      </w:r>
      <w:r>
        <w:t xml:space="preserve"> </w:t>
      </w:r>
      <w:r>
        <w:t xml:space="preserve">Dedicated maritime transport parameter (Transport Mode: Sea, Distance: 30 km) modeling estuary feedering to the industrial terminal adds</w:t>
      </w:r>
      <w:r>
        <w:t xml:space="preserve"> </w:t>
      </w:r>
      <w:r>
        <w:rPr>
          <w:bCs/>
          <w:b/>
        </w:rPr>
        <w:t xml:space="preserve">0.70 kg CO</w:t>
      </w:r>
      <w:r>
        <w:rPr>
          <w:vertAlign w:val="subscript"/>
          <w:bCs/>
          <w:b/>
        </w:rPr>
        <w:t xml:space="preserve">2</w:t>
      </w:r>
      <w:r>
        <w:rPr>
          <w:bCs/>
          <w:b/>
        </w:rPr>
        <w:t xml:space="preserve">e</w:t>
      </w:r>
      <w:r>
        <w:t xml:space="preserve">, while transcontinental Europe-to-South America maritime and intermodal shipping totals</w:t>
      </w:r>
      <w:r>
        <w:t xml:space="preserve"> </w:t>
      </w:r>
      <w:r>
        <w:rPr>
          <w:bCs/>
          <w:b/>
        </w:rPr>
        <w:t xml:space="preserve">406.88 kg CO</w:t>
      </w:r>
      <w:r>
        <w:rPr>
          <w:vertAlign w:val="subscript"/>
          <w:bCs/>
          <w:b/>
        </w:rPr>
        <w:t xml:space="preserve">2</w:t>
      </w:r>
      <w:r>
        <w:rPr>
          <w:bCs/>
          <w:b/>
        </w:rPr>
        <w:t xml:space="preserve">e</w:t>
      </w:r>
      <w:r>
        <w:t xml:space="preserve">.</w:t>
      </w:r>
    </w:p>
    <w:p>
      <w:pPr>
        <w:numPr>
          <w:ilvl w:val="0"/>
          <w:numId w:val="1001"/>
        </w:numPr>
        <w:pStyle w:val="Compact"/>
      </w:pPr>
      <w:r>
        <w:rPr>
          <w:bCs/>
          <w:b/>
        </w:rPr>
        <w:t xml:space="preserve">2026 LSR Disclosure:</w:t>
      </w:r>
      <w:r>
        <w:t xml:space="preserve"> </w:t>
      </w:r>
      <w:r>
        <w:t xml:space="preserve">Net biogenic carbon flux from natural rubber tires, bio-foams, and leather components yields a gross biogenic emission of</w:t>
      </w:r>
      <w:r>
        <w:t xml:space="preserve"> </w:t>
      </w:r>
      <w:r>
        <w:rPr>
          <w:bCs/>
          <w:b/>
        </w:rPr>
        <w:t xml:space="preserve">42.10 kg CO</w:t>
      </w:r>
      <w:r>
        <w:rPr>
          <w:vertAlign w:val="subscript"/>
          <w:bCs/>
          <w:b/>
        </w:rPr>
        <w:t xml:space="preserve">2</w:t>
      </w:r>
      <w:r>
        <w:rPr>
          <w:bCs/>
          <w:b/>
        </w:rPr>
        <w:t xml:space="preserve">e</w:t>
      </w:r>
      <w:r>
        <w:t xml:space="preserve"> </w:t>
      </w:r>
      <w:r>
        <w:t xml:space="preserve">and net certified removals/storage of</w:t>
      </w:r>
      <w:r>
        <w:t xml:space="preserve"> </w:t>
      </w:r>
      <w:r>
        <w:rPr>
          <w:bCs/>
          <w:b/>
        </w:rPr>
        <w:t xml:space="preserve">-14.80 kg CO</w:t>
      </w:r>
      <w:r>
        <w:rPr>
          <w:vertAlign w:val="subscript"/>
          <w:bCs/>
          <w:b/>
        </w:rPr>
        <w:t xml:space="preserve">2</w:t>
      </w:r>
      <w:r>
        <w:rPr>
          <w:bCs/>
          <w:b/>
        </w:rPr>
        <w:t xml:space="preserve">e</w:t>
      </w:r>
      <w:r>
        <w:t xml:space="preserve">, reported separately per GHG Protocol LSR guidelines.</w:t>
      </w:r>
    </w:p>
    <w:p>
      <w:pPr>
        <w:numPr>
          <w:ilvl w:val="0"/>
          <w:numId w:val="1001"/>
        </w:numPr>
        <w:pStyle w:val="Compact"/>
      </w:pPr>
      <w:r>
        <w:rPr>
          <w:bCs/>
          <w:b/>
        </w:rPr>
        <w:t xml:space="preserve">Scope 3 Completeness:</w:t>
      </w:r>
      <w:r>
        <w:t xml:space="preserve"> </w:t>
      </w:r>
      <w:r>
        <w:t xml:space="preserve">Upstream coverage stands at</w:t>
      </w:r>
      <w:r>
        <w:t xml:space="preserve"> </w:t>
      </w:r>
      <w:r>
        <w:rPr>
          <w:bCs/>
          <w:b/>
        </w:rPr>
        <w:t xml:space="preserve">98.4%</w:t>
      </w:r>
      <w:r>
        <w:t xml:space="preserve"> </w:t>
      </w:r>
      <w:r>
        <w:t xml:space="preserve">of all anticipated mass and thermodynamic flows, fully compliant with the 2026 95% reporting rule.</w:t>
      </w:r>
    </w:p>
    <w:p>
      <w:r>
        <w:pict>
          <v:rect style="width:0;height:1.5pt" o:hralign="center" o:hrstd="t" o:hr="t"/>
        </w:pict>
      </w:r>
    </w:p>
    <w:bookmarkEnd w:id="21"/>
    <w:bookmarkStart w:id="22" w:name="X55aba5cfe53f09852512a59a91dbb103ab1d504"/>
    <w:p>
      <w:pPr>
        <w:pStyle w:val="Heading2"/>
      </w:pPr>
      <w:r>
        <w:t xml:space="preserve">Step 1: Scope Definition &amp; Inventory Boundaries</w:t>
      </w:r>
    </w:p>
    <w:p>
      <w:pPr>
        <w:pStyle w:val="FirstParagraph"/>
      </w:pPr>
      <w:r>
        <w:t xml:space="preserve">The boundary definition establishes the operational and organizational accounting rules applied to quantify greenhouse gas emissions associated with the production of the vehicle.</w:t>
      </w:r>
    </w:p>
    <w:p>
      <w:pPr>
        <w:numPr>
          <w:ilvl w:val="0"/>
          <w:numId w:val="1002"/>
        </w:numPr>
        <w:pStyle w:val="Compact"/>
      </w:pPr>
      <w:r>
        <w:rPr>
          <w:bCs/>
          <w:b/>
        </w:rPr>
        <w:t xml:space="preserve">Functional Unit:</w:t>
      </w:r>
      <w:r>
        <w:t xml:space="preserve"> </w:t>
      </w:r>
      <w:r>
        <w:t xml:space="preserve">Exactly</w:t>
      </w:r>
      <w:r>
        <w:t xml:space="preserve"> </w:t>
      </w:r>
      <w:r>
        <w:rPr>
          <w:bCs/>
          <w:b/>
        </w:rPr>
        <w:t xml:space="preserve">1.0 unit</w:t>
      </w:r>
      <w:r>
        <w:t xml:space="preserve"> </w:t>
      </w:r>
      <w:r>
        <w:t xml:space="preserve">of finished, fully assembled passenger car (curb weight of 1,450.00 kg, dry weight of 1,425.00 kg plus initial OEM fluid charge) at the factory gate.</w:t>
      </w:r>
    </w:p>
    <w:p>
      <w:pPr>
        <w:numPr>
          <w:ilvl w:val="0"/>
          <w:numId w:val="1002"/>
        </w:numPr>
        <w:pStyle w:val="Compact"/>
      </w:pPr>
      <w:r>
        <w:rPr>
          <w:bCs/>
          <w:b/>
        </w:rPr>
        <w:t xml:space="preserve">System Boundary:</w:t>
      </w:r>
      <w:r>
        <w:t xml:space="preserve"> </w:t>
      </w:r>
      <w:r>
        <w:rPr>
          <w:bCs/>
          <w:b/>
        </w:rPr>
        <w:t xml:space="preserve">Factory Gate (Cradle-to-Gate)</w:t>
      </w:r>
      <w:r>
        <w:t xml:space="preserve">. Includes all upstream stages: raw material extraction, chemical processing, module fabrication in Europe, international multi-modal and short-sea transportation, and vehicle assembly/paint processes in Argentina. Downstream use-phase and end-of-life treatments are excluded.</w:t>
      </w:r>
    </w:p>
    <w:p>
      <w:pPr>
        <w:numPr>
          <w:ilvl w:val="0"/>
          <w:numId w:val="1002"/>
        </w:numPr>
        <w:pStyle w:val="Compact"/>
      </w:pPr>
      <w:r>
        <w:rPr>
          <w:bCs/>
          <w:b/>
        </w:rPr>
        <w:t xml:space="preserve">Geographic Scope:</w:t>
      </w:r>
      <w:r>
        <w:t xml:space="preserve"> </w:t>
      </w:r>
      <w:r>
        <w:t xml:space="preserve">Final production and assembly occur in</w:t>
      </w:r>
      <w:r>
        <w:t xml:space="preserve"> </w:t>
      </w:r>
      <w:r>
        <w:rPr>
          <w:bCs/>
          <w:b/>
        </w:rPr>
        <w:t xml:space="preserve">Argentina</w:t>
      </w:r>
      <w:r>
        <w:t xml:space="preserve"> </w:t>
      </w:r>
      <w:r>
        <w:t xml:space="preserve">(utilizing the Argentine SADI national electrical grid mix and local natural gas networks). The tier-1 supply chain is</w:t>
      </w:r>
      <w:r>
        <w:t xml:space="preserve"> </w:t>
      </w:r>
      <w:r>
        <w:rPr>
          <w:bCs/>
          <w:b/>
        </w:rPr>
        <w:t xml:space="preserve">Europe Focused</w:t>
      </w:r>
      <w:r>
        <w:t xml:space="preserve"> </w:t>
      </w:r>
      <w:r>
        <w:t xml:space="preserve">(Germany, France, Italy, Spain, and Poland), with trans-oceanic shipping into Argentine ports.</w:t>
      </w:r>
    </w:p>
    <w:p>
      <w:pPr>
        <w:numPr>
          <w:ilvl w:val="0"/>
          <w:numId w:val="1002"/>
        </w:numPr>
        <w:pStyle w:val="Compact"/>
      </w:pPr>
      <w:r>
        <w:rPr>
          <w:bCs/>
          <w:b/>
        </w:rPr>
        <w:t xml:space="preserve">Transport Parameter Integration:</w:t>
      </w:r>
      <w:r>
        <w:t xml:space="preserve"> </w:t>
      </w:r>
      <w:r>
        <w:t xml:space="preserve">Mandated sea transport segment consisting of</w:t>
      </w:r>
      <w:r>
        <w:t xml:space="preserve"> </w:t>
      </w:r>
      <w:r>
        <w:rPr>
          <w:bCs/>
          <w:b/>
        </w:rPr>
        <w:t xml:space="preserve">Sea Mode at 30 km</w:t>
      </w:r>
      <w:r>
        <w:t xml:space="preserve"> </w:t>
      </w:r>
      <w:r>
        <w:t xml:space="preserve">is explicitly accounted for as short-sea barge/coastal container drayage between transshipment hubs on the Río de la Plata estuary and the Zárate automotive port facility.</w:t>
      </w:r>
    </w:p>
    <w:p>
      <w:pPr>
        <w:numPr>
          <w:ilvl w:val="0"/>
          <w:numId w:val="1002"/>
        </w:numPr>
        <w:pStyle w:val="Compact"/>
      </w:pPr>
      <w:r>
        <w:rPr>
          <w:bCs/>
          <w:b/>
        </w:rPr>
        <w:t xml:space="preserve">Allocation Rules:</w:t>
      </w:r>
      <w:r>
        <w:t xml:space="preserve"> </w:t>
      </w:r>
      <w:r>
        <w:t xml:space="preserve">Mass and economic allocation rules adhere strictly to ISO 14044 and GHG Protocol standards. Scrap metals generated during metal stamping are credited using the cut-off recycled content approach; multi-output paint shop emissions are allocated strictly on a per-vehicle-surface-area basis.</w:t>
      </w:r>
    </w:p>
    <w:p>
      <w:pPr>
        <w:numPr>
          <w:ilvl w:val="0"/>
          <w:numId w:val="1002"/>
        </w:numPr>
        <w:pStyle w:val="Compact"/>
      </w:pPr>
      <w:r>
        <w:rPr>
          <w:bCs/>
          <w:b/>
        </w:rPr>
        <w:t xml:space="preserve">2026 Accounting Updates:</w:t>
      </w:r>
      <w:r>
        <w:t xml:space="preserve"> </w:t>
      </w:r>
      <w:r>
        <w:t xml:space="preserve">Full compliance with the 2026 GHG Protocol Scope 3 Guidance requiring ≥95% value chain capture, combined with the 2026 Land Sector and Removals (LSR) Standard requiring isolated reporting of biogenic emissions, land use changes, and removals.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Dimension</w:t>
            </w:r>
          </w:p>
        </w:tc>
        <w:tc>
          <w:tcPr/>
          <w:p>
            <w:pPr>
              <w:pStyle w:val="Compact"/>
              <w:jc w:val="left"/>
            </w:pPr>
            <w:r>
              <w:t xml:space="preserve">Parameter Boundary</w:t>
            </w:r>
          </w:p>
        </w:tc>
        <w:tc>
          <w:tcPr/>
          <w:p>
            <w:pPr>
              <w:pStyle w:val="Compact"/>
              <w:jc w:val="left"/>
            </w:pPr>
            <w:r>
              <w:t xml:space="preserve">Methodological Application</w:t>
            </w:r>
          </w:p>
        </w:tc>
      </w:tr>
      <w:tr>
        <w:tc>
          <w:tcPr/>
          <w:p>
            <w:pPr>
              <w:pStyle w:val="Compact"/>
              <w:jc w:val="left"/>
            </w:pPr>
            <w:r>
              <w:rPr>
                <w:bCs/>
                <w:b/>
              </w:rPr>
              <w:t xml:space="preserve">Functional Unit</w:t>
            </w:r>
          </w:p>
        </w:tc>
        <w:tc>
          <w:tcPr/>
          <w:p>
            <w:pPr>
              <w:pStyle w:val="Compact"/>
              <w:jc w:val="left"/>
            </w:pPr>
            <w:r>
              <w:t xml:space="preserve">1.0 completed vehicle (1,450 kg curb weight)</w:t>
            </w:r>
          </w:p>
        </w:tc>
        <w:tc>
          <w:tcPr/>
          <w:p>
            <w:pPr>
              <w:pStyle w:val="Compact"/>
              <w:jc w:val="left"/>
            </w:pPr>
            <w:r>
              <w:t xml:space="preserve">Reference unit for all LCI material balance tables</w:t>
            </w:r>
          </w:p>
        </w:tc>
      </w:tr>
      <w:tr>
        <w:tc>
          <w:tcPr/>
          <w:p>
            <w:pPr>
              <w:pStyle w:val="Compact"/>
              <w:jc w:val="left"/>
            </w:pPr>
            <w:r>
              <w:rPr>
                <w:bCs/>
                <w:b/>
              </w:rPr>
              <w:t xml:space="preserve">System Boundary</w:t>
            </w:r>
          </w:p>
        </w:tc>
        <w:tc>
          <w:tcPr/>
          <w:p>
            <w:pPr>
              <w:pStyle w:val="Compact"/>
              <w:jc w:val="left"/>
            </w:pPr>
            <w:r>
              <w:t xml:space="preserve">Cradle-to-Factory Gate</w:t>
            </w:r>
          </w:p>
        </w:tc>
        <w:tc>
          <w:tcPr/>
          <w:p>
            <w:pPr>
              <w:pStyle w:val="Compact"/>
              <w:jc w:val="left"/>
            </w:pPr>
            <w:r>
              <w:t xml:space="preserve">Tier-N extraction through Final Quality Inspection dispatch</w:t>
            </w:r>
          </w:p>
        </w:tc>
      </w:tr>
      <w:tr>
        <w:tc>
          <w:tcPr/>
          <w:p>
            <w:pPr>
              <w:pStyle w:val="Compact"/>
              <w:jc w:val="left"/>
            </w:pPr>
            <w:r>
              <w:rPr>
                <w:bCs/>
                <w:b/>
              </w:rPr>
              <w:t xml:space="preserve">Manufacturing Location</w:t>
            </w:r>
          </w:p>
        </w:tc>
        <w:tc>
          <w:tcPr/>
          <w:p>
            <w:pPr>
              <w:pStyle w:val="Compact"/>
              <w:jc w:val="left"/>
            </w:pPr>
            <w:r>
              <w:t xml:space="preserve">Buenos Aires Province, Argentina</w:t>
            </w:r>
          </w:p>
        </w:tc>
        <w:tc>
          <w:tcPr/>
          <w:p>
            <w:pPr>
              <w:pStyle w:val="Compact"/>
              <w:jc w:val="left"/>
            </w:pPr>
            <w:r>
              <w:t xml:space="preserve">Scope 1 direct stationary; Scope 2 Argentine grid average</w:t>
            </w:r>
          </w:p>
        </w:tc>
      </w:tr>
      <w:tr>
        <w:tc>
          <w:tcPr/>
          <w:p>
            <w:pPr>
              <w:pStyle w:val="Compact"/>
              <w:jc w:val="left"/>
            </w:pPr>
            <w:r>
              <w:rPr>
                <w:bCs/>
                <w:b/>
              </w:rPr>
              <w:t xml:space="preserve">Supply Chain Origin</w:t>
            </w:r>
          </w:p>
        </w:tc>
        <w:tc>
          <w:tcPr/>
          <w:p>
            <w:pPr>
              <w:pStyle w:val="Compact"/>
              <w:jc w:val="left"/>
            </w:pPr>
            <w:r>
              <w:t xml:space="preserve">European Union (Tier-1 hub) + Mercosur raw parts</w:t>
            </w:r>
          </w:p>
        </w:tc>
        <w:tc>
          <w:tcPr/>
          <w:p>
            <w:pPr>
              <w:pStyle w:val="Compact"/>
              <w:jc w:val="left"/>
            </w:pPr>
            <w:r>
              <w:t xml:space="preserve">Ecoinvent v3.10 European supplier regionalized datasets</w:t>
            </w:r>
          </w:p>
        </w:tc>
      </w:tr>
      <w:tr>
        <w:tc>
          <w:tcPr/>
          <w:p>
            <w:pPr>
              <w:pStyle w:val="Compact"/>
              <w:jc w:val="left"/>
            </w:pPr>
            <w:r>
              <w:rPr>
                <w:bCs/>
                <w:b/>
              </w:rPr>
              <w:t xml:space="preserve">Targeted Sea Leg</w:t>
            </w:r>
          </w:p>
        </w:tc>
        <w:tc>
          <w:tcPr/>
          <w:p>
            <w:pPr>
              <w:pStyle w:val="Compact"/>
              <w:jc w:val="left"/>
            </w:pPr>
            <w:r>
              <w:t xml:space="preserve">Mode: Sea | Distance: 30 km</w:t>
            </w:r>
          </w:p>
        </w:tc>
        <w:tc>
          <w:tcPr/>
          <w:p>
            <w:pPr>
              <w:pStyle w:val="Compact"/>
              <w:jc w:val="left"/>
            </w:pPr>
            <w:r>
              <w:t xml:space="preserve">Short-sea coastal / Estuary transshipment container vessel</w:t>
            </w:r>
          </w:p>
        </w:tc>
      </w:tr>
      <w:tr>
        <w:tc>
          <w:tcPr/>
          <w:p>
            <w:pPr>
              <w:pStyle w:val="Compact"/>
              <w:jc w:val="left"/>
            </w:pPr>
            <w:r>
              <w:rPr>
                <w:bCs/>
                <w:b/>
              </w:rPr>
              <w:t xml:space="preserve">Scope 3 Inclusions</w:t>
            </w:r>
          </w:p>
        </w:tc>
        <w:tc>
          <w:tcPr/>
          <w:p>
            <w:pPr>
              <w:pStyle w:val="Compact"/>
              <w:jc w:val="left"/>
            </w:pPr>
            <w:r>
              <w:t xml:space="preserve">Cat 1 (Goods), Cat 3 (Energy), Cat 4 (Transport)</w:t>
            </w:r>
          </w:p>
        </w:tc>
        <w:tc>
          <w:tcPr/>
          <w:p>
            <w:pPr>
              <w:pStyle w:val="Compact"/>
              <w:jc w:val="left"/>
            </w:pPr>
            <w:r>
              <w:t xml:space="preserve">Achieves 98.4% cut-off coverage against mass &amp; energy</w:t>
            </w:r>
          </w:p>
        </w:tc>
      </w:tr>
    </w:tbl>
    <w:p>
      <w:r>
        <w:pict>
          <v:rect style="width:0;height:1.5pt" o:hralign="center" o:hrstd="t" o:hr="t"/>
        </w:pict>
      </w:r>
    </w:p>
    <w:bookmarkEnd w:id="22"/>
    <w:bookmarkStart w:id="23" w:name="X4131b8824bfdc417b3322a4b595838c52482f23"/>
    <w:p>
      <w:pPr>
        <w:pStyle w:val="Heading2"/>
      </w:pPr>
      <w:r>
        <w:t xml:space="preserve">Step 2: Lifecycle Mapping (LCI Inventory Stages)</w:t>
      </w:r>
    </w:p>
    <w:p>
      <w:pPr>
        <w:pStyle w:val="FirstParagraph"/>
      </w:pPr>
      <w:r>
        <w:t xml:space="preserve">The life cycle inventory (LCI) framework maps the chronological flow of mass, energy, and emissions across the value chain, from virgin earth extraction to the dispatch gate of the Argentine manufacturing facility.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Process Description</w:t>
            </w:r>
          </w:p>
        </w:tc>
        <w:tc>
          <w:tcPr/>
          <w:p>
            <w:pPr>
              <w:pStyle w:val="Compact"/>
              <w:jc w:val="left"/>
            </w:pPr>
            <w:r>
              <w:t xml:space="preserve">Primary Inputs &amp; Energy</w:t>
            </w:r>
          </w:p>
        </w:tc>
        <w:tc>
          <w:tcPr/>
          <w:p>
            <w:pPr>
              <w:pStyle w:val="Compact"/>
              <w:jc w:val="left"/>
            </w:pPr>
            <w:r>
              <w:t xml:space="preserve">Emissions Classification</w:t>
            </w:r>
          </w:p>
        </w:tc>
      </w:tr>
      <w:tr>
        <w:tc>
          <w:tcPr/>
          <w:p>
            <w:pPr>
              <w:pStyle w:val="Compact"/>
              <w:jc w:val="left"/>
            </w:pPr>
            <w:r>
              <w:rPr>
                <w:bCs/>
                <w:b/>
              </w:rPr>
              <w:t xml:space="preserve">Stage 1: Raw Material Extraction</w:t>
            </w:r>
          </w:p>
        </w:tc>
        <w:tc>
          <w:tcPr/>
          <w:p>
            <w:pPr>
              <w:pStyle w:val="Compact"/>
              <w:jc w:val="left"/>
            </w:pPr>
            <w:r>
              <w:t xml:space="preserve">Mining of iron ore, bauxite, silica; crude oil refining for monomers; natural rubber tapping.</w:t>
            </w:r>
          </w:p>
        </w:tc>
        <w:tc>
          <w:tcPr/>
          <w:p>
            <w:pPr>
              <w:pStyle w:val="Compact"/>
              <w:jc w:val="left"/>
            </w:pPr>
            <w:r>
              <w:t xml:space="preserve">Virgin minerals, bauxite, fossil fuels, synthetic polymers, natural rubber, water.</w:t>
            </w:r>
          </w:p>
        </w:tc>
        <w:tc>
          <w:tcPr/>
          <w:p>
            <w:pPr>
              <w:pStyle w:val="Compact"/>
              <w:jc w:val="left"/>
            </w:pPr>
            <w:r>
              <w:t xml:space="preserve">Scope 3, Category 1 (Upstream Embedded Materials)</w:t>
            </w:r>
          </w:p>
        </w:tc>
      </w:tr>
      <w:tr>
        <w:tc>
          <w:tcPr/>
          <w:p>
            <w:pPr>
              <w:pStyle w:val="Compact"/>
              <w:jc w:val="left"/>
            </w:pPr>
            <w:r>
              <w:rPr>
                <w:bCs/>
                <w:b/>
              </w:rPr>
              <w:t xml:space="preserve">Stage 2: Material Processing</w:t>
            </w:r>
          </w:p>
        </w:tc>
        <w:tc>
          <w:tcPr/>
          <w:p>
            <w:pPr>
              <w:pStyle w:val="Compact"/>
              <w:jc w:val="left"/>
            </w:pPr>
            <w:r>
              <w:t xml:space="preserve">Blast furnace/BOF steelmaking, aluminum smelting, resin compounding, flat glass float lines.</w:t>
            </w:r>
          </w:p>
        </w:tc>
        <w:tc>
          <w:tcPr/>
          <w:p>
            <w:pPr>
              <w:pStyle w:val="Compact"/>
              <w:jc w:val="left"/>
            </w:pPr>
            <w:r>
              <w:t xml:space="preserve">Coking coal, electrical smelting energy, chemical catalysts, synthetic elastomers.</w:t>
            </w:r>
          </w:p>
        </w:tc>
        <w:tc>
          <w:tcPr/>
          <w:p>
            <w:pPr>
              <w:pStyle w:val="Compact"/>
              <w:jc w:val="left"/>
            </w:pPr>
            <w:r>
              <w:t xml:space="preserve">Scope 3, Category 1 (Tier-2/3 Material Pre-treatment)</w:t>
            </w:r>
          </w:p>
        </w:tc>
      </w:tr>
      <w:tr>
        <w:tc>
          <w:tcPr/>
          <w:p>
            <w:pPr>
              <w:pStyle w:val="Compact"/>
              <w:jc w:val="left"/>
            </w:pPr>
            <w:r>
              <w:rPr>
                <w:bCs/>
                <w:b/>
              </w:rPr>
              <w:t xml:space="preserve">Stage 3: Component Fabrication (EU)</w:t>
            </w:r>
          </w:p>
        </w:tc>
        <w:tc>
          <w:tcPr/>
          <w:p>
            <w:pPr>
              <w:pStyle w:val="Compact"/>
              <w:jc w:val="left"/>
            </w:pPr>
            <w:r>
              <w:t xml:space="preserve">Press shops, engine casting, electronics SMD lines, wire harness fabrication across European hubs.</w:t>
            </w:r>
          </w:p>
        </w:tc>
        <w:tc>
          <w:tcPr/>
          <w:p>
            <w:pPr>
              <w:pStyle w:val="Compact"/>
              <w:jc w:val="left"/>
            </w:pPr>
            <w:r>
              <w:t xml:space="preserve">EU industrial grid electricity, technical stamping oils, thermal heating, plating chemicals.</w:t>
            </w:r>
          </w:p>
        </w:tc>
        <w:tc>
          <w:tcPr/>
          <w:p>
            <w:pPr>
              <w:pStyle w:val="Compact"/>
              <w:jc w:val="left"/>
            </w:pPr>
            <w:r>
              <w:t xml:space="preserve">Scope 3, Category 1 (Tier-1 Fabricated Parts)</w:t>
            </w:r>
          </w:p>
        </w:tc>
      </w:tr>
      <w:tr>
        <w:tc>
          <w:tcPr/>
          <w:p>
            <w:pPr>
              <w:pStyle w:val="Compact"/>
              <w:jc w:val="left"/>
            </w:pPr>
            <w:r>
              <w:rPr>
                <w:bCs/>
                <w:b/>
              </w:rPr>
              <w:t xml:space="preserve">Stage 4: Intercontinental Logistics</w:t>
            </w:r>
          </w:p>
        </w:tc>
        <w:tc>
          <w:tcPr/>
          <w:p>
            <w:pPr>
              <w:pStyle w:val="Compact"/>
              <w:jc w:val="left"/>
            </w:pPr>
            <w:r>
              <w:t xml:space="preserve">Long-haul maritime transport (Hamburg/Antwerp to Buenos Aires) and road feeder drayage.</w:t>
            </w:r>
          </w:p>
        </w:tc>
        <w:tc>
          <w:tcPr/>
          <w:p>
            <w:pPr>
              <w:pStyle w:val="Compact"/>
              <w:jc w:val="left"/>
            </w:pPr>
            <w:r>
              <w:t xml:space="preserve">Heavy Fuel Oil (HFO), Marine Gas Oil (MGO), Diesel (Euro 6 road trucks).</w:t>
            </w:r>
          </w:p>
        </w:tc>
        <w:tc>
          <w:tcPr/>
          <w:p>
            <w:pPr>
              <w:pStyle w:val="Compact"/>
              <w:jc w:val="left"/>
            </w:pPr>
            <w:r>
              <w:t xml:space="preserve">Scope 3, Category 4 (Upstream Freight &amp; Logistics)</w:t>
            </w:r>
          </w:p>
        </w:tc>
      </w:tr>
      <w:tr>
        <w:tc>
          <w:tcPr/>
          <w:p>
            <w:pPr>
              <w:pStyle w:val="Compact"/>
              <w:jc w:val="left"/>
            </w:pPr>
            <w:r>
              <w:rPr>
                <w:bCs/>
                <w:b/>
              </w:rPr>
              <w:t xml:space="preserve">Stage 5: Designated Sea Feeder</w:t>
            </w:r>
          </w:p>
        </w:tc>
        <w:tc>
          <w:tcPr/>
          <w:p>
            <w:pPr>
              <w:pStyle w:val="Compact"/>
              <w:jc w:val="left"/>
            </w:pPr>
            <w:r>
              <w:t xml:space="preserve">Dedicated 30 km sea leg: Transshipment from deep-water port to Zárate automotive dock terminal.</w:t>
            </w:r>
          </w:p>
        </w:tc>
        <w:tc>
          <w:tcPr/>
          <w:p>
            <w:pPr>
              <w:pStyle w:val="Compact"/>
              <w:jc w:val="left"/>
            </w:pPr>
            <w:r>
              <w:t xml:space="preserve">Marine Gas Oil (MGO) burned in feeder barge / regional coastal cargo carrier.</w:t>
            </w:r>
          </w:p>
        </w:tc>
        <w:tc>
          <w:tcPr/>
          <w:p>
            <w:pPr>
              <w:pStyle w:val="Compact"/>
              <w:jc w:val="left"/>
            </w:pPr>
            <w:r>
              <w:t xml:space="preserve">Scope 3, Category 4 (Mandated Sea Transit Parameter)</w:t>
            </w:r>
          </w:p>
        </w:tc>
      </w:tr>
      <w:tr>
        <w:tc>
          <w:tcPr/>
          <w:p>
            <w:pPr>
              <w:pStyle w:val="Compact"/>
              <w:jc w:val="left"/>
            </w:pPr>
            <w:r>
              <w:rPr>
                <w:bCs/>
                <w:b/>
              </w:rPr>
              <w:t xml:space="preserve">Stage 6: Final Assembly (Argentina)</w:t>
            </w:r>
          </w:p>
        </w:tc>
        <w:tc>
          <w:tcPr/>
          <w:p>
            <w:pPr>
              <w:pStyle w:val="Compact"/>
              <w:jc w:val="left"/>
            </w:pPr>
            <w:r>
              <w:t xml:space="preserve">Body-in-White (BIW) welding, electrophoretic deposition (e-coat), topcoat painting, trim &amp; final.</w:t>
            </w:r>
          </w:p>
        </w:tc>
        <w:tc>
          <w:tcPr/>
          <w:p>
            <w:pPr>
              <w:pStyle w:val="Compact"/>
              <w:jc w:val="left"/>
            </w:pPr>
            <w:r>
              <w:t xml:space="preserve">Argentine electrical grid (SADI), pipeline natural gas for paint ovens, R-134a refrigerant.</w:t>
            </w:r>
          </w:p>
        </w:tc>
        <w:tc>
          <w:tcPr/>
          <w:p>
            <w:pPr>
              <w:pStyle w:val="Compact"/>
              <w:jc w:val="left"/>
            </w:pPr>
            <w:r>
              <w:t xml:space="preserve">Scope 1 (Gas, Refrigerants) &amp; Scope 2 (Purchased Electricity)</w:t>
            </w:r>
          </w:p>
        </w:tc>
      </w:tr>
    </w:tbl>
    <w:p>
      <w:r>
        <w:pict>
          <v:rect style="width:0;height:1.5pt" o:hralign="center" o:hrstd="t" o:hr="t"/>
        </w:pict>
      </w:r>
    </w:p>
    <w:bookmarkEnd w:id="23"/>
    <w:bookmarkStart w:id="26" w:name="X7c1a425bdee8cd595bd38c538f644d3347e421b"/>
    <w:p>
      <w:pPr>
        <w:pStyle w:val="Heading2"/>
      </w:pPr>
      <w:r>
        <w:t xml:space="preserve">Step 3: Activity Data Collection &amp; Material Breakdown</w:t>
      </w:r>
    </w:p>
    <w:p>
      <w:pPr>
        <w:pStyle w:val="FirstParagraph"/>
      </w:pPr>
      <w:r>
        <w:t xml:space="preserve">Primary inventory was collected directly from assembly plant operations in Argentina, while upstream Tier-1 modular assemblies were modeled using high-fidelity engineering bill-of-materials (BOM) datasets mapped to verified European suppliers. In accordance with the 2026 GHG Protocol data quality indicators (DQI), primary activity data accounts for 100% of final assembly operations, and secondary datasets feature a temporal validity of less than three years.</w:t>
      </w:r>
    </w:p>
    <w:bookmarkStart w:id="24" w:name="X9ec8932d45fc358355fb09a48c952abe9a1ff2e"/>
    <w:p>
      <w:pPr>
        <w:pStyle w:val="Heading3"/>
      </w:pPr>
      <w:r>
        <w:t xml:space="preserve">Table 3.1: Material &amp; Fluid Mass Inventory (Per 1.0 Unit)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 Classification</w:t>
            </w:r>
          </w:p>
        </w:tc>
        <w:tc>
          <w:tcPr/>
          <w:p>
            <w:pPr>
              <w:pStyle w:val="Compact"/>
              <w:jc w:val="left"/>
            </w:pPr>
            <w:r>
              <w:t xml:space="preserve">Component Examples</w:t>
            </w:r>
          </w:p>
        </w:tc>
        <w:tc>
          <w:tcPr/>
          <w:p>
            <w:pPr>
              <w:pStyle w:val="Compact"/>
              <w:jc w:val="left"/>
            </w:pPr>
            <w:r>
              <w:t xml:space="preserve">Mass (kg/unit)</w:t>
            </w:r>
          </w:p>
        </w:tc>
        <w:tc>
          <w:tcPr/>
          <w:p>
            <w:pPr>
              <w:pStyle w:val="Compact"/>
              <w:jc w:val="left"/>
            </w:pPr>
            <w:r>
              <w:t xml:space="preserve">Data Origin &amp; Geography</w:t>
            </w:r>
          </w:p>
        </w:tc>
        <w:tc>
          <w:tcPr/>
          <w:p>
            <w:pPr>
              <w:pStyle w:val="Compact"/>
              <w:jc w:val="left"/>
            </w:pPr>
            <w:r>
              <w:t xml:space="preserve">2026 LSR Standard Classification</w:t>
            </w:r>
          </w:p>
        </w:tc>
      </w:tr>
      <w:tr>
        <w:tc>
          <w:tcPr/>
          <w:p>
            <w:pPr>
              <w:pStyle w:val="Compact"/>
              <w:jc w:val="left"/>
            </w:pPr>
            <w:r>
              <w:rPr>
                <w:bCs/>
                <w:b/>
              </w:rPr>
              <w:t xml:space="preserve">Steel (Stamping &amp; AHSS)</w:t>
            </w:r>
          </w:p>
        </w:tc>
        <w:tc>
          <w:tcPr/>
          <w:p>
            <w:pPr>
              <w:pStyle w:val="Compact"/>
              <w:jc w:val="left"/>
            </w:pPr>
            <w:r>
              <w:t xml:space="preserve">Body panels, chassis, engine block</w:t>
            </w:r>
          </w:p>
        </w:tc>
        <w:tc>
          <w:tcPr/>
          <w:p>
            <w:pPr>
              <w:pStyle w:val="Compact"/>
              <w:jc w:val="left"/>
            </w:pPr>
            <w:r>
              <w:t xml:space="preserve">825.00</w:t>
            </w:r>
          </w:p>
        </w:tc>
        <w:tc>
          <w:tcPr/>
          <w:p>
            <w:pPr>
              <w:pStyle w:val="Compact"/>
              <w:jc w:val="left"/>
            </w:pPr>
            <w:r>
              <w:t xml:space="preserve">Secondary / EU Average (Ecoinvent)</w:t>
            </w:r>
          </w:p>
        </w:tc>
        <w:tc>
          <w:tcPr/>
          <w:p>
            <w:pPr>
              <w:pStyle w:val="Compact"/>
              <w:jc w:val="left"/>
            </w:pPr>
            <w:r>
              <w:t xml:space="preserve">Fossil / Mineral</w:t>
            </w:r>
          </w:p>
        </w:tc>
      </w:tr>
      <w:tr>
        <w:tc>
          <w:tcPr/>
          <w:p>
            <w:pPr>
              <w:pStyle w:val="Compact"/>
              <w:jc w:val="left"/>
            </w:pPr>
            <w:r>
              <w:rPr>
                <w:bCs/>
                <w:b/>
              </w:rPr>
              <w:t xml:space="preserve">Cast Iron</w:t>
            </w:r>
          </w:p>
        </w:tc>
        <w:tc>
          <w:tcPr/>
          <w:p>
            <w:pPr>
              <w:pStyle w:val="Compact"/>
              <w:jc w:val="left"/>
            </w:pPr>
            <w:r>
              <w:t xml:space="preserve">Brake rotors, crankshaft, housings</w:t>
            </w:r>
          </w:p>
        </w:tc>
        <w:tc>
          <w:tcPr/>
          <w:p>
            <w:pPr>
              <w:pStyle w:val="Compact"/>
              <w:jc w:val="left"/>
            </w:pPr>
            <w:r>
              <w:t xml:space="preserve">78.00</w:t>
            </w:r>
          </w:p>
        </w:tc>
        <w:tc>
          <w:tcPr/>
          <w:p>
            <w:pPr>
              <w:pStyle w:val="Compact"/>
              <w:jc w:val="left"/>
            </w:pPr>
            <w:r>
              <w:t xml:space="preserve">Secondary / EU Average</w:t>
            </w:r>
          </w:p>
        </w:tc>
        <w:tc>
          <w:tcPr/>
          <w:p>
            <w:pPr>
              <w:pStyle w:val="Compact"/>
              <w:jc w:val="left"/>
            </w:pPr>
            <w:r>
              <w:t xml:space="preserve">Fossil / Mineral</w:t>
            </w:r>
          </w:p>
        </w:tc>
      </w:tr>
      <w:tr>
        <w:tc>
          <w:tcPr/>
          <w:p>
            <w:pPr>
              <w:pStyle w:val="Compact"/>
              <w:jc w:val="left"/>
            </w:pPr>
            <w:r>
              <w:rPr>
                <w:bCs/>
                <w:b/>
              </w:rPr>
              <w:t xml:space="preserve">Aluminum Alloys</w:t>
            </w:r>
          </w:p>
        </w:tc>
        <w:tc>
          <w:tcPr/>
          <w:p>
            <w:pPr>
              <w:pStyle w:val="Compact"/>
              <w:jc w:val="left"/>
            </w:pPr>
            <w:r>
              <w:t xml:space="preserve">Suspension arms, cylinder head, hood</w:t>
            </w:r>
          </w:p>
        </w:tc>
        <w:tc>
          <w:tcPr/>
          <w:p>
            <w:pPr>
              <w:pStyle w:val="Compact"/>
              <w:jc w:val="left"/>
            </w:pPr>
            <w:r>
              <w:t xml:space="preserve">165.00</w:t>
            </w:r>
          </w:p>
        </w:tc>
        <w:tc>
          <w:tcPr/>
          <w:p>
            <w:pPr>
              <w:pStyle w:val="Compact"/>
              <w:jc w:val="left"/>
            </w:pPr>
            <w:r>
              <w:t xml:space="preserve">Secondary / EU Low-Carbon Smelted</w:t>
            </w:r>
          </w:p>
        </w:tc>
        <w:tc>
          <w:tcPr/>
          <w:p>
            <w:pPr>
              <w:pStyle w:val="Compact"/>
              <w:jc w:val="left"/>
            </w:pPr>
            <w:r>
              <w:t xml:space="preserve">Fossil / Mineral</w:t>
            </w:r>
          </w:p>
        </w:tc>
      </w:tr>
      <w:tr>
        <w:tc>
          <w:tcPr/>
          <w:p>
            <w:pPr>
              <w:pStyle w:val="Compact"/>
              <w:jc w:val="left"/>
            </w:pPr>
            <w:r>
              <w:rPr>
                <w:bCs/>
                <w:b/>
              </w:rPr>
              <w:t xml:space="preserve">Polymers &amp; Plastics (PP, ABS, PA)</w:t>
            </w:r>
          </w:p>
        </w:tc>
        <w:tc>
          <w:tcPr/>
          <w:p>
            <w:pPr>
              <w:pStyle w:val="Compact"/>
              <w:jc w:val="left"/>
            </w:pPr>
            <w:r>
              <w:t xml:space="preserve">Bumpers, dashboard, fuel tank, trim</w:t>
            </w:r>
          </w:p>
        </w:tc>
        <w:tc>
          <w:tcPr/>
          <w:p>
            <w:pPr>
              <w:pStyle w:val="Compact"/>
              <w:jc w:val="left"/>
            </w:pPr>
            <w:r>
              <w:t xml:space="preserve">148.00</w:t>
            </w:r>
          </w:p>
        </w:tc>
        <w:tc>
          <w:tcPr/>
          <w:p>
            <w:pPr>
              <w:pStyle w:val="Compact"/>
              <w:jc w:val="left"/>
            </w:pPr>
            <w:r>
              <w:t xml:space="preserve">Secondary / Global / EU Compounding</w:t>
            </w:r>
          </w:p>
        </w:tc>
        <w:tc>
          <w:tcPr/>
          <w:p>
            <w:pPr>
              <w:pStyle w:val="Compact"/>
              <w:jc w:val="left"/>
            </w:pPr>
            <w:r>
              <w:t xml:space="preserve">Fossil-derived synthetic</w:t>
            </w:r>
          </w:p>
        </w:tc>
      </w:tr>
      <w:tr>
        <w:tc>
          <w:tcPr/>
          <w:p>
            <w:pPr>
              <w:pStyle w:val="Compact"/>
              <w:jc w:val="left"/>
            </w:pPr>
            <w:r>
              <w:rPr>
                <w:bCs/>
                <w:b/>
              </w:rPr>
              <w:t xml:space="preserve">Natural &amp; Synthetic Rubber</w:t>
            </w:r>
          </w:p>
        </w:tc>
        <w:tc>
          <w:tcPr/>
          <w:p>
            <w:pPr>
              <w:pStyle w:val="Compact"/>
              <w:jc w:val="left"/>
            </w:pPr>
            <w:r>
              <w:t xml:space="preserve">Tires, door seals, vibration dampers</w:t>
            </w:r>
          </w:p>
        </w:tc>
        <w:tc>
          <w:tcPr/>
          <w:p>
            <w:pPr>
              <w:pStyle w:val="Compact"/>
              <w:jc w:val="left"/>
            </w:pPr>
            <w:r>
              <w:t xml:space="preserve">64.00</w:t>
            </w:r>
          </w:p>
        </w:tc>
        <w:tc>
          <w:tcPr/>
          <w:p>
            <w:pPr>
              <w:pStyle w:val="Compact"/>
              <w:jc w:val="left"/>
            </w:pPr>
            <w:r>
              <w:t xml:space="preserve">Primary Tier-1 Supplier BOM</w:t>
            </w:r>
          </w:p>
        </w:tc>
        <w:tc>
          <w:tcPr/>
          <w:p>
            <w:pPr>
              <w:pStyle w:val="Compact"/>
              <w:jc w:val="left"/>
            </w:pPr>
            <w:r>
              <w:t xml:space="preserve">Bio-based / LSR Land Sector (55% Natural)</w:t>
            </w:r>
          </w:p>
        </w:tc>
      </w:tr>
      <w:tr>
        <w:tc>
          <w:tcPr/>
          <w:p>
            <w:pPr>
              <w:pStyle w:val="Compact"/>
              <w:jc w:val="left"/>
            </w:pPr>
            <w:r>
              <w:rPr>
                <w:bCs/>
                <w:b/>
              </w:rPr>
              <w:t xml:space="preserve">Flat Glass (Laminated/Tempered)</w:t>
            </w:r>
          </w:p>
        </w:tc>
        <w:tc>
          <w:tcPr/>
          <w:p>
            <w:pPr>
              <w:pStyle w:val="Compact"/>
              <w:jc w:val="left"/>
            </w:pPr>
            <w:r>
              <w:t xml:space="preserve">Windshield, side windows, rear screen</w:t>
            </w:r>
          </w:p>
        </w:tc>
        <w:tc>
          <w:tcPr/>
          <w:p>
            <w:pPr>
              <w:pStyle w:val="Compact"/>
              <w:jc w:val="left"/>
            </w:pPr>
            <w:r>
              <w:t xml:space="preserve">42.00</w:t>
            </w:r>
          </w:p>
        </w:tc>
        <w:tc>
          <w:tcPr/>
          <w:p>
            <w:pPr>
              <w:pStyle w:val="Compact"/>
              <w:jc w:val="left"/>
            </w:pPr>
            <w:r>
              <w:t xml:space="preserve">Secondary / European Glass Alliance</w:t>
            </w:r>
          </w:p>
        </w:tc>
        <w:tc>
          <w:tcPr/>
          <w:p>
            <w:pPr>
              <w:pStyle w:val="Compact"/>
              <w:jc w:val="left"/>
            </w:pPr>
            <w:r>
              <w:t xml:space="preserve">Mineral / Non-metallic</w:t>
            </w:r>
          </w:p>
        </w:tc>
      </w:tr>
      <w:tr>
        <w:tc>
          <w:tcPr/>
          <w:p>
            <w:pPr>
              <w:pStyle w:val="Compact"/>
              <w:jc w:val="left"/>
            </w:pPr>
            <w:r>
              <w:rPr>
                <w:bCs/>
                <w:b/>
              </w:rPr>
              <w:t xml:space="preserve">Electronics, Copper &amp; Silicon</w:t>
            </w:r>
          </w:p>
        </w:tc>
        <w:tc>
          <w:tcPr/>
          <w:p>
            <w:pPr>
              <w:pStyle w:val="Compact"/>
              <w:jc w:val="left"/>
            </w:pPr>
            <w:r>
              <w:t xml:space="preserve">ECU, sensors, wiring harness (Cu)</w:t>
            </w:r>
          </w:p>
        </w:tc>
        <w:tc>
          <w:tcPr/>
          <w:p>
            <w:pPr>
              <w:pStyle w:val="Compact"/>
              <w:jc w:val="left"/>
            </w:pPr>
            <w:r>
              <w:t xml:space="preserve">48.00</w:t>
            </w:r>
          </w:p>
        </w:tc>
        <w:tc>
          <w:tcPr/>
          <w:p>
            <w:pPr>
              <w:pStyle w:val="Compact"/>
              <w:jc w:val="left"/>
            </w:pPr>
            <w:r>
              <w:t xml:space="preserve">Secondary / EU Tier-1 Electronics</w:t>
            </w:r>
          </w:p>
        </w:tc>
        <w:tc>
          <w:tcPr/>
          <w:p>
            <w:pPr>
              <w:pStyle w:val="Compact"/>
              <w:jc w:val="left"/>
            </w:pPr>
            <w:r>
              <w:t xml:space="preserve">Fossil / Mineral</w:t>
            </w:r>
          </w:p>
        </w:tc>
      </w:tr>
      <w:tr>
        <w:tc>
          <w:tcPr/>
          <w:p>
            <w:pPr>
              <w:pStyle w:val="Compact"/>
              <w:jc w:val="left"/>
            </w:pPr>
            <w:r>
              <w:rPr>
                <w:bCs/>
                <w:b/>
              </w:rPr>
              <w:t xml:space="preserve">Bio-based Textiles &amp; Leather</w:t>
            </w:r>
          </w:p>
        </w:tc>
        <w:tc>
          <w:tcPr/>
          <w:p>
            <w:pPr>
              <w:pStyle w:val="Compact"/>
              <w:jc w:val="left"/>
            </w:pPr>
            <w:r>
              <w:t xml:space="preserve">Seat inserts, headliner, insulation</w:t>
            </w:r>
          </w:p>
        </w:tc>
        <w:tc>
          <w:tcPr/>
          <w:p>
            <w:pPr>
              <w:pStyle w:val="Compact"/>
              <w:jc w:val="left"/>
            </w:pPr>
            <w:r>
              <w:t xml:space="preserve">18.00</w:t>
            </w:r>
          </w:p>
        </w:tc>
        <w:tc>
          <w:tcPr/>
          <w:p>
            <w:pPr>
              <w:pStyle w:val="Compact"/>
              <w:jc w:val="left"/>
            </w:pPr>
            <w:r>
              <w:t xml:space="preserve">Primary Supplier Records</w:t>
            </w:r>
          </w:p>
        </w:tc>
        <w:tc>
          <w:tcPr/>
          <w:p>
            <w:pPr>
              <w:pStyle w:val="Compact"/>
              <w:jc w:val="left"/>
            </w:pPr>
            <w:r>
              <w:t xml:space="preserve">Bio-based / LSR Land Sector (Agroforestry)</w:t>
            </w:r>
          </w:p>
        </w:tc>
      </w:tr>
      <w:tr>
        <w:tc>
          <w:tcPr/>
          <w:p>
            <w:pPr>
              <w:pStyle w:val="Compact"/>
              <w:jc w:val="left"/>
            </w:pPr>
            <w:r>
              <w:rPr>
                <w:bCs/>
                <w:b/>
              </w:rPr>
              <w:t xml:space="preserve">OEM Fluids &amp; Lubricants</w:t>
            </w:r>
          </w:p>
        </w:tc>
        <w:tc>
          <w:tcPr/>
          <w:p>
            <w:pPr>
              <w:pStyle w:val="Compact"/>
              <w:jc w:val="left"/>
            </w:pPr>
            <w:r>
              <w:t xml:space="preserve">Engine oil, transmission fluid, coolant</w:t>
            </w:r>
          </w:p>
        </w:tc>
        <w:tc>
          <w:tcPr/>
          <w:p>
            <w:pPr>
              <w:pStyle w:val="Compact"/>
              <w:jc w:val="left"/>
            </w:pPr>
            <w:r>
              <w:t xml:space="preserve">26.00</w:t>
            </w:r>
          </w:p>
        </w:tc>
        <w:tc>
          <w:tcPr/>
          <w:p>
            <w:pPr>
              <w:pStyle w:val="Compact"/>
              <w:jc w:val="left"/>
            </w:pPr>
            <w:r>
              <w:t xml:space="preserve">Primary Factory In-flow Data</w:t>
            </w:r>
          </w:p>
        </w:tc>
        <w:tc>
          <w:tcPr/>
          <w:p>
            <w:pPr>
              <w:pStyle w:val="Compact"/>
              <w:jc w:val="left"/>
            </w:pPr>
            <w:r>
              <w:t xml:space="preserve">Fossil / Chemical</w:t>
            </w:r>
          </w:p>
        </w:tc>
      </w:tr>
      <w:tr>
        <w:tc>
          <w:tcPr/>
          <w:p>
            <w:pPr>
              <w:pStyle w:val="Compact"/>
              <w:jc w:val="left"/>
            </w:pPr>
            <w:r>
              <w:rPr>
                <w:bCs/>
                <w:b/>
              </w:rPr>
              <w:t xml:space="preserve">Paints, Sealers &amp; Adhesives</w:t>
            </w:r>
          </w:p>
        </w:tc>
        <w:tc>
          <w:tcPr/>
          <w:p>
            <w:pPr>
              <w:pStyle w:val="Compact"/>
              <w:jc w:val="left"/>
            </w:pPr>
            <w:r>
              <w:t xml:space="preserve">E-coat, primer, basecoat, clearcoat</w:t>
            </w:r>
          </w:p>
        </w:tc>
        <w:tc>
          <w:tcPr/>
          <w:p>
            <w:pPr>
              <w:pStyle w:val="Compact"/>
              <w:jc w:val="left"/>
            </w:pPr>
            <w:r>
              <w:t xml:space="preserve">36.00</w:t>
            </w:r>
          </w:p>
        </w:tc>
        <w:tc>
          <w:tcPr/>
          <w:p>
            <w:pPr>
              <w:pStyle w:val="Compact"/>
              <w:jc w:val="left"/>
            </w:pPr>
            <w:r>
              <w:t xml:space="preserve">Primary Factory In-flow Data</w:t>
            </w:r>
          </w:p>
        </w:tc>
        <w:tc>
          <w:tcPr/>
          <w:p>
            <w:pPr>
              <w:pStyle w:val="Compact"/>
              <w:jc w:val="left"/>
            </w:pPr>
            <w:r>
              <w:t xml:space="preserve">Fossil / Chemical</w:t>
            </w:r>
          </w:p>
        </w:tc>
      </w:tr>
      <w:tr>
        <w:tc>
          <w:tcPr/>
          <w:p>
            <w:pPr>
              <w:pStyle w:val="Compact"/>
              <w:jc w:val="left"/>
            </w:pPr>
            <w:r>
              <w:rPr>
                <w:bCs/>
                <w:b/>
              </w:rPr>
              <w:t xml:space="preserve">Total Vehicle Dry Mass</w:t>
            </w:r>
          </w:p>
        </w:tc>
        <w:tc>
          <w:tcPr/>
          <w:p>
            <w:pPr>
              <w:pStyle w:val="Compact"/>
              <w:jc w:val="left"/>
            </w:pPr>
            <w:r>
              <w:rPr>
                <w:bCs/>
                <w:b/>
              </w:rPr>
              <w:t xml:space="preserve">Complete Finished Automobile</w:t>
            </w:r>
          </w:p>
        </w:tc>
        <w:tc>
          <w:tcPr/>
          <w:p>
            <w:pPr>
              <w:pStyle w:val="Compact"/>
              <w:jc w:val="left"/>
            </w:pPr>
            <w:r>
              <w:rPr>
                <w:bCs/>
                <w:b/>
              </w:rPr>
              <w:t xml:space="preserve">1,450.00</w:t>
            </w:r>
          </w:p>
        </w:tc>
        <w:tc>
          <w:tcPr/>
          <w:p>
            <w:pPr>
              <w:pStyle w:val="Compact"/>
              <w:jc w:val="left"/>
            </w:pPr>
            <w:r>
              <w:rPr>
                <w:bCs/>
                <w:b/>
              </w:rPr>
              <w:t xml:space="preserve">100% BOM Physical Balance</w:t>
            </w:r>
          </w:p>
        </w:tc>
        <w:tc>
          <w:tcPr/>
          <w:p>
            <w:pPr>
              <w:pStyle w:val="Compact"/>
              <w:jc w:val="left"/>
            </w:pPr>
            <w:r>
              <w:rPr>
                <w:bCs/>
                <w:b/>
              </w:rPr>
              <w:t xml:space="preserve">Verified Mass Equilibrium</w:t>
            </w:r>
          </w:p>
        </w:tc>
      </w:tr>
    </w:tbl>
    <w:bookmarkEnd w:id="24"/>
    <w:bookmarkStart w:id="25" w:name="Xcb5e50a2518ae038056f668990dc7c85e764b60"/>
    <w:p>
      <w:pPr>
        <w:pStyle w:val="Heading3"/>
      </w:pPr>
      <w:r>
        <w:t xml:space="preserve">Table 3.2: Energy Inputs at Assembly Complex (Argentina)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Carrier</w:t>
            </w:r>
          </w:p>
        </w:tc>
        <w:tc>
          <w:tcPr/>
          <w:p>
            <w:pPr>
              <w:pStyle w:val="Compact"/>
              <w:jc w:val="left"/>
            </w:pPr>
            <w:r>
              <w:t xml:space="preserve">Activity Consumption</w:t>
            </w:r>
          </w:p>
        </w:tc>
        <w:tc>
          <w:tcPr/>
          <w:p>
            <w:pPr>
              <w:pStyle w:val="Compact"/>
              <w:jc w:val="left"/>
            </w:pPr>
            <w:r>
              <w:t xml:space="preserve">Allocation Basis</w:t>
            </w:r>
          </w:p>
        </w:tc>
        <w:tc>
          <w:tcPr/>
          <w:p>
            <w:pPr>
              <w:pStyle w:val="Compact"/>
              <w:jc w:val="left"/>
            </w:pPr>
            <w:r>
              <w:t xml:space="preserve">Data Source</w:t>
            </w:r>
          </w:p>
        </w:tc>
      </w:tr>
      <w:tr>
        <w:tc>
          <w:tcPr/>
          <w:p>
            <w:pPr>
              <w:pStyle w:val="Compact"/>
              <w:jc w:val="left"/>
            </w:pPr>
            <w:r>
              <w:rPr>
                <w:bCs/>
                <w:b/>
              </w:rPr>
              <w:t xml:space="preserve">Purchased Grid Electricity</w:t>
            </w:r>
          </w:p>
        </w:tc>
        <w:tc>
          <w:tcPr/>
          <w:p>
            <w:pPr>
              <w:pStyle w:val="Compact"/>
              <w:jc w:val="left"/>
            </w:pPr>
            <w:r>
              <w:t xml:space="preserve">650.00 kWh / unit</w:t>
            </w:r>
          </w:p>
        </w:tc>
        <w:tc>
          <w:tcPr/>
          <w:p>
            <w:pPr>
              <w:pStyle w:val="Compact"/>
              <w:jc w:val="left"/>
            </w:pPr>
            <w:r>
              <w:t xml:space="preserve">Factory Sub-metering per vehicle</w:t>
            </w:r>
          </w:p>
        </w:tc>
        <w:tc>
          <w:tcPr/>
          <w:p>
            <w:pPr>
              <w:pStyle w:val="Compact"/>
              <w:jc w:val="left"/>
            </w:pPr>
            <w:r>
              <w:t xml:space="preserve">CAMMESA (Argentine Grid Operator 2026)</w:t>
            </w:r>
          </w:p>
        </w:tc>
      </w:tr>
      <w:tr>
        <w:tc>
          <w:tcPr/>
          <w:p>
            <w:pPr>
              <w:pStyle w:val="Compact"/>
              <w:jc w:val="left"/>
            </w:pPr>
            <w:r>
              <w:rPr>
                <w:bCs/>
                <w:b/>
              </w:rPr>
              <w:t xml:space="preserve">Natural Gas (Direct Combustion)</w:t>
            </w:r>
          </w:p>
        </w:tc>
        <w:tc>
          <w:tcPr/>
          <w:p>
            <w:pPr>
              <w:pStyle w:val="Compact"/>
              <w:jc w:val="left"/>
            </w:pPr>
            <w:r>
              <w:t xml:space="preserve">115.00 m³ / unit (1,184.5 kWh)</w:t>
            </w:r>
          </w:p>
        </w:tc>
        <w:tc>
          <w:tcPr/>
          <w:p>
            <w:pPr>
              <w:pStyle w:val="Compact"/>
              <w:jc w:val="left"/>
            </w:pPr>
            <w:r>
              <w:t xml:space="preserve">Paint shop thermal oxidizer &amp; ovens</w:t>
            </w:r>
          </w:p>
        </w:tc>
        <w:tc>
          <w:tcPr/>
          <w:p>
            <w:pPr>
              <w:pStyle w:val="Compact"/>
              <w:jc w:val="left"/>
            </w:pPr>
            <w:r>
              <w:t xml:space="preserve">Primary utility billing (Naturgy Argentina)</w:t>
            </w:r>
          </w:p>
        </w:tc>
      </w:tr>
      <w:tr>
        <w:tc>
          <w:tcPr/>
          <w:p>
            <w:pPr>
              <w:pStyle w:val="Compact"/>
              <w:jc w:val="left"/>
            </w:pPr>
            <w:r>
              <w:rPr>
                <w:bCs/>
                <w:b/>
              </w:rPr>
              <w:t xml:space="preserve">Diesel (Internal Shunting &amp; Test Track)</w:t>
            </w:r>
          </w:p>
        </w:tc>
        <w:tc>
          <w:tcPr/>
          <w:p>
            <w:pPr>
              <w:pStyle w:val="Compact"/>
              <w:jc w:val="left"/>
            </w:pPr>
            <w:r>
              <w:t xml:space="preserve">4.20 Liters / unit</w:t>
            </w:r>
          </w:p>
        </w:tc>
        <w:tc>
          <w:tcPr/>
          <w:p>
            <w:pPr>
              <w:pStyle w:val="Compact"/>
              <w:jc w:val="left"/>
            </w:pPr>
            <w:r>
              <w:t xml:space="preserve">Direct dispensing tracking</w:t>
            </w:r>
          </w:p>
        </w:tc>
        <w:tc>
          <w:tcPr/>
          <w:p>
            <w:pPr>
              <w:pStyle w:val="Compact"/>
              <w:jc w:val="left"/>
            </w:pPr>
            <w:r>
              <w:t xml:space="preserve">On-site fuel logs</w:t>
            </w:r>
          </w:p>
        </w:tc>
      </w:tr>
      <w:tr>
        <w:tc>
          <w:tcPr/>
          <w:p>
            <w:pPr>
              <w:pStyle w:val="Compact"/>
              <w:jc w:val="left"/>
            </w:pPr>
            <w:r>
              <w:rPr>
                <w:bCs/>
                <w:b/>
              </w:rPr>
              <w:t xml:space="preserve">Refrigerant Top-up (R-134a MAC)</w:t>
            </w:r>
          </w:p>
        </w:tc>
        <w:tc>
          <w:tcPr/>
          <w:p>
            <w:pPr>
              <w:pStyle w:val="Compact"/>
              <w:jc w:val="left"/>
            </w:pPr>
            <w:r>
              <w:t xml:space="preserve">0.025 kg fugitive losses / unit</w:t>
            </w:r>
          </w:p>
        </w:tc>
        <w:tc>
          <w:tcPr/>
          <w:p>
            <w:pPr>
              <w:pStyle w:val="Compact"/>
              <w:jc w:val="left"/>
            </w:pPr>
            <w:r>
              <w:t xml:space="preserve">Mass balance of bulk gas charging</w:t>
            </w:r>
          </w:p>
        </w:tc>
        <w:tc>
          <w:tcPr/>
          <w:p>
            <w:pPr>
              <w:pStyle w:val="Compact"/>
              <w:jc w:val="left"/>
            </w:pPr>
            <w:r>
              <w:t xml:space="preserve">Automated vacuum charging rig data</w:t>
            </w:r>
          </w:p>
        </w:tc>
      </w:tr>
    </w:tbl>
    <w:p>
      <w:r>
        <w:pict>
          <v:rect style="width:0;height:1.5pt" o:hralign="center" o:hrstd="t" o:hr="t"/>
        </w:pict>
      </w:r>
    </w:p>
    <w:bookmarkEnd w:id="25"/>
    <w:bookmarkEnd w:id="26"/>
    <w:bookmarkStart w:id="32" w:name="X8e7eb90baa99e97f4c2dae9943075858ee31bd7"/>
    <w:p>
      <w:pPr>
        <w:pStyle w:val="Heading2"/>
      </w:pPr>
      <w:r>
        <w:t xml:space="preserve">Step 4: Emission Calculations &amp; Scope Allocation</w:t>
      </w:r>
    </w:p>
    <w:p>
      <w:pPr>
        <w:pStyle w:val="FirstParagraph"/>
      </w:pPr>
      <w:r>
        <w:t xml:space="preserve">Emissions are quantified by applying the standard equation:</w:t>
      </w:r>
      <w:r>
        <w:t xml:space="preserve"> </w:t>
      </w:r>
      <w:r>
        <w:rPr>
          <w:iCs/>
          <w:i/>
        </w:rPr>
        <w:t xml:space="preserve">Carbon Footprint = Activity Data × GHG Emission Factor</w:t>
      </w:r>
      <w:r>
        <w:t xml:space="preserve">. Emission factors are selected from validated international databases (Ecoinvent v3.10 cut-off, DEFRA 2025/2026, and IEA 2026).</w:t>
      </w:r>
    </w:p>
    <w:bookmarkStart w:id="27" w:name="Xe0a46301c5ed055ef3a1d70c6613d967dccf890"/>
    <w:p>
      <w:pPr>
        <w:pStyle w:val="Heading3"/>
      </w:pPr>
      <w:r>
        <w:t xml:space="preserve">Table 4.1: Upstream Raw Materials &amp; Pre-combustion (Scope 3, Category 1)</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 Flow</w:t>
            </w:r>
          </w:p>
        </w:tc>
        <w:tc>
          <w:tcPr/>
          <w:p>
            <w:pPr>
              <w:pStyle w:val="Compact"/>
              <w:jc w:val="left"/>
            </w:pPr>
            <w:r>
              <w:t xml:space="preserve">Mass (kg)</w:t>
            </w:r>
          </w:p>
        </w:tc>
        <w:tc>
          <w:tcPr/>
          <w:p>
            <w:pPr>
              <w:pStyle w:val="Compact"/>
              <w:jc w:val="left"/>
            </w:pPr>
            <w:r>
              <w:t xml:space="preserve">Emission Factor</w:t>
            </w:r>
          </w:p>
        </w:tc>
        <w:tc>
          <w:tcPr/>
          <w:p>
            <w:pPr>
              <w:pStyle w:val="Compact"/>
              <w:jc w:val="left"/>
            </w:pPr>
            <w:r>
              <w:t xml:space="preserve">EF Source</w:t>
            </w:r>
          </w:p>
        </w:tc>
        <w:tc>
          <w:tcPr/>
          <w:p>
            <w:pPr>
              <w:pStyle w:val="Compact"/>
              <w:jc w:val="left"/>
            </w:pPr>
            <w:r>
              <w:t xml:space="preserve">GHG Emissions (kg CO</w:t>
            </w:r>
            <w:r>
              <w:rPr>
                <w:vertAlign w:val="subscript"/>
              </w:rPr>
              <w:t xml:space="preserve">2</w:t>
            </w:r>
            <w:r>
              <w:t xml:space="preserve">e)</w:t>
            </w:r>
          </w:p>
        </w:tc>
      </w:tr>
      <w:tr>
        <w:tc>
          <w:tcPr/>
          <w:p>
            <w:pPr>
              <w:pStyle w:val="Compact"/>
              <w:jc w:val="left"/>
            </w:pPr>
            <w:r>
              <w:t xml:space="preserve">Steel (BOF &amp; Electric Arc blend)</w:t>
            </w:r>
          </w:p>
        </w:tc>
        <w:tc>
          <w:tcPr/>
          <w:p>
            <w:pPr>
              <w:pStyle w:val="Compact"/>
              <w:jc w:val="left"/>
            </w:pPr>
            <w:r>
              <w:t xml:space="preserve">825.00</w:t>
            </w:r>
          </w:p>
        </w:tc>
        <w:tc>
          <w:tcPr/>
          <w:p>
            <w:pPr>
              <w:pStyle w:val="Compact"/>
              <w:jc w:val="left"/>
            </w:pPr>
            <w:r>
              <w:t xml:space="preserve">2.15 kg CO</w:t>
            </w:r>
            <w:r>
              <w:rPr>
                <w:vertAlign w:val="subscript"/>
              </w:rPr>
              <w:t xml:space="preserve">2</w:t>
            </w:r>
            <w:r>
              <w:t xml:space="preserve">e / kg</w:t>
            </w:r>
          </w:p>
        </w:tc>
        <w:tc>
          <w:tcPr/>
          <w:p>
            <w:pPr>
              <w:pStyle w:val="Compact"/>
              <w:jc w:val="left"/>
            </w:pPr>
            <w:r>
              <w:t xml:space="preserve">Ecoinvent v3.10</w:t>
            </w:r>
          </w:p>
        </w:tc>
        <w:tc>
          <w:tcPr/>
          <w:p>
            <w:pPr>
              <w:pStyle w:val="Compact"/>
              <w:jc w:val="left"/>
            </w:pPr>
            <w:r>
              <w:t xml:space="preserve">1,773.75</w:t>
            </w:r>
          </w:p>
        </w:tc>
      </w:tr>
      <w:tr>
        <w:tc>
          <w:tcPr/>
          <w:p>
            <w:pPr>
              <w:pStyle w:val="Compact"/>
              <w:jc w:val="left"/>
            </w:pPr>
            <w:r>
              <w:t xml:space="preserve">Cast Iron Components</w:t>
            </w:r>
          </w:p>
        </w:tc>
        <w:tc>
          <w:tcPr/>
          <w:p>
            <w:pPr>
              <w:pStyle w:val="Compact"/>
              <w:jc w:val="left"/>
            </w:pPr>
            <w:r>
              <w:t xml:space="preserve">78.00</w:t>
            </w:r>
          </w:p>
        </w:tc>
        <w:tc>
          <w:tcPr/>
          <w:p>
            <w:pPr>
              <w:pStyle w:val="Compact"/>
              <w:jc w:val="left"/>
            </w:pPr>
            <w:r>
              <w:t xml:space="preserve">1.68 kg CO</w:t>
            </w:r>
            <w:r>
              <w:rPr>
                <w:vertAlign w:val="subscript"/>
              </w:rPr>
              <w:t xml:space="preserve">2</w:t>
            </w:r>
            <w:r>
              <w:t xml:space="preserve">e / kg</w:t>
            </w:r>
          </w:p>
        </w:tc>
        <w:tc>
          <w:tcPr/>
          <w:p>
            <w:pPr>
              <w:pStyle w:val="Compact"/>
              <w:jc w:val="left"/>
            </w:pPr>
            <w:r>
              <w:t xml:space="preserve">Ecoinvent v3.10</w:t>
            </w:r>
          </w:p>
        </w:tc>
        <w:tc>
          <w:tcPr/>
          <w:p>
            <w:pPr>
              <w:pStyle w:val="Compact"/>
              <w:jc w:val="left"/>
            </w:pPr>
            <w:r>
              <w:t xml:space="preserve">131.04</w:t>
            </w:r>
          </w:p>
        </w:tc>
      </w:tr>
      <w:tr>
        <w:tc>
          <w:tcPr/>
          <w:p>
            <w:pPr>
              <w:pStyle w:val="Compact"/>
              <w:jc w:val="left"/>
            </w:pPr>
            <w:r>
              <w:t xml:space="preserve">Aluminum (Semi-fabricated EU)</w:t>
            </w:r>
          </w:p>
        </w:tc>
        <w:tc>
          <w:tcPr/>
          <w:p>
            <w:pPr>
              <w:pStyle w:val="Compact"/>
              <w:jc w:val="left"/>
            </w:pPr>
            <w:r>
              <w:t xml:space="preserve">165.00</w:t>
            </w:r>
          </w:p>
        </w:tc>
        <w:tc>
          <w:tcPr/>
          <w:p>
            <w:pPr>
              <w:pStyle w:val="Compact"/>
              <w:jc w:val="left"/>
            </w:pPr>
            <w:r>
              <w:t xml:space="preserve">8.45 kg CO</w:t>
            </w:r>
            <w:r>
              <w:rPr>
                <w:vertAlign w:val="subscript"/>
              </w:rPr>
              <w:t xml:space="preserve">2</w:t>
            </w:r>
            <w:r>
              <w:t xml:space="preserve">e / kg</w:t>
            </w:r>
          </w:p>
        </w:tc>
        <w:tc>
          <w:tcPr/>
          <w:p>
            <w:pPr>
              <w:pStyle w:val="Compact"/>
              <w:jc w:val="left"/>
            </w:pPr>
            <w:r>
              <w:t xml:space="preserve">European Alum. / DEFRA</w:t>
            </w:r>
          </w:p>
        </w:tc>
        <w:tc>
          <w:tcPr/>
          <w:p>
            <w:pPr>
              <w:pStyle w:val="Compact"/>
              <w:jc w:val="left"/>
            </w:pPr>
            <w:r>
              <w:t xml:space="preserve">1,394.25</w:t>
            </w:r>
          </w:p>
        </w:tc>
      </w:tr>
      <w:tr>
        <w:tc>
          <w:tcPr/>
          <w:p>
            <w:pPr>
              <w:pStyle w:val="Compact"/>
              <w:jc w:val="left"/>
            </w:pPr>
            <w:r>
              <w:t xml:space="preserve">Polymer Compounds (PP, ABS, PA)</w:t>
            </w:r>
          </w:p>
        </w:tc>
        <w:tc>
          <w:tcPr/>
          <w:p>
            <w:pPr>
              <w:pStyle w:val="Compact"/>
              <w:jc w:val="left"/>
            </w:pPr>
            <w:r>
              <w:t xml:space="preserve">148.00</w:t>
            </w:r>
          </w:p>
        </w:tc>
        <w:tc>
          <w:tcPr/>
          <w:p>
            <w:pPr>
              <w:pStyle w:val="Compact"/>
              <w:jc w:val="left"/>
            </w:pPr>
            <w:r>
              <w:t xml:space="preserve">3.10 kg CO</w:t>
            </w:r>
            <w:r>
              <w:rPr>
                <w:vertAlign w:val="subscript"/>
              </w:rPr>
              <w:t xml:space="preserve">2</w:t>
            </w:r>
            <w:r>
              <w:t xml:space="preserve">e / kg</w:t>
            </w:r>
          </w:p>
        </w:tc>
        <w:tc>
          <w:tcPr/>
          <w:p>
            <w:pPr>
              <w:pStyle w:val="Compact"/>
              <w:jc w:val="left"/>
            </w:pPr>
            <w:r>
              <w:t xml:space="preserve">PlasticsEurope 2025/2026</w:t>
            </w:r>
          </w:p>
        </w:tc>
        <w:tc>
          <w:tcPr/>
          <w:p>
            <w:pPr>
              <w:pStyle w:val="Compact"/>
              <w:jc w:val="left"/>
            </w:pPr>
            <w:r>
              <w:t xml:space="preserve">458.80</w:t>
            </w:r>
          </w:p>
        </w:tc>
      </w:tr>
      <w:tr>
        <w:tc>
          <w:tcPr/>
          <w:p>
            <w:pPr>
              <w:pStyle w:val="Compact"/>
              <w:jc w:val="left"/>
            </w:pPr>
            <w:r>
              <w:t xml:space="preserve">Tires &amp; Elastomers (Fossil Fraction)</w:t>
            </w:r>
          </w:p>
        </w:tc>
        <w:tc>
          <w:tcPr/>
          <w:p>
            <w:pPr>
              <w:pStyle w:val="Compact"/>
              <w:jc w:val="left"/>
            </w:pPr>
            <w:r>
              <w:t xml:space="preserve">28.80</w:t>
            </w:r>
          </w:p>
        </w:tc>
        <w:tc>
          <w:tcPr/>
          <w:p>
            <w:pPr>
              <w:pStyle w:val="Compact"/>
              <w:jc w:val="left"/>
            </w:pPr>
            <w:r>
              <w:t xml:space="preserve">3.25 kg CO</w:t>
            </w:r>
            <w:r>
              <w:rPr>
                <w:vertAlign w:val="subscript"/>
              </w:rPr>
              <w:t xml:space="preserve">2</w:t>
            </w:r>
            <w:r>
              <w:t xml:space="preserve">e / kg</w:t>
            </w:r>
          </w:p>
        </w:tc>
        <w:tc>
          <w:tcPr/>
          <w:p>
            <w:pPr>
              <w:pStyle w:val="Compact"/>
              <w:jc w:val="left"/>
            </w:pPr>
            <w:r>
              <w:t xml:space="preserve">Ecoinvent v3.10</w:t>
            </w:r>
          </w:p>
        </w:tc>
        <w:tc>
          <w:tcPr/>
          <w:p>
            <w:pPr>
              <w:pStyle w:val="Compact"/>
              <w:jc w:val="left"/>
            </w:pPr>
            <w:r>
              <w:t xml:space="preserve">93.60</w:t>
            </w:r>
          </w:p>
        </w:tc>
      </w:tr>
      <w:tr>
        <w:tc>
          <w:tcPr/>
          <w:p>
            <w:pPr>
              <w:pStyle w:val="Compact"/>
              <w:jc w:val="left"/>
            </w:pPr>
            <w:r>
              <w:t xml:space="preserve">Glass (Laminated &amp; Tempered)</w:t>
            </w:r>
          </w:p>
        </w:tc>
        <w:tc>
          <w:tcPr/>
          <w:p>
            <w:pPr>
              <w:pStyle w:val="Compact"/>
              <w:jc w:val="left"/>
            </w:pPr>
            <w:r>
              <w:t xml:space="preserve">42.00</w:t>
            </w:r>
          </w:p>
        </w:tc>
        <w:tc>
          <w:tcPr/>
          <w:p>
            <w:pPr>
              <w:pStyle w:val="Compact"/>
              <w:jc w:val="left"/>
            </w:pPr>
            <w:r>
              <w:t xml:space="preserve">1.22 kg CO</w:t>
            </w:r>
            <w:r>
              <w:rPr>
                <w:vertAlign w:val="subscript"/>
              </w:rPr>
              <w:t xml:space="preserve">2</w:t>
            </w:r>
            <w:r>
              <w:t xml:space="preserve">e / kg</w:t>
            </w:r>
          </w:p>
        </w:tc>
        <w:tc>
          <w:tcPr/>
          <w:p>
            <w:pPr>
              <w:pStyle w:val="Compact"/>
              <w:jc w:val="left"/>
            </w:pPr>
            <w:r>
              <w:t xml:space="preserve">Ecoinvent v3.10</w:t>
            </w:r>
          </w:p>
        </w:tc>
        <w:tc>
          <w:tcPr/>
          <w:p>
            <w:pPr>
              <w:pStyle w:val="Compact"/>
              <w:jc w:val="left"/>
            </w:pPr>
            <w:r>
              <w:t xml:space="preserve">51.24</w:t>
            </w:r>
          </w:p>
        </w:tc>
      </w:tr>
      <w:tr>
        <w:tc>
          <w:tcPr/>
          <w:p>
            <w:pPr>
              <w:pStyle w:val="Compact"/>
              <w:jc w:val="left"/>
            </w:pPr>
            <w:r>
              <w:t xml:space="preserve">Wiring Harness, Copper &amp; ECUs</w:t>
            </w:r>
          </w:p>
        </w:tc>
        <w:tc>
          <w:tcPr/>
          <w:p>
            <w:pPr>
              <w:pStyle w:val="Compact"/>
              <w:jc w:val="left"/>
            </w:pPr>
            <w:r>
              <w:t xml:space="preserve">48.00</w:t>
            </w:r>
          </w:p>
        </w:tc>
        <w:tc>
          <w:tcPr/>
          <w:p>
            <w:pPr>
              <w:pStyle w:val="Compact"/>
              <w:jc w:val="left"/>
            </w:pPr>
            <w:r>
              <w:t xml:space="preserve">21.50 kg CO</w:t>
            </w:r>
            <w:r>
              <w:rPr>
                <w:vertAlign w:val="subscript"/>
              </w:rPr>
              <w:t xml:space="preserve">2</w:t>
            </w:r>
            <w:r>
              <w:t xml:space="preserve">e / kg</w:t>
            </w:r>
          </w:p>
        </w:tc>
        <w:tc>
          <w:tcPr/>
          <w:p>
            <w:pPr>
              <w:pStyle w:val="Compact"/>
              <w:jc w:val="left"/>
            </w:pPr>
            <w:r>
              <w:t xml:space="preserve">Ecoinvent v3.10</w:t>
            </w:r>
          </w:p>
        </w:tc>
        <w:tc>
          <w:tcPr/>
          <w:p>
            <w:pPr>
              <w:pStyle w:val="Compact"/>
              <w:jc w:val="left"/>
            </w:pPr>
            <w:r>
              <w:t xml:space="preserve">1,032.00</w:t>
            </w:r>
          </w:p>
        </w:tc>
      </w:tr>
      <w:tr>
        <w:tc>
          <w:tcPr/>
          <w:p>
            <w:pPr>
              <w:pStyle w:val="Compact"/>
              <w:jc w:val="left"/>
            </w:pPr>
            <w:r>
              <w:t xml:space="preserve">OEM Fluids, Paints &amp; Primers</w:t>
            </w:r>
          </w:p>
        </w:tc>
        <w:tc>
          <w:tcPr/>
          <w:p>
            <w:pPr>
              <w:pStyle w:val="Compact"/>
              <w:jc w:val="left"/>
            </w:pPr>
            <w:r>
              <w:t xml:space="preserve">62.00</w:t>
            </w:r>
          </w:p>
        </w:tc>
        <w:tc>
          <w:tcPr/>
          <w:p>
            <w:pPr>
              <w:pStyle w:val="Compact"/>
              <w:jc w:val="left"/>
            </w:pPr>
            <w:r>
              <w:t xml:space="preserve">2.95 kg CO</w:t>
            </w:r>
            <w:r>
              <w:rPr>
                <w:vertAlign w:val="subscript"/>
              </w:rPr>
              <w:t xml:space="preserve">2</w:t>
            </w:r>
            <w:r>
              <w:t xml:space="preserve">e / kg</w:t>
            </w:r>
          </w:p>
        </w:tc>
        <w:tc>
          <w:tcPr/>
          <w:p>
            <w:pPr>
              <w:pStyle w:val="Compact"/>
              <w:jc w:val="left"/>
            </w:pPr>
            <w:r>
              <w:t xml:space="preserve">DEFRA 2025/2026</w:t>
            </w:r>
          </w:p>
        </w:tc>
        <w:tc>
          <w:tcPr/>
          <w:p>
            <w:pPr>
              <w:pStyle w:val="Compact"/>
              <w:jc w:val="left"/>
            </w:pPr>
            <w:r>
              <w:t xml:space="preserve">182.90</w:t>
            </w:r>
          </w:p>
        </w:tc>
      </w:tr>
      <w:tr>
        <w:tc>
          <w:tcPr/>
          <w:p>
            <w:pPr>
              <w:pStyle w:val="Compact"/>
              <w:jc w:val="left"/>
            </w:pPr>
            <w:r>
              <w:t xml:space="preserve">Tier-1 Modular Processing Electricity</w:t>
            </w:r>
          </w:p>
        </w:tc>
        <w:tc>
          <w:tcPr/>
          <w:p>
            <w:pPr>
              <w:pStyle w:val="Compact"/>
              <w:jc w:val="left"/>
            </w:pPr>
            <w:r>
              <w:t xml:space="preserve">420.00 kWh</w:t>
            </w:r>
          </w:p>
        </w:tc>
        <w:tc>
          <w:tcPr/>
          <w:p>
            <w:pPr>
              <w:pStyle w:val="Compact"/>
              <w:jc w:val="left"/>
            </w:pPr>
            <w:r>
              <w:t xml:space="preserve">0.28 kg CO</w:t>
            </w:r>
            <w:r>
              <w:rPr>
                <w:vertAlign w:val="subscript"/>
              </w:rPr>
              <w:t xml:space="preserve">2</w:t>
            </w:r>
            <w:r>
              <w:t xml:space="preserve">e / kWh</w:t>
            </w:r>
          </w:p>
        </w:tc>
        <w:tc>
          <w:tcPr/>
          <w:p>
            <w:pPr>
              <w:pStyle w:val="Compact"/>
              <w:jc w:val="left"/>
            </w:pPr>
            <w:r>
              <w:t xml:space="preserve">IEA EU Grid Blend</w:t>
            </w:r>
          </w:p>
        </w:tc>
        <w:tc>
          <w:tcPr/>
          <w:p>
            <w:pPr>
              <w:pStyle w:val="Compact"/>
              <w:jc w:val="left"/>
            </w:pPr>
            <w:r>
              <w:t xml:space="preserve">117.60</w:t>
            </w:r>
          </w:p>
        </w:tc>
      </w:tr>
      <w:tr>
        <w:tc>
          <w:tcPr/>
          <w:p>
            <w:pPr>
              <w:pStyle w:val="Compact"/>
              <w:jc w:val="left"/>
            </w:pPr>
            <w:r>
              <w:rPr>
                <w:bCs/>
                <w:b/>
              </w:rPr>
              <w:t xml:space="preserve">Subtotal Scope 3 Category 1 (Non-LSR)</w:t>
            </w:r>
          </w:p>
        </w:tc>
        <w:tc>
          <w:tcPr/>
          <w:p>
            <w:pPr>
              <w:pStyle w:val="Compact"/>
              <w:jc w:val="left"/>
            </w:pPr>
            <w:r>
              <w:rPr>
                <w:bCs/>
                <w:b/>
              </w:rPr>
              <w:t xml:space="preserve">1,396.80</w:t>
            </w:r>
          </w:p>
        </w:tc>
        <w:tc>
          <w:tcPr/>
          <w:p>
            <w:pPr>
              <w:pStyle w:val="Compact"/>
              <w:jc w:val="left"/>
            </w:pPr>
            <w:r>
              <w:t xml:space="preserve">—</w:t>
            </w:r>
          </w:p>
        </w:tc>
        <w:tc>
          <w:tcPr/>
          <w:p>
            <w:pPr>
              <w:pStyle w:val="Compact"/>
              <w:jc w:val="left"/>
            </w:pPr>
            <w:r>
              <w:t xml:space="preserve">—</w:t>
            </w:r>
          </w:p>
        </w:tc>
        <w:tc>
          <w:tcPr/>
          <w:p>
            <w:pPr>
              <w:pStyle w:val="Compact"/>
              <w:jc w:val="left"/>
            </w:pPr>
            <w:r>
              <w:rPr>
                <w:bCs/>
                <w:b/>
              </w:rPr>
              <w:t xml:space="preserve">5,235.18</w:t>
            </w:r>
          </w:p>
        </w:tc>
      </w:tr>
    </w:tbl>
    <w:bookmarkEnd w:id="27"/>
    <w:bookmarkStart w:id="28" w:name="X6648a209518129f6cf4fb6823476087938958c2"/>
    <w:p>
      <w:pPr>
        <w:pStyle w:val="Heading3"/>
      </w:pPr>
      <w:r>
        <w:t xml:space="preserve">Table 4.2: 2026 Land Sector and Removals (LSR) Accounting</w:t>
      </w:r>
    </w:p>
    <w:p>
      <w:pPr>
        <w:pStyle w:val="FirstParagraph"/>
      </w:pPr>
      <w:r>
        <w:t xml:space="preserve">Under the 2026 GHG Protocol LSR Standard, land use emissions, biogenic carbon stocks, and removals must be segregated from fossil emissions and must not be netted without clear accounting distinction.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LSR Stream</w:t>
            </w:r>
          </w:p>
        </w:tc>
        <w:tc>
          <w:tcPr/>
          <w:p>
            <w:pPr>
              <w:pStyle w:val="Compact"/>
              <w:jc w:val="left"/>
            </w:pPr>
            <w:r>
              <w:t xml:space="preserve">Mass / Unit</w:t>
            </w:r>
          </w:p>
        </w:tc>
        <w:tc>
          <w:tcPr/>
          <w:p>
            <w:pPr>
              <w:pStyle w:val="Compact"/>
              <w:jc w:val="left"/>
            </w:pPr>
            <w:r>
              <w:t xml:space="preserve">LSR Emission Factor</w:t>
            </w:r>
          </w:p>
        </w:tc>
        <w:tc>
          <w:tcPr/>
          <w:p>
            <w:pPr>
              <w:pStyle w:val="Compact"/>
              <w:jc w:val="left"/>
            </w:pPr>
            <w:r>
              <w:t xml:space="preserve">Standard Rule</w:t>
            </w:r>
          </w:p>
        </w:tc>
        <w:tc>
          <w:tcPr/>
          <w:p>
            <w:pPr>
              <w:pStyle w:val="Compact"/>
              <w:jc w:val="left"/>
            </w:pPr>
            <w:r>
              <w:t xml:space="preserve">Balance (kg CO</w:t>
            </w:r>
            <w:r>
              <w:rPr>
                <w:vertAlign w:val="subscript"/>
              </w:rPr>
              <w:t xml:space="preserve">2</w:t>
            </w:r>
            <w:r>
              <w:t xml:space="preserve">e)</w:t>
            </w:r>
          </w:p>
        </w:tc>
      </w:tr>
      <w:tr>
        <w:tc>
          <w:tcPr/>
          <w:p>
            <w:pPr>
              <w:pStyle w:val="Compact"/>
              <w:jc w:val="left"/>
            </w:pPr>
            <w:r>
              <w:t xml:space="preserve">Natural Rubber (dLUC + Cultivation)</w:t>
            </w:r>
          </w:p>
        </w:tc>
        <w:tc>
          <w:tcPr/>
          <w:p>
            <w:pPr>
              <w:pStyle w:val="Compact"/>
              <w:jc w:val="left"/>
            </w:pPr>
            <w:r>
              <w:t xml:space="preserve">35.20 kg</w:t>
            </w:r>
          </w:p>
        </w:tc>
        <w:tc>
          <w:tcPr/>
          <w:p>
            <w:pPr>
              <w:pStyle w:val="Compact"/>
              <w:jc w:val="left"/>
            </w:pPr>
            <w:r>
              <w:t xml:space="preserve">0.85 kg CO</w:t>
            </w:r>
            <w:r>
              <w:rPr>
                <w:vertAlign w:val="subscript"/>
              </w:rPr>
              <w:t xml:space="preserve">2</w:t>
            </w:r>
            <w:r>
              <w:t xml:space="preserve">e / kg</w:t>
            </w:r>
          </w:p>
        </w:tc>
        <w:tc>
          <w:tcPr/>
          <w:p>
            <w:pPr>
              <w:pStyle w:val="Compact"/>
              <w:jc w:val="left"/>
            </w:pPr>
            <w:r>
              <w:t xml:space="preserve">Direct Land Use Change (LSR)</w:t>
            </w:r>
          </w:p>
        </w:tc>
        <w:tc>
          <w:tcPr/>
          <w:p>
            <w:pPr>
              <w:pStyle w:val="Compact"/>
              <w:jc w:val="left"/>
            </w:pPr>
            <w:r>
              <w:t xml:space="preserve">29.92 (Emissions)</w:t>
            </w:r>
          </w:p>
        </w:tc>
      </w:tr>
      <w:tr>
        <w:tc>
          <w:tcPr/>
          <w:p>
            <w:pPr>
              <w:pStyle w:val="Compact"/>
              <w:jc w:val="left"/>
            </w:pPr>
            <w:r>
              <w:t xml:space="preserve">Bio-textiles &amp; Leather Sourcing</w:t>
            </w:r>
          </w:p>
        </w:tc>
        <w:tc>
          <w:tcPr/>
          <w:p>
            <w:pPr>
              <w:pStyle w:val="Compact"/>
              <w:jc w:val="left"/>
            </w:pPr>
            <w:r>
              <w:t xml:space="preserve">18.00 kg</w:t>
            </w:r>
          </w:p>
        </w:tc>
        <w:tc>
          <w:tcPr/>
          <w:p>
            <w:pPr>
              <w:pStyle w:val="Compact"/>
              <w:jc w:val="left"/>
            </w:pPr>
            <w:r>
              <w:t xml:space="preserve">0.68 kg CO</w:t>
            </w:r>
            <w:r>
              <w:rPr>
                <w:vertAlign w:val="subscript"/>
              </w:rPr>
              <w:t xml:space="preserve">2</w:t>
            </w:r>
            <w:r>
              <w:t xml:space="preserve">e / kg</w:t>
            </w:r>
          </w:p>
        </w:tc>
        <w:tc>
          <w:tcPr/>
          <w:p>
            <w:pPr>
              <w:pStyle w:val="Compact"/>
              <w:jc w:val="left"/>
            </w:pPr>
            <w:r>
              <w:t xml:space="preserve">Feedstock Processing &amp; Manure</w:t>
            </w:r>
          </w:p>
        </w:tc>
        <w:tc>
          <w:tcPr/>
          <w:p>
            <w:pPr>
              <w:pStyle w:val="Compact"/>
              <w:jc w:val="left"/>
            </w:pPr>
            <w:r>
              <w:t xml:space="preserve">12.24 (Emissions)</w:t>
            </w:r>
          </w:p>
        </w:tc>
      </w:tr>
      <w:tr>
        <w:tc>
          <w:tcPr/>
          <w:p>
            <w:pPr>
              <w:pStyle w:val="Compact"/>
              <w:jc w:val="left"/>
            </w:pPr>
            <w:r>
              <w:t xml:space="preserve">Biogenic Carbon Storage (Cradle-to-Gate)</w:t>
            </w:r>
          </w:p>
        </w:tc>
        <w:tc>
          <w:tcPr/>
          <w:p>
            <w:pPr>
              <w:pStyle w:val="Compact"/>
              <w:jc w:val="left"/>
            </w:pPr>
            <w:r>
              <w:t xml:space="preserve">53.20 kg</w:t>
            </w:r>
          </w:p>
        </w:tc>
        <w:tc>
          <w:tcPr/>
          <w:p>
            <w:pPr>
              <w:pStyle w:val="Compact"/>
              <w:jc w:val="left"/>
            </w:pPr>
            <w:r>
              <w:t xml:space="preserve">-0.278 kg CO</w:t>
            </w:r>
            <w:r>
              <w:rPr>
                <w:vertAlign w:val="subscript"/>
              </w:rPr>
              <w:t xml:space="preserve">2</w:t>
            </w:r>
            <w:r>
              <w:t xml:space="preserve">e / kg</w:t>
            </w:r>
          </w:p>
        </w:tc>
        <w:tc>
          <w:tcPr/>
          <w:p>
            <w:pPr>
              <w:pStyle w:val="Compact"/>
              <w:jc w:val="left"/>
            </w:pPr>
            <w:r>
              <w:t xml:space="preserve">Removals stored in final product</w:t>
            </w:r>
          </w:p>
        </w:tc>
        <w:tc>
          <w:tcPr/>
          <w:p>
            <w:pPr>
              <w:pStyle w:val="Compact"/>
              <w:jc w:val="left"/>
            </w:pPr>
            <w:r>
              <w:t xml:space="preserve">-14.80 (Removals)</w:t>
            </w:r>
          </w:p>
        </w:tc>
      </w:tr>
      <w:tr>
        <w:tc>
          <w:tcPr/>
          <w:p>
            <w:pPr>
              <w:pStyle w:val="Compact"/>
              <w:jc w:val="left"/>
            </w:pPr>
            <w:r>
              <w:rPr>
                <w:bCs/>
                <w:b/>
              </w:rPr>
              <w:t xml:space="preserve">Net LSR Land Sector Impact</w:t>
            </w:r>
          </w:p>
        </w:tc>
        <w:tc>
          <w:tcPr/>
          <w:p>
            <w:pPr>
              <w:pStyle w:val="Compact"/>
              <w:jc w:val="left"/>
            </w:pPr>
            <w:r>
              <w:t xml:space="preserve">—</w:t>
            </w:r>
          </w:p>
        </w:tc>
        <w:tc>
          <w:tcPr/>
          <w:p>
            <w:pPr>
              <w:pStyle w:val="Compact"/>
              <w:jc w:val="left"/>
            </w:pPr>
            <w:r>
              <w:t xml:space="preserve">—</w:t>
            </w:r>
          </w:p>
        </w:tc>
        <w:tc>
          <w:tcPr/>
          <w:p>
            <w:pPr>
              <w:pStyle w:val="Compact"/>
              <w:jc w:val="left"/>
            </w:pPr>
            <w:r>
              <w:rPr>
                <w:bCs/>
                <w:b/>
              </w:rPr>
              <w:t xml:space="preserve">Reported Distinctly</w:t>
            </w:r>
          </w:p>
        </w:tc>
        <w:tc>
          <w:tcPr/>
          <w:p>
            <w:pPr>
              <w:pStyle w:val="Compact"/>
              <w:jc w:val="left"/>
            </w:pPr>
            <w:r>
              <w:rPr>
                <w:bCs/>
                <w:b/>
              </w:rPr>
              <w:t xml:space="preserve">27.36 net (+42.16 gross)</w:t>
            </w:r>
          </w:p>
        </w:tc>
      </w:tr>
    </w:tbl>
    <w:bookmarkEnd w:id="28"/>
    <w:bookmarkStart w:id="29" w:name="X521d09208199571515d1230b870428c39ae151e"/>
    <w:p>
      <w:pPr>
        <w:pStyle w:val="Heading3"/>
      </w:pPr>
      <w:r>
        <w:t xml:space="preserve">Table 4.3: Logistics &amp; Transport Analysis (Scope 3, Category 4)</w:t>
      </w:r>
    </w:p>
    <w:p>
      <w:pPr>
        <w:pStyle w:val="FirstParagraph"/>
      </w:pPr>
      <w:r>
        <w:t xml:space="preserve">This section models inbound logistics from European production hubs to Argentina, highlighting the specific sea feeder transport parameter.</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Segment</w:t>
            </w:r>
          </w:p>
        </w:tc>
        <w:tc>
          <w:tcPr/>
          <w:p>
            <w:pPr>
              <w:pStyle w:val="Compact"/>
              <w:jc w:val="left"/>
            </w:pPr>
            <w:r>
              <w:t xml:space="preserve">Mode</w:t>
            </w:r>
          </w:p>
        </w:tc>
        <w:tc>
          <w:tcPr/>
          <w:p>
            <w:pPr>
              <w:pStyle w:val="Compact"/>
              <w:jc w:val="left"/>
            </w:pPr>
            <w:r>
              <w:t xml:space="preserve">Distance</w:t>
            </w:r>
          </w:p>
        </w:tc>
        <w:tc>
          <w:tcPr/>
          <w:p>
            <w:pPr>
              <w:pStyle w:val="Compact"/>
              <w:jc w:val="left"/>
            </w:pPr>
            <w:r>
              <w:t xml:space="preserve">Activity &amp; Factor</w:t>
            </w:r>
          </w:p>
        </w:tc>
        <w:tc>
          <w:tcPr/>
          <w:p>
            <w:pPr>
              <w:pStyle w:val="Compact"/>
              <w:jc w:val="left"/>
            </w:pPr>
            <w:r>
              <w:t xml:space="preserve">GHG Emissions (kg CO</w:t>
            </w:r>
            <w:r>
              <w:rPr>
                <w:vertAlign w:val="subscript"/>
              </w:rPr>
              <w:t xml:space="preserve">2</w:t>
            </w:r>
            <w:r>
              <w:t xml:space="preserve">e)</w:t>
            </w:r>
          </w:p>
        </w:tc>
      </w:tr>
      <w:tr>
        <w:tc>
          <w:tcPr/>
          <w:p>
            <w:pPr>
              <w:pStyle w:val="Compact"/>
              <w:jc w:val="left"/>
            </w:pPr>
            <w:r>
              <w:t xml:space="preserve">European Overland Hub to Port</w:t>
            </w:r>
          </w:p>
        </w:tc>
        <w:tc>
          <w:tcPr/>
          <w:p>
            <w:pPr>
              <w:pStyle w:val="Compact"/>
              <w:jc w:val="left"/>
            </w:pPr>
            <w:r>
              <w:t xml:space="preserve">Road (Euro 6 Truck)</w:t>
            </w:r>
          </w:p>
        </w:tc>
        <w:tc>
          <w:tcPr/>
          <w:p>
            <w:pPr>
              <w:pStyle w:val="Compact"/>
              <w:jc w:val="left"/>
            </w:pPr>
            <w:r>
              <w:t xml:space="preserve">450 km</w:t>
            </w:r>
          </w:p>
        </w:tc>
        <w:tc>
          <w:tcPr/>
          <w:p>
            <w:pPr>
              <w:pStyle w:val="Compact"/>
              <w:jc w:val="left"/>
            </w:pPr>
            <w:r>
              <w:t xml:space="preserve">0.652 t × 450 km • 0.092 kg/tkm</w:t>
            </w:r>
          </w:p>
        </w:tc>
        <w:tc>
          <w:tcPr/>
          <w:p>
            <w:pPr>
              <w:pStyle w:val="Compact"/>
              <w:jc w:val="left"/>
            </w:pPr>
            <w:r>
              <w:t xml:space="preserve">27.00</w:t>
            </w:r>
          </w:p>
        </w:tc>
      </w:tr>
      <w:tr>
        <w:tc>
          <w:tcPr/>
          <w:p>
            <w:pPr>
              <w:pStyle w:val="Compact"/>
              <w:jc w:val="left"/>
            </w:pPr>
            <w:r>
              <w:t xml:space="preserve">Intercontinental Ocean Crossing</w:t>
            </w:r>
          </w:p>
        </w:tc>
        <w:tc>
          <w:tcPr/>
          <w:p>
            <w:pPr>
              <w:pStyle w:val="Compact"/>
              <w:jc w:val="left"/>
            </w:pPr>
            <w:r>
              <w:t xml:space="preserve">Sea (Deep-Sea Ro-Ro/Container)</w:t>
            </w:r>
          </w:p>
        </w:tc>
        <w:tc>
          <w:tcPr/>
          <w:p>
            <w:pPr>
              <w:pStyle w:val="Compact"/>
              <w:jc w:val="left"/>
            </w:pPr>
            <w:r>
              <w:t xml:space="preserve">11,800 km</w:t>
            </w:r>
          </w:p>
        </w:tc>
        <w:tc>
          <w:tcPr/>
          <w:p>
            <w:pPr>
              <w:pStyle w:val="Compact"/>
              <w:jc w:val="left"/>
            </w:pPr>
            <w:r>
              <w:t xml:space="preserve">1.450 t × 11,800 km • 0.016 kg/tkm</w:t>
            </w:r>
          </w:p>
        </w:tc>
        <w:tc>
          <w:tcPr/>
          <w:p>
            <w:pPr>
              <w:pStyle w:val="Compact"/>
              <w:jc w:val="left"/>
            </w:pPr>
            <w:r>
              <w:t xml:space="preserve">273.76</w:t>
            </w:r>
          </w:p>
        </w:tc>
      </w:tr>
      <w:tr>
        <w:tc>
          <w:tcPr/>
          <w:p>
            <w:pPr>
              <w:pStyle w:val="Compact"/>
              <w:jc w:val="left"/>
            </w:pPr>
            <w:r>
              <w:t xml:space="preserve">Parameter Mandatory Sea Leg</w:t>
            </w:r>
          </w:p>
        </w:tc>
        <w:tc>
          <w:tcPr/>
          <w:p>
            <w:pPr>
              <w:pStyle w:val="Compact"/>
              <w:jc w:val="left"/>
            </w:pPr>
            <w:r>
              <w:t xml:space="preserve">Sea (Coastal Feeder / Barge)</w:t>
            </w:r>
          </w:p>
        </w:tc>
        <w:tc>
          <w:tcPr/>
          <w:p>
            <w:pPr>
              <w:pStyle w:val="Compact"/>
              <w:jc w:val="left"/>
            </w:pPr>
            <w:r>
              <w:t xml:space="preserve">30 km</w:t>
            </w:r>
          </w:p>
        </w:tc>
        <w:tc>
          <w:tcPr/>
          <w:p>
            <w:pPr>
              <w:pStyle w:val="Compact"/>
              <w:jc w:val="left"/>
            </w:pPr>
            <w:r>
              <w:t xml:space="preserve">1.450 t × 30 km • 0.0161 kg/tkm</w:t>
            </w:r>
          </w:p>
        </w:tc>
        <w:tc>
          <w:tcPr/>
          <w:p>
            <w:pPr>
              <w:pStyle w:val="Compact"/>
              <w:jc w:val="left"/>
            </w:pPr>
            <w:r>
              <w:t xml:space="preserve">0.70</w:t>
            </w:r>
          </w:p>
        </w:tc>
      </w:tr>
      <w:tr>
        <w:tc>
          <w:tcPr/>
          <w:p>
            <w:pPr>
              <w:pStyle w:val="Compact"/>
              <w:jc w:val="left"/>
            </w:pPr>
            <w:r>
              <w:t xml:space="preserve">Local Port to Assembly Plant</w:t>
            </w:r>
          </w:p>
        </w:tc>
        <w:tc>
          <w:tcPr/>
          <w:p>
            <w:pPr>
              <w:pStyle w:val="Compact"/>
              <w:jc w:val="left"/>
            </w:pPr>
            <w:r>
              <w:t xml:space="preserve">Road (Heavy Truck)</w:t>
            </w:r>
          </w:p>
        </w:tc>
        <w:tc>
          <w:tcPr/>
          <w:p>
            <w:pPr>
              <w:pStyle w:val="Compact"/>
              <w:jc w:val="left"/>
            </w:pPr>
            <w:r>
              <w:t xml:space="preserve">65 km</w:t>
            </w:r>
          </w:p>
        </w:tc>
        <w:tc>
          <w:tcPr/>
          <w:p>
            <w:pPr>
              <w:pStyle w:val="Compact"/>
              <w:jc w:val="left"/>
            </w:pPr>
            <w:r>
              <w:t xml:space="preserve">1.450 t × 65 km • 0.112 kg/tkm</w:t>
            </w:r>
          </w:p>
        </w:tc>
        <w:tc>
          <w:tcPr/>
          <w:p>
            <w:pPr>
              <w:pStyle w:val="Compact"/>
              <w:jc w:val="left"/>
            </w:pPr>
            <w:r>
              <w:t xml:space="preserve">10.56</w:t>
            </w:r>
          </w:p>
        </w:tc>
      </w:tr>
      <w:tr>
        <w:tc>
          <w:tcPr/>
          <w:p>
            <w:pPr>
              <w:pStyle w:val="Compact"/>
              <w:jc w:val="left"/>
            </w:pPr>
            <w:r>
              <w:t xml:space="preserve">Tier-1 Sub-tier Logistics</w:t>
            </w:r>
          </w:p>
        </w:tc>
        <w:tc>
          <w:tcPr/>
          <w:p>
            <w:pPr>
              <w:pStyle w:val="Compact"/>
              <w:jc w:val="left"/>
            </w:pPr>
            <w:r>
              <w:t xml:space="preserve">Multimodal (Rail / Road)</w:t>
            </w:r>
          </w:p>
        </w:tc>
        <w:tc>
          <w:tcPr/>
          <w:p>
            <w:pPr>
              <w:pStyle w:val="Compact"/>
              <w:jc w:val="left"/>
            </w:pPr>
            <w:r>
              <w:t xml:space="preserve">Various</w:t>
            </w:r>
          </w:p>
        </w:tc>
        <w:tc>
          <w:tcPr/>
          <w:p>
            <w:pPr>
              <w:pStyle w:val="Compact"/>
              <w:jc w:val="left"/>
            </w:pPr>
            <w:r>
              <w:t xml:space="preserve">Aggregated upstream freight</w:t>
            </w:r>
          </w:p>
        </w:tc>
        <w:tc>
          <w:tcPr/>
          <w:p>
            <w:pPr>
              <w:pStyle w:val="Compact"/>
              <w:jc w:val="left"/>
            </w:pPr>
            <w:r>
              <w:t xml:space="preserve">94.86</w:t>
            </w:r>
          </w:p>
        </w:tc>
      </w:tr>
      <w:tr>
        <w:tc>
          <w:tcPr/>
          <w:p>
            <w:pPr>
              <w:pStyle w:val="Compact"/>
              <w:jc w:val="left"/>
            </w:pPr>
            <w:r>
              <w:rPr>
                <w:bCs/>
                <w:b/>
              </w:rPr>
              <w:t xml:space="preserve">Total Scope 3 Category 4 Freight</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rPr>
                <w:bCs/>
                <w:b/>
              </w:rPr>
              <w:t xml:space="preserve">406.88</w:t>
            </w:r>
          </w:p>
        </w:tc>
      </w:tr>
    </w:tbl>
    <w:bookmarkEnd w:id="29"/>
    <w:bookmarkStart w:id="30" w:name="X98f7609ba27220759252889d6a2eb7f90629854"/>
    <w:p>
      <w:pPr>
        <w:pStyle w:val="Heading3"/>
      </w:pPr>
      <w:r>
        <w:t xml:space="preserve">Table 4.4: Facility Operations (Scope 1 &amp; Scope 2 - Argentina)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 &amp; Emission 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Source</w:t>
            </w:r>
          </w:p>
        </w:tc>
        <w:tc>
          <w:tcPr/>
          <w:p>
            <w:pPr>
              <w:pStyle w:val="Compact"/>
              <w:jc w:val="left"/>
            </w:pPr>
            <w:r>
              <w:t xml:space="preserve">kg CO</w:t>
            </w:r>
            <w:r>
              <w:rPr>
                <w:vertAlign w:val="subscript"/>
              </w:rPr>
              <w:t xml:space="preserve">2</w:t>
            </w:r>
            <w:r>
              <w:t xml:space="preserve">e / unit</w:t>
            </w:r>
          </w:p>
        </w:tc>
      </w:tr>
      <w:tr>
        <w:tc>
          <w:tcPr/>
          <w:p>
            <w:pPr>
              <w:pStyle w:val="Compact"/>
              <w:jc w:val="left"/>
            </w:pPr>
            <w:r>
              <w:rPr>
                <w:bCs/>
                <w:b/>
              </w:rPr>
              <w:t xml:space="preserve">Scope 1: Stationary Combustion</w:t>
            </w:r>
          </w:p>
        </w:tc>
        <w:tc>
          <w:tcPr/>
          <w:p>
            <w:pPr>
              <w:pStyle w:val="Compact"/>
              <w:jc w:val="left"/>
            </w:pPr>
            <w:r>
              <w:t xml:space="preserve">115.00 m³ natural gas</w:t>
            </w:r>
          </w:p>
        </w:tc>
        <w:tc>
          <w:tcPr/>
          <w:p>
            <w:pPr>
              <w:pStyle w:val="Compact"/>
              <w:jc w:val="left"/>
            </w:pPr>
            <w:r>
              <w:t xml:space="preserve">2.02 kg CO</w:t>
            </w:r>
            <w:r>
              <w:rPr>
                <w:vertAlign w:val="subscript"/>
              </w:rPr>
              <w:t xml:space="preserve">2</w:t>
            </w:r>
            <w:r>
              <w:t xml:space="preserve">e / m³</w:t>
            </w:r>
          </w:p>
        </w:tc>
        <w:tc>
          <w:tcPr/>
          <w:p>
            <w:pPr>
              <w:pStyle w:val="Compact"/>
              <w:jc w:val="left"/>
            </w:pPr>
            <w:r>
              <w:t xml:space="preserve">ENARGAS / DEFRA</w:t>
            </w:r>
          </w:p>
        </w:tc>
        <w:tc>
          <w:tcPr/>
          <w:p>
            <w:pPr>
              <w:pStyle w:val="Compact"/>
              <w:jc w:val="left"/>
            </w:pPr>
            <w:r>
              <w:t xml:space="preserve">232.30</w:t>
            </w:r>
          </w:p>
        </w:tc>
      </w:tr>
      <w:tr>
        <w:tc>
          <w:tcPr/>
          <w:p>
            <w:pPr>
              <w:pStyle w:val="Compact"/>
              <w:jc w:val="left"/>
            </w:pPr>
            <w:r>
              <w:rPr>
                <w:bCs/>
                <w:b/>
              </w:rPr>
              <w:t xml:space="preserve">Scope 1: Mobile Combustion</w:t>
            </w:r>
          </w:p>
        </w:tc>
        <w:tc>
          <w:tcPr/>
          <w:p>
            <w:pPr>
              <w:pStyle w:val="Compact"/>
              <w:jc w:val="left"/>
            </w:pPr>
            <w:r>
              <w:t xml:space="preserve">4.20 L diesel</w:t>
            </w:r>
          </w:p>
        </w:tc>
        <w:tc>
          <w:tcPr/>
          <w:p>
            <w:pPr>
              <w:pStyle w:val="Compact"/>
              <w:jc w:val="left"/>
            </w:pPr>
            <w:r>
              <w:t xml:space="preserve">2.68 kg CO</w:t>
            </w:r>
            <w:r>
              <w:rPr>
                <w:vertAlign w:val="subscript"/>
              </w:rPr>
              <w:t xml:space="preserve">2</w:t>
            </w:r>
            <w:r>
              <w:t xml:space="preserve">e / Liter</w:t>
            </w:r>
          </w:p>
        </w:tc>
        <w:tc>
          <w:tcPr/>
          <w:p>
            <w:pPr>
              <w:pStyle w:val="Compact"/>
              <w:jc w:val="left"/>
            </w:pPr>
            <w:r>
              <w:t xml:space="preserve">DEFRA 2025/2026</w:t>
            </w:r>
          </w:p>
        </w:tc>
        <w:tc>
          <w:tcPr/>
          <w:p>
            <w:pPr>
              <w:pStyle w:val="Compact"/>
              <w:jc w:val="left"/>
            </w:pPr>
            <w:r>
              <w:t xml:space="preserve">11.26</w:t>
            </w:r>
          </w:p>
        </w:tc>
      </w:tr>
      <w:tr>
        <w:tc>
          <w:tcPr/>
          <w:p>
            <w:pPr>
              <w:pStyle w:val="Compact"/>
              <w:jc w:val="left"/>
            </w:pPr>
            <w:r>
              <w:rPr>
                <w:bCs/>
                <w:b/>
              </w:rPr>
              <w:t xml:space="preserve">Scope 1: Fugitive Refrigerant</w:t>
            </w:r>
          </w:p>
        </w:tc>
        <w:tc>
          <w:tcPr/>
          <w:p>
            <w:pPr>
              <w:pStyle w:val="Compact"/>
              <w:jc w:val="left"/>
            </w:pPr>
            <w:r>
              <w:t xml:space="preserve">0.025 kg R-134a</w:t>
            </w:r>
          </w:p>
        </w:tc>
        <w:tc>
          <w:tcPr/>
          <w:p>
            <w:pPr>
              <w:pStyle w:val="Compact"/>
              <w:jc w:val="left"/>
            </w:pPr>
            <w:r>
              <w:t xml:space="preserve">1,430.00 kg CO</w:t>
            </w:r>
            <w:r>
              <w:rPr>
                <w:vertAlign w:val="subscript"/>
              </w:rPr>
              <w:t xml:space="preserve">2</w:t>
            </w:r>
            <w:r>
              <w:t xml:space="preserve">e / kg (AR4 GWP)</w:t>
            </w:r>
          </w:p>
        </w:tc>
        <w:tc>
          <w:tcPr/>
          <w:p>
            <w:pPr>
              <w:pStyle w:val="Compact"/>
              <w:jc w:val="left"/>
            </w:pPr>
            <w:r>
              <w:t xml:space="preserve">IPCC / GHG Protocol</w:t>
            </w:r>
          </w:p>
        </w:tc>
        <w:tc>
          <w:tcPr/>
          <w:p>
            <w:pPr>
              <w:pStyle w:val="Compact"/>
              <w:jc w:val="left"/>
            </w:pPr>
            <w:r>
              <w:t xml:space="preserve">34.84</w:t>
            </w:r>
          </w:p>
        </w:tc>
      </w:tr>
      <w:tr>
        <w:tc>
          <w:tcPr/>
          <w:p>
            <w:pPr>
              <w:pStyle w:val="Compact"/>
              <w:jc w:val="left"/>
            </w:pPr>
            <w:r>
              <w:rPr>
                <w:bCs/>
                <w:b/>
              </w:rPr>
              <w:t xml:space="preserve">Scope 2: Location-Based Grid</w:t>
            </w:r>
          </w:p>
        </w:tc>
        <w:tc>
          <w:tcPr/>
          <w:p>
            <w:pPr>
              <w:pStyle w:val="Compact"/>
              <w:jc w:val="left"/>
            </w:pPr>
            <w:r>
              <w:t xml:space="preserve">650.00 kWh electricity</w:t>
            </w:r>
          </w:p>
        </w:tc>
        <w:tc>
          <w:tcPr/>
          <w:p>
            <w:pPr>
              <w:pStyle w:val="Compact"/>
              <w:jc w:val="left"/>
            </w:pPr>
            <w:r>
              <w:t xml:space="preserve">0.310 kg CO</w:t>
            </w:r>
            <w:r>
              <w:rPr>
                <w:vertAlign w:val="subscript"/>
              </w:rPr>
              <w:t xml:space="preserve">2</w:t>
            </w:r>
            <w:r>
              <w:t xml:space="preserve">e / kWh</w:t>
            </w:r>
          </w:p>
        </w:tc>
        <w:tc>
          <w:tcPr/>
          <w:p>
            <w:pPr>
              <w:pStyle w:val="Compact"/>
              <w:jc w:val="left"/>
            </w:pPr>
            <w:r>
              <w:t xml:space="preserve">CAMMESA 2026 (SADI)</w:t>
            </w:r>
          </w:p>
        </w:tc>
        <w:tc>
          <w:tcPr/>
          <w:p>
            <w:pPr>
              <w:pStyle w:val="Compact"/>
              <w:jc w:val="left"/>
            </w:pPr>
            <w:r>
              <w:t xml:space="preserve">201.50</w:t>
            </w:r>
          </w:p>
        </w:tc>
      </w:tr>
      <w:tr>
        <w:tc>
          <w:tcPr/>
          <w:p>
            <w:pPr>
              <w:pStyle w:val="Compact"/>
              <w:jc w:val="left"/>
            </w:pPr>
            <w:r>
              <w:rPr>
                <w:bCs/>
                <w:b/>
              </w:rPr>
              <w:t xml:space="preserve">Scope 3 Category 3: WTT &amp; T&amp;D</w:t>
            </w:r>
          </w:p>
        </w:tc>
        <w:tc>
          <w:tcPr/>
          <w:p>
            <w:pPr>
              <w:pStyle w:val="Compact"/>
              <w:jc w:val="left"/>
            </w:pPr>
            <w:r>
              <w:t xml:space="preserve">Electricity &amp; Fuel Upstream</w:t>
            </w:r>
          </w:p>
        </w:tc>
        <w:tc>
          <w:tcPr/>
          <w:p>
            <w:pPr>
              <w:pStyle w:val="Compact"/>
              <w:jc w:val="left"/>
            </w:pPr>
            <w:r>
              <w:t xml:space="preserve">Well-to-tank and transmission loss</w:t>
            </w:r>
          </w:p>
        </w:tc>
        <w:tc>
          <w:tcPr/>
          <w:p>
            <w:pPr>
              <w:pStyle w:val="Compact"/>
              <w:jc w:val="left"/>
            </w:pPr>
            <w:r>
              <w:t xml:space="preserve">IEA / DEFRA 2026</w:t>
            </w:r>
          </w:p>
        </w:tc>
        <w:tc>
          <w:tcPr/>
          <w:p>
            <w:pPr>
              <w:pStyle w:val="Compact"/>
              <w:jc w:val="left"/>
            </w:pPr>
            <w:r>
              <w:t xml:space="preserve">115.06</w:t>
            </w:r>
          </w:p>
        </w:tc>
      </w:tr>
      <w:tr>
        <w:tc>
          <w:tcPr/>
          <w:p>
            <w:pPr>
              <w:pStyle w:val="Compact"/>
              <w:jc w:val="left"/>
            </w:pPr>
            <w:r>
              <w:rPr>
                <w:bCs/>
                <w:b/>
              </w:rPr>
              <w:t xml:space="preserve">Total Facility Direct &amp; Energy</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rPr>
                <w:bCs/>
                <w:b/>
              </w:rPr>
              <w:t xml:space="preserve">594.96</w:t>
            </w:r>
          </w:p>
        </w:tc>
      </w:tr>
    </w:tbl>
    <w:bookmarkEnd w:id="30"/>
    <w:bookmarkStart w:id="31" w:name="Xc9d86395f26d1b6beea63ac8ac2e475c3c49032"/>
    <w:p>
      <w:pPr>
        <w:pStyle w:val="Heading3"/>
      </w:pPr>
      <w:r>
        <w:t xml:space="preserve">Table 4.5: Consolidated GHG Protocol Carbon Inventory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 Breakdown</w:t>
            </w:r>
          </w:p>
        </w:tc>
        <w:tc>
          <w:tcPr/>
          <w:p>
            <w:pPr>
              <w:pStyle w:val="Compact"/>
              <w:jc w:val="left"/>
            </w:pPr>
            <w:r>
              <w:t xml:space="preserve">Emissions (kg CO</w:t>
            </w:r>
            <w:r>
              <w:rPr>
                <w:vertAlign w:val="subscript"/>
              </w:rPr>
              <w:t xml:space="preserve">2</w:t>
            </w:r>
            <w:r>
              <w:t xml:space="preserve">e)</w:t>
            </w:r>
          </w:p>
        </w:tc>
        <w:tc>
          <w:tcPr/>
          <w:p>
            <w:pPr>
              <w:pStyle w:val="Compact"/>
              <w:jc w:val="left"/>
            </w:pPr>
            <w:r>
              <w:t xml:space="preserve">Percentage Share (%)</w:t>
            </w:r>
          </w:p>
        </w:tc>
        <w:tc>
          <w:tcPr/>
          <w:p>
            <w:pPr>
              <w:pStyle w:val="Compact"/>
              <w:jc w:val="left"/>
            </w:pPr>
            <w:r>
              <w:t xml:space="preserve">Reporting Status</w:t>
            </w:r>
          </w:p>
        </w:tc>
      </w:tr>
      <w:tr>
        <w:tc>
          <w:tcPr/>
          <w:p>
            <w:pPr>
              <w:pStyle w:val="Compact"/>
              <w:jc w:val="left"/>
            </w:pPr>
            <w:r>
              <w:rPr>
                <w:bCs/>
                <w:b/>
              </w:rPr>
              <w:t xml:space="preserve">Scope 1 (Direct Emissions)</w:t>
            </w:r>
          </w:p>
        </w:tc>
        <w:tc>
          <w:tcPr/>
          <w:p>
            <w:pPr>
              <w:pStyle w:val="Compact"/>
              <w:jc w:val="left"/>
            </w:pPr>
            <w:r>
              <w:t xml:space="preserve">278.40</w:t>
            </w:r>
          </w:p>
        </w:tc>
        <w:tc>
          <w:tcPr/>
          <w:p>
            <w:pPr>
              <w:pStyle w:val="Compact"/>
              <w:jc w:val="left"/>
            </w:pPr>
            <w:r>
              <w:t xml:space="preserve">3.82%</w:t>
            </w:r>
          </w:p>
        </w:tc>
        <w:tc>
          <w:tcPr/>
          <w:p>
            <w:pPr>
              <w:pStyle w:val="Compact"/>
              <w:jc w:val="left"/>
            </w:pPr>
            <w:r>
              <w:t xml:space="preserve">Mandatory</w:t>
            </w:r>
          </w:p>
        </w:tc>
      </w:tr>
      <w:tr>
        <w:tc>
          <w:tcPr/>
          <w:p>
            <w:pPr>
              <w:pStyle w:val="Compact"/>
              <w:jc w:val="left"/>
            </w:pPr>
            <w:r>
              <w:rPr>
                <w:bCs/>
                <w:b/>
              </w:rPr>
              <w:t xml:space="preserve">Scope 2 (Purchased Electricity)</w:t>
            </w:r>
          </w:p>
        </w:tc>
        <w:tc>
          <w:tcPr/>
          <w:p>
            <w:pPr>
              <w:pStyle w:val="Compact"/>
              <w:jc w:val="left"/>
            </w:pPr>
            <w:r>
              <w:t xml:space="preserve">201.50</w:t>
            </w:r>
          </w:p>
        </w:tc>
        <w:tc>
          <w:tcPr/>
          <w:p>
            <w:pPr>
              <w:pStyle w:val="Compact"/>
              <w:jc w:val="left"/>
            </w:pPr>
            <w:r>
              <w:t xml:space="preserve">2.77%</w:t>
            </w:r>
          </w:p>
        </w:tc>
        <w:tc>
          <w:tcPr/>
          <w:p>
            <w:pPr>
              <w:pStyle w:val="Compact"/>
              <w:jc w:val="left"/>
            </w:pPr>
            <w:r>
              <w:t xml:space="preserve">Mandatory</w:t>
            </w:r>
          </w:p>
        </w:tc>
      </w:tr>
      <w:tr>
        <w:tc>
          <w:tcPr/>
          <w:p>
            <w:pPr>
              <w:pStyle w:val="Compact"/>
              <w:jc w:val="left"/>
            </w:pPr>
            <w:r>
              <w:rPr>
                <w:bCs/>
                <w:b/>
              </w:rPr>
              <w:t xml:space="preserve">Scope 3, Cat 1: Purchased Goods (Fossil)</w:t>
            </w:r>
          </w:p>
        </w:tc>
        <w:tc>
          <w:tcPr/>
          <w:p>
            <w:pPr>
              <w:pStyle w:val="Compact"/>
              <w:jc w:val="left"/>
            </w:pPr>
            <w:r>
              <w:t xml:space="preserve">6,247.18</w:t>
            </w:r>
          </w:p>
        </w:tc>
        <w:tc>
          <w:tcPr/>
          <w:p>
            <w:pPr>
              <w:pStyle w:val="Compact"/>
              <w:jc w:val="left"/>
            </w:pPr>
            <w:r>
              <w:t xml:space="preserve">85.76%</w:t>
            </w:r>
          </w:p>
        </w:tc>
        <w:tc>
          <w:tcPr/>
          <w:p>
            <w:pPr>
              <w:pStyle w:val="Compact"/>
              <w:jc w:val="left"/>
            </w:pPr>
            <w:r>
              <w:t xml:space="preserve">Mandatory (&gt;95% Rule)</w:t>
            </w:r>
          </w:p>
        </w:tc>
      </w:tr>
      <w:tr>
        <w:tc>
          <w:tcPr/>
          <w:p>
            <w:pPr>
              <w:pStyle w:val="Compact"/>
              <w:jc w:val="left"/>
            </w:pPr>
            <w:r>
              <w:rPr>
                <w:bCs/>
                <w:b/>
              </w:rPr>
              <w:t xml:space="preserve">Scope 3, Cat 1: 2026 LSR Net Land Impact</w:t>
            </w:r>
          </w:p>
        </w:tc>
        <w:tc>
          <w:tcPr/>
          <w:p>
            <w:pPr>
              <w:pStyle w:val="Compact"/>
              <w:jc w:val="left"/>
            </w:pPr>
            <w:r>
              <w:t xml:space="preserve">27.36</w:t>
            </w:r>
          </w:p>
        </w:tc>
        <w:tc>
          <w:tcPr/>
          <w:p>
            <w:pPr>
              <w:pStyle w:val="Compact"/>
              <w:jc w:val="left"/>
            </w:pPr>
            <w:r>
              <w:t xml:space="preserve">0.38%</w:t>
            </w:r>
          </w:p>
        </w:tc>
        <w:tc>
          <w:tcPr/>
          <w:p>
            <w:pPr>
              <w:pStyle w:val="Compact"/>
              <w:jc w:val="left"/>
            </w:pPr>
            <w:r>
              <w:t xml:space="preserve">Mandatory (LSR Standard)</w:t>
            </w:r>
          </w:p>
        </w:tc>
      </w:tr>
      <w:tr>
        <w:tc>
          <w:tcPr/>
          <w:p>
            <w:pPr>
              <w:pStyle w:val="Compact"/>
              <w:jc w:val="left"/>
            </w:pPr>
            <w:r>
              <w:rPr>
                <w:bCs/>
                <w:b/>
              </w:rPr>
              <w:t xml:space="preserve">Scope 3, Cat 3: Fuel &amp; Energy Related</w:t>
            </w:r>
          </w:p>
        </w:tc>
        <w:tc>
          <w:tcPr/>
          <w:p>
            <w:pPr>
              <w:pStyle w:val="Compact"/>
              <w:jc w:val="left"/>
            </w:pPr>
            <w:r>
              <w:t xml:space="preserve">115.06</w:t>
            </w:r>
          </w:p>
        </w:tc>
        <w:tc>
          <w:tcPr/>
          <w:p>
            <w:pPr>
              <w:pStyle w:val="Compact"/>
              <w:jc w:val="left"/>
            </w:pPr>
            <w:r>
              <w:t xml:space="preserve">1.58%</w:t>
            </w:r>
          </w:p>
        </w:tc>
        <w:tc>
          <w:tcPr/>
          <w:p>
            <w:pPr>
              <w:pStyle w:val="Compact"/>
              <w:jc w:val="left"/>
            </w:pPr>
            <w:r>
              <w:t xml:space="preserve">Included</w:t>
            </w:r>
          </w:p>
        </w:tc>
      </w:tr>
      <w:tr>
        <w:tc>
          <w:tcPr/>
          <w:p>
            <w:pPr>
              <w:pStyle w:val="Compact"/>
              <w:jc w:val="left"/>
            </w:pPr>
            <w:r>
              <w:rPr>
                <w:bCs/>
                <w:b/>
              </w:rPr>
              <w:t xml:space="preserve">Scope 3, Cat 4: Upstream Freight Logistics</w:t>
            </w:r>
          </w:p>
        </w:tc>
        <w:tc>
          <w:tcPr/>
          <w:p>
            <w:pPr>
              <w:pStyle w:val="Compact"/>
              <w:jc w:val="left"/>
            </w:pPr>
            <w:r>
              <w:t xml:space="preserve">406.88</w:t>
            </w:r>
          </w:p>
        </w:tc>
        <w:tc>
          <w:tcPr/>
          <w:p>
            <w:pPr>
              <w:pStyle w:val="Compact"/>
              <w:jc w:val="left"/>
            </w:pPr>
            <w:r>
              <w:t xml:space="preserve">5.59%</w:t>
            </w:r>
          </w:p>
        </w:tc>
        <w:tc>
          <w:tcPr/>
          <w:p>
            <w:pPr>
              <w:pStyle w:val="Compact"/>
              <w:jc w:val="left"/>
            </w:pPr>
            <w:r>
              <w:t xml:space="preserve">Included (With 30 km Sea)</w:t>
            </w:r>
          </w:p>
        </w:tc>
      </w:tr>
      <w:tr>
        <w:tc>
          <w:tcPr/>
          <w:p>
            <w:pPr>
              <w:pStyle w:val="Compact"/>
              <w:jc w:val="left"/>
            </w:pPr>
            <w:r>
              <w:rPr>
                <w:iCs/>
                <w:i/>
              </w:rPr>
              <w:t xml:space="preserve">- of which Mandated Sea Leg (30 km)</w:t>
            </w:r>
          </w:p>
        </w:tc>
        <w:tc>
          <w:tcPr/>
          <w:p>
            <w:pPr>
              <w:pStyle w:val="Compact"/>
              <w:jc w:val="left"/>
            </w:pPr>
            <w:r>
              <w:rPr>
                <w:iCs/>
                <w:i/>
              </w:rPr>
              <w:t xml:space="preserve">0.70</w:t>
            </w:r>
          </w:p>
        </w:tc>
        <w:tc>
          <w:tcPr/>
          <w:p>
            <w:pPr>
              <w:pStyle w:val="Compact"/>
              <w:jc w:val="left"/>
            </w:pPr>
            <w:r>
              <w:rPr>
                <w:iCs/>
                <w:i/>
              </w:rPr>
              <w:t xml:space="preserve">0.01%</w:t>
            </w:r>
          </w:p>
        </w:tc>
        <w:tc>
          <w:tcPr/>
          <w:p>
            <w:pPr>
              <w:pStyle w:val="Compact"/>
              <w:jc w:val="left"/>
            </w:pPr>
            <w:r>
              <w:rPr>
                <w:iCs/>
                <w:i/>
              </w:rPr>
              <w:t xml:space="preserve">Audited Sub-item</w:t>
            </w:r>
          </w:p>
        </w:tc>
      </w:tr>
      <w:tr>
        <w:tc>
          <w:tcPr/>
          <w:p>
            <w:pPr>
              <w:pStyle w:val="Compact"/>
              <w:jc w:val="left"/>
            </w:pPr>
            <w:r>
              <w:rPr>
                <w:bCs/>
                <w:b/>
              </w:rPr>
              <w:t xml:space="preserve">Total Cradle-to-Gate Carbon Footprint</w:t>
            </w:r>
          </w:p>
        </w:tc>
        <w:tc>
          <w:tcPr/>
          <w:p>
            <w:pPr>
              <w:pStyle w:val="Compact"/>
              <w:jc w:val="left"/>
            </w:pPr>
            <w:r>
              <w:rPr>
                <w:bCs/>
                <w:b/>
              </w:rPr>
              <w:t xml:space="preserve">7,284.18</w:t>
            </w:r>
          </w:p>
        </w:tc>
        <w:tc>
          <w:tcPr/>
          <w:p>
            <w:pPr>
              <w:pStyle w:val="Compact"/>
              <w:jc w:val="left"/>
            </w:pPr>
            <w:r>
              <w:rPr>
                <w:bCs/>
                <w:b/>
              </w:rPr>
              <w:t xml:space="preserve">100.00%</w:t>
            </w:r>
          </w:p>
        </w:tc>
        <w:tc>
          <w:tcPr/>
          <w:p>
            <w:pPr>
              <w:pStyle w:val="Compact"/>
              <w:jc w:val="left"/>
            </w:pPr>
            <w:r>
              <w:rPr>
                <w:bCs/>
                <w:b/>
              </w:rPr>
              <w:t xml:space="preserve">GHG Product Compliant</w:t>
            </w:r>
          </w:p>
        </w:tc>
      </w:tr>
    </w:tbl>
    <w:p>
      <w:r>
        <w:pict>
          <v:rect style="width:0;height:1.5pt" o:hralign="center" o:hrstd="t" o:hr="t"/>
        </w:pict>
      </w:r>
    </w:p>
    <w:bookmarkEnd w:id="31"/>
    <w:bookmarkEnd w:id="32"/>
    <w:bookmarkStart w:id="37" w:name="X90023bd73d3248e433bc09cdb1f1b5642a88211"/>
    <w:p>
      <w:pPr>
        <w:pStyle w:val="Heading2"/>
      </w:pPr>
      <w:r>
        <w:t xml:space="preserve">Step 5: Review, Hotspot Analysis &amp; Verification</w:t>
      </w:r>
    </w:p>
    <w:bookmarkStart w:id="33" w:name="carbon-hotspot-identification"/>
    <w:p>
      <w:pPr>
        <w:pStyle w:val="Heading3"/>
      </w:pPr>
      <w:r>
        <w:t xml:space="preserve">Carbon Hotspot Identification</w:t>
      </w:r>
    </w:p>
    <w:p>
      <w:pPr>
        <w:pStyle w:val="FirstParagraph"/>
      </w:pPr>
      <w:r>
        <w:t xml:space="preserve">An analysis of the cumulative 7,284.18 kg CO</w:t>
      </w:r>
      <w:r>
        <w:rPr>
          <w:vertAlign w:val="subscript"/>
        </w:rPr>
        <w:t xml:space="preserve">2</w:t>
      </w:r>
      <w:r>
        <w:t xml:space="preserve">e reveals sharp structural hotspots along the automotive supply chain:</w:t>
      </w:r>
    </w:p>
    <w:p>
      <w:pPr>
        <w:numPr>
          <w:ilvl w:val="0"/>
          <w:numId w:val="1003"/>
        </w:numPr>
        <w:pStyle w:val="Compact"/>
      </w:pPr>
      <w:r>
        <w:rPr>
          <w:bCs/>
          <w:b/>
        </w:rPr>
        <w:t xml:space="preserve">Primary Metals (Hotspot 1 - 43.5% of total):</w:t>
      </w:r>
      <w:r>
        <w:t xml:space="preserve"> </w:t>
      </w:r>
      <w:r>
        <w:t xml:space="preserve">Structural steel (1,773.75 kg CO</w:t>
      </w:r>
      <w:r>
        <w:rPr>
          <w:vertAlign w:val="subscript"/>
        </w:rPr>
        <w:t xml:space="preserve">2</w:t>
      </w:r>
      <w:r>
        <w:t xml:space="preserve">e) and aluminum components (1,394.25 kg CO</w:t>
      </w:r>
      <w:r>
        <w:rPr>
          <w:vertAlign w:val="subscript"/>
        </w:rPr>
        <w:t xml:space="preserve">2</w:t>
      </w:r>
      <w:r>
        <w:t xml:space="preserve">e) generate 3,168.00 kg CO</w:t>
      </w:r>
      <w:r>
        <w:rPr>
          <w:vertAlign w:val="subscript"/>
        </w:rPr>
        <w:t xml:space="preserve">2</w:t>
      </w:r>
      <w:r>
        <w:t xml:space="preserve">e combined. The high carbon intensity of conventional blast furnace steel and virgin aluminum smelting drives this concentration.</w:t>
      </w:r>
    </w:p>
    <w:p>
      <w:pPr>
        <w:numPr>
          <w:ilvl w:val="0"/>
          <w:numId w:val="1003"/>
        </w:numPr>
        <w:pStyle w:val="Compact"/>
      </w:pPr>
      <w:r>
        <w:rPr>
          <w:bCs/>
          <w:b/>
        </w:rPr>
        <w:t xml:space="preserve">Electrical &amp; Electronic Architectures (Hotspot 2 - 14.2% of total):</w:t>
      </w:r>
      <w:r>
        <w:t xml:space="preserve"> </w:t>
      </w:r>
      <w:r>
        <w:t xml:space="preserve">Electronic control units, sensors, and copper cabling represent 1,032.00 kg CO</w:t>
      </w:r>
      <w:r>
        <w:rPr>
          <w:vertAlign w:val="subscript"/>
        </w:rPr>
        <w:t xml:space="preserve">2</w:t>
      </w:r>
      <w:r>
        <w:t xml:space="preserve">e despite contributing only 48 kg (3.3%) to vehicle mass, reflecting the high energy intensity of semiconductor cleanrooms and copper pyrometallurgy.</w:t>
      </w:r>
    </w:p>
    <w:p>
      <w:pPr>
        <w:numPr>
          <w:ilvl w:val="0"/>
          <w:numId w:val="1003"/>
        </w:numPr>
        <w:pStyle w:val="Compact"/>
      </w:pPr>
      <w:r>
        <w:rPr>
          <w:bCs/>
          <w:b/>
        </w:rPr>
        <w:t xml:space="preserve">Assembly Paint Operations (Hotspot 3 - 6.0% of total):</w:t>
      </w:r>
      <w:r>
        <w:t xml:space="preserve"> </w:t>
      </w:r>
      <w:r>
        <w:t xml:space="preserve">Inside the Argentine facility gate, paint shop thermal curing oxidizers account for the majority of Scope 1 natural gas consumption (232.30 kg CO</w:t>
      </w:r>
      <w:r>
        <w:rPr>
          <w:vertAlign w:val="subscript"/>
        </w:rPr>
        <w:t xml:space="preserve">2</w:t>
      </w:r>
      <w:r>
        <w:t xml:space="preserve">e).</w:t>
      </w:r>
    </w:p>
    <w:p>
      <w:pPr>
        <w:numPr>
          <w:ilvl w:val="0"/>
          <w:numId w:val="1003"/>
        </w:numPr>
        <w:pStyle w:val="Compact"/>
      </w:pPr>
      <w:r>
        <w:rPr>
          <w:bCs/>
          <w:b/>
        </w:rPr>
        <w:t xml:space="preserve">Designated Sea Logistics Sensitivity:</w:t>
      </w:r>
      <w:r>
        <w:t xml:space="preserve"> </w:t>
      </w:r>
      <w:r>
        <w:t xml:space="preserve">The mandated 30 km sea freight segment yields 0.70 kg CO</w:t>
      </w:r>
      <w:r>
        <w:rPr>
          <w:vertAlign w:val="subscript"/>
        </w:rPr>
        <w:t xml:space="preserve">2</w:t>
      </w:r>
      <w:r>
        <w:t xml:space="preserve">e. Maritime transport is exceptionally carbon-efficient on a ton-kilometer basis (0.0161 kg CO</w:t>
      </w:r>
      <w:r>
        <w:rPr>
          <w:vertAlign w:val="subscript"/>
        </w:rPr>
        <w:t xml:space="preserve">2</w:t>
      </w:r>
      <w:r>
        <w:t xml:space="preserve">e/tkm); emissions remain low even for heavy automotive assemblies.</w:t>
      </w:r>
    </w:p>
    <w:bookmarkEnd w:id="33"/>
    <w:bookmarkStart w:id="34" w:name="scope-3-compliance-lsr-standard-audit"/>
    <w:p>
      <w:pPr>
        <w:pStyle w:val="Heading3"/>
      </w:pPr>
      <w:r>
        <w:t xml:space="preserve">2026 Scope 3 Compliance &amp; LSR Standard Audit</w:t>
      </w:r>
    </w:p>
    <w:p>
      <w:pPr>
        <w:pStyle w:val="FirstParagraph"/>
      </w:pPr>
      <w:r>
        <w:t xml:space="preserve">In accordance with 2026 GHG Protocol reporting criteria:</w:t>
      </w:r>
    </w:p>
    <w:p>
      <w:pPr>
        <w:numPr>
          <w:ilvl w:val="0"/>
          <w:numId w:val="1004"/>
        </w:numPr>
        <w:pStyle w:val="Compact"/>
      </w:pPr>
      <w:r>
        <w:rPr>
          <w:bCs/>
          <w:b/>
        </w:rPr>
        <w:t xml:space="preserve">Scope 3 Coverage Verification:</w:t>
      </w:r>
      <w:r>
        <w:t xml:space="preserve"> </w:t>
      </w:r>
      <w:r>
        <w:t xml:space="preserve">The assessed upstream Scope 3 inventory covers</w:t>
      </w:r>
      <w:r>
        <w:t xml:space="preserve"> </w:t>
      </w:r>
      <w:r>
        <w:rPr>
          <w:bCs/>
          <w:b/>
        </w:rPr>
        <w:t xml:space="preserve">98.4%</w:t>
      </w:r>
      <w:r>
        <w:t xml:space="preserve"> </w:t>
      </w:r>
      <w:r>
        <w:t xml:space="preserve">of estimated cradle-to-gate value chain impacts, safely exceeding the mandatory 95% threshold. Excluded elements are limited to low-impact factory consumables and minor administrative overhead.</w:t>
      </w:r>
    </w:p>
    <w:p>
      <w:pPr>
        <w:numPr>
          <w:ilvl w:val="0"/>
          <w:numId w:val="1004"/>
        </w:numPr>
        <w:pStyle w:val="Compact"/>
      </w:pPr>
      <w:r>
        <w:rPr>
          <w:bCs/>
          <w:b/>
        </w:rPr>
        <w:t xml:space="preserve">2026 LSR Standard Conformity:</w:t>
      </w:r>
      <w:r>
        <w:t xml:space="preserve"> </w:t>
      </w:r>
      <w:r>
        <w:t xml:space="preserve">Biogenic accounting has been performed without illicit netting. Gross land-use emissions (42.16 kg CO</w:t>
      </w:r>
      <w:r>
        <w:rPr>
          <w:vertAlign w:val="subscript"/>
        </w:rPr>
        <w:t xml:space="preserve">2</w:t>
      </w:r>
      <w:r>
        <w:t xml:space="preserve">e) and permanent/semi-permanent removals incorporated into technical rubber/textile products (-14.80 kg CO</w:t>
      </w:r>
      <w:r>
        <w:rPr>
          <w:vertAlign w:val="subscript"/>
        </w:rPr>
        <w:t xml:space="preserve">2</w:t>
      </w:r>
      <w:r>
        <w:t xml:space="preserve">e) are transparently disclosed.</w:t>
      </w:r>
    </w:p>
    <w:bookmarkEnd w:id="34"/>
    <w:bookmarkStart w:id="35" w:name="Xc78ab13519d69f394c77ddea3c46a750ec19980"/>
    <w:p>
      <w:pPr>
        <w:pStyle w:val="Heading3"/>
      </w:pPr>
      <w:r>
        <w:t xml:space="preserve">Table 5.1: Data Quality Indicators (DQI) &amp; Uncertainty Assessment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Segment</w:t>
            </w:r>
          </w:p>
        </w:tc>
        <w:tc>
          <w:tcPr/>
          <w:p>
            <w:pPr>
              <w:pStyle w:val="Compact"/>
              <w:jc w:val="left"/>
            </w:pPr>
            <w:r>
              <w:t xml:space="preserve">Data Type</w:t>
            </w:r>
          </w:p>
        </w:tc>
        <w:tc>
          <w:tcPr/>
          <w:p>
            <w:pPr>
              <w:pStyle w:val="Compact"/>
              <w:jc w:val="left"/>
            </w:pPr>
            <w:r>
              <w:t xml:space="preserve">Temporal / Geo Quality</w:t>
            </w:r>
          </w:p>
        </w:tc>
        <w:tc>
          <w:tcPr/>
          <w:p>
            <w:pPr>
              <w:pStyle w:val="Compact"/>
              <w:jc w:val="left"/>
            </w:pPr>
            <w:r>
              <w:t xml:space="preserve">Uncertainty (±%)</w:t>
            </w:r>
          </w:p>
        </w:tc>
        <w:tc>
          <w:tcPr/>
          <w:p>
            <w:pPr>
              <w:pStyle w:val="Compact"/>
              <w:jc w:val="left"/>
            </w:pPr>
            <w:r>
              <w:t xml:space="preserve">Confidence Grade</w:t>
            </w:r>
          </w:p>
        </w:tc>
      </w:tr>
      <w:tr>
        <w:tc>
          <w:tcPr/>
          <w:p>
            <w:pPr>
              <w:pStyle w:val="Compact"/>
              <w:jc w:val="left"/>
            </w:pPr>
            <w:r>
              <w:t xml:space="preserve">Direct Assembly (Scope 1 &amp; 2)</w:t>
            </w:r>
          </w:p>
        </w:tc>
        <w:tc>
          <w:tcPr/>
          <w:p>
            <w:pPr>
              <w:pStyle w:val="Compact"/>
              <w:jc w:val="left"/>
            </w:pPr>
            <w:r>
              <w:t xml:space="preserve">Primary Facility Meters</w:t>
            </w:r>
          </w:p>
        </w:tc>
        <w:tc>
          <w:tcPr/>
          <w:p>
            <w:pPr>
              <w:pStyle w:val="Compact"/>
              <w:jc w:val="left"/>
            </w:pPr>
            <w:r>
              <w:t xml:space="preserve">2025/2026 (Argentina)</w:t>
            </w:r>
          </w:p>
        </w:tc>
        <w:tc>
          <w:tcPr/>
          <w:p>
            <w:pPr>
              <w:pStyle w:val="Compact"/>
              <w:jc w:val="left"/>
            </w:pPr>
            <w:r>
              <w:t xml:space="preserve">± 2.5%</w:t>
            </w:r>
          </w:p>
        </w:tc>
        <w:tc>
          <w:tcPr/>
          <w:p>
            <w:pPr>
              <w:pStyle w:val="Compact"/>
              <w:jc w:val="left"/>
            </w:pPr>
            <w:r>
              <w:t xml:space="preserve">High (Tier 1 Quality)</w:t>
            </w:r>
          </w:p>
        </w:tc>
      </w:tr>
      <w:tr>
        <w:tc>
          <w:tcPr/>
          <w:p>
            <w:pPr>
              <w:pStyle w:val="Compact"/>
              <w:jc w:val="left"/>
            </w:pPr>
            <w:r>
              <w:t xml:space="preserve">Upstream Metals &amp; Plastics</w:t>
            </w:r>
          </w:p>
        </w:tc>
        <w:tc>
          <w:tcPr/>
          <w:p>
            <w:pPr>
              <w:pStyle w:val="Compact"/>
              <w:jc w:val="left"/>
            </w:pPr>
            <w:r>
              <w:t xml:space="preserve">Secondary / BOM Verified</w:t>
            </w:r>
          </w:p>
        </w:tc>
        <w:tc>
          <w:tcPr/>
          <w:p>
            <w:pPr>
              <w:pStyle w:val="Compact"/>
              <w:jc w:val="left"/>
            </w:pPr>
            <w:r>
              <w:t xml:space="preserve">2024–2026 (Europe / Global)</w:t>
            </w:r>
          </w:p>
        </w:tc>
        <w:tc>
          <w:tcPr/>
          <w:p>
            <w:pPr>
              <w:pStyle w:val="Compact"/>
              <w:jc w:val="left"/>
            </w:pPr>
            <w:r>
              <w:t xml:space="preserve">± 6.0%</w:t>
            </w:r>
          </w:p>
        </w:tc>
        <w:tc>
          <w:tcPr/>
          <w:p>
            <w:pPr>
              <w:pStyle w:val="Compact"/>
              <w:jc w:val="left"/>
            </w:pPr>
            <w:r>
              <w:t xml:space="preserve">High (Verified LCA)</w:t>
            </w:r>
          </w:p>
        </w:tc>
      </w:tr>
      <w:tr>
        <w:tc>
          <w:tcPr/>
          <w:p>
            <w:pPr>
              <w:pStyle w:val="Compact"/>
              <w:jc w:val="left"/>
            </w:pPr>
            <w:r>
              <w:t xml:space="preserve">Electronics &amp; Semiconductors</w:t>
            </w:r>
          </w:p>
        </w:tc>
        <w:tc>
          <w:tcPr/>
          <w:p>
            <w:pPr>
              <w:pStyle w:val="Compact"/>
              <w:jc w:val="left"/>
            </w:pPr>
            <w:r>
              <w:t xml:space="preserve">Secondary / Generic Ecoinvent</w:t>
            </w:r>
          </w:p>
        </w:tc>
        <w:tc>
          <w:tcPr/>
          <w:p>
            <w:pPr>
              <w:pStyle w:val="Compact"/>
              <w:jc w:val="left"/>
            </w:pPr>
            <w:r>
              <w:t xml:space="preserve">2023–2025 (Global / EU)</w:t>
            </w:r>
          </w:p>
        </w:tc>
        <w:tc>
          <w:tcPr/>
          <w:p>
            <w:pPr>
              <w:pStyle w:val="Compact"/>
              <w:jc w:val="left"/>
            </w:pPr>
            <w:r>
              <w:t xml:space="preserve">± 14.0%</w:t>
            </w:r>
          </w:p>
        </w:tc>
        <w:tc>
          <w:tcPr/>
          <w:p>
            <w:pPr>
              <w:pStyle w:val="Compact"/>
              <w:jc w:val="left"/>
            </w:pPr>
            <w:r>
              <w:t xml:space="preserve">Medium (Rapid innovation)</w:t>
            </w:r>
          </w:p>
        </w:tc>
      </w:tr>
      <w:tr>
        <w:tc>
          <w:tcPr/>
          <w:p>
            <w:pPr>
              <w:pStyle w:val="Compact"/>
              <w:jc w:val="left"/>
            </w:pPr>
            <w:r>
              <w:t xml:space="preserve">Logistics &amp; 30 km Sea Leg</w:t>
            </w:r>
          </w:p>
        </w:tc>
        <w:tc>
          <w:tcPr/>
          <w:p>
            <w:pPr>
              <w:pStyle w:val="Compact"/>
              <w:jc w:val="left"/>
            </w:pPr>
            <w:r>
              <w:t xml:space="preserve">Primary Distances / DEFRA EF</w:t>
            </w:r>
          </w:p>
        </w:tc>
        <w:tc>
          <w:tcPr/>
          <w:p>
            <w:pPr>
              <w:pStyle w:val="Compact"/>
              <w:jc w:val="left"/>
            </w:pPr>
            <w:r>
              <w:t xml:space="preserve">2025/2026 (Mercosur / Atlantic)</w:t>
            </w:r>
          </w:p>
        </w:tc>
        <w:tc>
          <w:tcPr/>
          <w:p>
            <w:pPr>
              <w:pStyle w:val="Compact"/>
              <w:jc w:val="left"/>
            </w:pPr>
            <w:r>
              <w:t xml:space="preserve">± 4.0%</w:t>
            </w:r>
          </w:p>
        </w:tc>
        <w:tc>
          <w:tcPr/>
          <w:p>
            <w:pPr>
              <w:pStyle w:val="Compact"/>
              <w:jc w:val="left"/>
            </w:pPr>
            <w:r>
              <w:t xml:space="preserve">High (Precise distance)</w:t>
            </w:r>
          </w:p>
        </w:tc>
      </w:tr>
      <w:tr>
        <w:tc>
          <w:tcPr/>
          <w:p>
            <w:pPr>
              <w:pStyle w:val="Compact"/>
              <w:jc w:val="left"/>
            </w:pPr>
            <w:r>
              <w:t xml:space="preserve">Land Sector &amp; Removals (LSR)</w:t>
            </w:r>
          </w:p>
        </w:tc>
        <w:tc>
          <w:tcPr/>
          <w:p>
            <w:pPr>
              <w:pStyle w:val="Compact"/>
              <w:jc w:val="left"/>
            </w:pPr>
            <w:r>
              <w:t xml:space="preserve">Tier-2 Supplier Attestations</w:t>
            </w:r>
          </w:p>
        </w:tc>
        <w:tc>
          <w:tcPr/>
          <w:p>
            <w:pPr>
              <w:pStyle w:val="Compact"/>
              <w:jc w:val="left"/>
            </w:pPr>
            <w:r>
              <w:t xml:space="preserve">2025/2026 (Global Agro)</w:t>
            </w:r>
          </w:p>
        </w:tc>
        <w:tc>
          <w:tcPr/>
          <w:p>
            <w:pPr>
              <w:pStyle w:val="Compact"/>
              <w:jc w:val="left"/>
            </w:pPr>
            <w:r>
              <w:t xml:space="preserve">± 12.0%</w:t>
            </w:r>
          </w:p>
        </w:tc>
        <w:tc>
          <w:tcPr/>
          <w:p>
            <w:pPr>
              <w:pStyle w:val="Compact"/>
              <w:jc w:val="left"/>
            </w:pPr>
            <w:r>
              <w:t xml:space="preserve">Medium-High</w:t>
            </w:r>
          </w:p>
        </w:tc>
      </w:tr>
    </w:tbl>
    <w:bookmarkEnd w:id="35"/>
    <w:bookmarkStart w:id="36" w:name="targeted-decarbonization-roadmap"/>
    <w:p>
      <w:pPr>
        <w:pStyle w:val="Heading3"/>
      </w:pPr>
      <w:r>
        <w:t xml:space="preserve">Targeted Decarbonization Roadmap</w:t>
      </w:r>
    </w:p>
    <w:p>
      <w:pPr>
        <w:numPr>
          <w:ilvl w:val="0"/>
          <w:numId w:val="1005"/>
        </w:numPr>
        <w:pStyle w:val="Compact"/>
      </w:pPr>
      <w:r>
        <w:rPr>
          <w:bCs/>
          <w:b/>
        </w:rPr>
        <w:t xml:space="preserve">Recycled Steel &amp; Secondary Aluminum:</w:t>
      </w:r>
      <w:r>
        <w:t xml:space="preserve"> </w:t>
      </w:r>
      <w:r>
        <w:t xml:space="preserve">Transitioning body panels to ≥50% recycled electric arc furnace (EAF) steel and scrap-recycled aluminum would reduce Scope 3 Category 1 emissions by</w:t>
      </w:r>
      <w:r>
        <w:t xml:space="preserve"> </w:t>
      </w:r>
      <w:r>
        <w:rPr>
          <w:bCs/>
          <w:b/>
        </w:rPr>
        <w:t xml:space="preserve">1,240 kg CO</w:t>
      </w:r>
      <w:r>
        <w:rPr>
          <w:vertAlign w:val="subscript"/>
          <w:bCs/>
          <w:b/>
        </w:rPr>
        <w:t xml:space="preserve">2</w:t>
      </w:r>
      <w:r>
        <w:rPr>
          <w:bCs/>
          <w:b/>
        </w:rPr>
        <w:t xml:space="preserve">e per vehicle (-17.0% overall)</w:t>
      </w:r>
      <w:r>
        <w:t xml:space="preserve">.</w:t>
      </w:r>
    </w:p>
    <w:p>
      <w:pPr>
        <w:numPr>
          <w:ilvl w:val="0"/>
          <w:numId w:val="1005"/>
        </w:numPr>
        <w:pStyle w:val="Compact"/>
      </w:pPr>
      <w:r>
        <w:rPr>
          <w:bCs/>
          <w:b/>
        </w:rPr>
        <w:t xml:space="preserve">Paint Shop Electrification:</w:t>
      </w:r>
      <w:r>
        <w:t xml:space="preserve"> </w:t>
      </w:r>
      <w:r>
        <w:t xml:space="preserve">Replacing natural gas curing ovens with high-temperature industrial heat pumps and infrared curing at the Argentina facility would mitigate Scope 1 emissions by</w:t>
      </w:r>
      <w:r>
        <w:t xml:space="preserve"> </w:t>
      </w:r>
      <w:r>
        <w:rPr>
          <w:bCs/>
          <w:b/>
        </w:rPr>
        <w:t xml:space="preserve">185 kg CO</w:t>
      </w:r>
      <w:r>
        <w:rPr>
          <w:vertAlign w:val="subscript"/>
          <w:bCs/>
          <w:b/>
        </w:rPr>
        <w:t xml:space="preserve">2</w:t>
      </w:r>
      <w:r>
        <w:rPr>
          <w:bCs/>
          <w:b/>
        </w:rPr>
        <w:t xml:space="preserve">e per vehicle</w:t>
      </w:r>
      <w:r>
        <w:t xml:space="preserve">.</w:t>
      </w:r>
    </w:p>
    <w:p>
      <w:pPr>
        <w:numPr>
          <w:ilvl w:val="0"/>
          <w:numId w:val="1005"/>
        </w:numPr>
        <w:pStyle w:val="Compact"/>
      </w:pPr>
      <w:r>
        <w:rPr>
          <w:bCs/>
          <w:b/>
        </w:rPr>
        <w:t xml:space="preserve">Renewable Power Purchase Agreements (PPAs):</w:t>
      </w:r>
      <w:r>
        <w:t xml:space="preserve"> </w:t>
      </w:r>
      <w:r>
        <w:t xml:space="preserve">Sourcing 100% certified wind/solar electricity for the Argentine assembly plant via the MATER market would reduce Scope 2 emissions to zero, saving</w:t>
      </w:r>
      <w:r>
        <w:t xml:space="preserve"> </w:t>
      </w:r>
      <w:r>
        <w:rPr>
          <w:bCs/>
          <w:b/>
        </w:rPr>
        <w:t xml:space="preserve">201.50 kg CO</w:t>
      </w:r>
      <w:r>
        <w:rPr>
          <w:vertAlign w:val="subscript"/>
          <w:bCs/>
          <w:b/>
        </w:rPr>
        <w:t xml:space="preserve">2</w:t>
      </w:r>
      <w:r>
        <w:rPr>
          <w:bCs/>
          <w:b/>
        </w:rPr>
        <w:t xml:space="preserve">e per vehicle</w:t>
      </w:r>
      <w:r>
        <w:t xml:space="preserve">.</w:t>
      </w:r>
    </w:p>
    <w:p>
      <w:pPr>
        <w:pStyle w:val="FirstParagraph"/>
      </w:pPr>
      <w:r>
        <w:t xml:space="preserve">Product Carbon Footprint Report • Accounting Standard: GHG Protocol</w:t>
      </w:r>
      <w:r>
        <w:t xml:space="preserve"> </w:t>
      </w:r>
      <w:r>
        <w:t xml:space="preserve">Confidential - Internal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Report - Passenger Vehicle (Car)</dc:title>
  <dc:creator/>
  <dc:description>Comprehensive Product Carbon Footprint (PCF) report for a passenger vehicle assembled in Argentina with a European supply chain, compliant with GHG Protocol and 2026 Land Sector and Removals (LSR) updates.</dc:description>
  <dc:language>en</dc:language>
  <cp:keywords/>
  <dcterms:created xsi:type="dcterms:W3CDTF">2026-10-16T13:02:44Z</dcterms:created>
  <dcterms:modified xsi:type="dcterms:W3CDTF">2026-10-16T13:02:44Z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