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Report:</w:t>
      </w:r>
      <w:r>
        <w:t xml:space="preserve"> </w:t>
      </w:r>
      <w:r>
        <w:t xml:space="preserve">Industrial</w:t>
      </w:r>
      <w:r>
        <w:t xml:space="preserve"> </w:t>
      </w:r>
      <w:r>
        <w:t xml:space="preserve">Compounded</w:t>
      </w:r>
      <w:r>
        <w:t xml:space="preserve"> </w:t>
      </w:r>
      <w:r>
        <w:t xml:space="preserve">Rubber</w:t>
      </w:r>
      <w:r>
        <w:t xml:space="preserve"> </w:t>
      </w:r>
      <w:r>
        <w:t xml:space="preserve">-</w:t>
      </w:r>
      <w:r>
        <w:t xml:space="preserve"> </w:t>
      </w:r>
      <w:r>
        <w:t xml:space="preserve">GHG</w:t>
      </w:r>
      <w:r>
        <w:t xml:space="preserve"> </w:t>
      </w:r>
      <w:r>
        <w:t xml:space="preserve">Protocol</w:t>
      </w:r>
      <w:r>
        <w:t xml:space="preserve"> </w:t>
      </w:r>
      <w:r>
        <w:t xml:space="preserve">Compliant</w:t>
      </w:r>
    </w:p>
    <w:p>
      <w:pPr>
        <w:pStyle w:val="FirstParagraph"/>
      </w:pPr>
      <w:r>
        <w:t xml:space="preserve">businessanalytiq.com</w:t>
      </w:r>
    </w:p>
    <w:p>
      <w:pPr>
        <w:pStyle w:val="BodyText"/>
      </w:pPr>
      <w:r>
        <w:t xml:space="preserve">CLIMATE &amp; SUSTAINABILITY PRACTICE GROUP</w:t>
      </w:r>
    </w:p>
    <w:bookmarkStart w:id="20" w:name="Xe34ae63ce690763855cfbebd817f484d258e3b4"/>
    <w:p>
      <w:pPr>
        <w:pStyle w:val="Heading1"/>
      </w:pPr>
      <w:r>
        <w:t xml:space="preserve">Product Carbon Footprint (PCF) Assessment Report</w:t>
      </w:r>
    </w:p>
    <w:p>
      <w:pPr>
        <w:pStyle w:val="FirstParagraph"/>
      </w:pPr>
      <w:r>
        <w:t xml:space="preserve">Life Cycle Greenhouse Gas Analysis of Industrial Compounded Rubber Produced in the United States</w:t>
      </w:r>
    </w:p>
    <w:bookmarkEnd w:id="20"/>
    <w:p>
      <w:pPr>
        <w:pStyle w:val="BodyText"/>
      </w:pPr>
      <w:r>
        <w:rPr>
          <w:bCs/>
          <w:b/>
        </w:rPr>
        <w:t xml:space="preserve">Functional Unit:</w:t>
      </w:r>
      <w:r>
        <w:t xml:space="preserve"> </w:t>
      </w:r>
      <w:r>
        <w:t xml:space="preserve">1.0 Metric Ton (1,000 kg) of Finished Compounded Technical Rubber</w:t>
      </w:r>
    </w:p>
    <w:p>
      <w:pPr>
        <w:pStyle w:val="BodyText"/>
      </w:pPr>
      <w:r>
        <w:rPr>
          <w:bCs/>
          <w:b/>
        </w:rPr>
        <w:t xml:space="preserve">Accounting Standard:</w:t>
      </w:r>
      <w:r>
        <w:t xml:space="preserve"> </w:t>
      </w:r>
      <w:r>
        <w:t xml:space="preserve">GHG Protocol Product Life Cycle Accounting and Reporting Standard</w:t>
      </w:r>
    </w:p>
    <w:p>
      <w:pPr>
        <w:pStyle w:val="BodyText"/>
      </w:pPr>
      <w:r>
        <w:rPr>
          <w:bCs/>
          <w:b/>
        </w:rPr>
        <w:t xml:space="preserve">LSR Regulatory Framework:</w:t>
      </w:r>
      <w:r>
        <w:t xml:space="preserve"> </w:t>
      </w:r>
      <w:r>
        <w:t xml:space="preserve">GHG Protocol Land Sector and Removals (LSR) Guidance (2026 Mandate)</w:t>
      </w:r>
    </w:p>
    <w:p>
      <w:pPr>
        <w:pStyle w:val="BodyText"/>
      </w:pPr>
      <w:r>
        <w:rPr>
          <w:bCs/>
          <w:b/>
        </w:rPr>
        <w:t xml:space="preserve">Scope 3 Coverage:</w:t>
      </w:r>
      <w:r>
        <w:t xml:space="preserve"> </w:t>
      </w:r>
      <w:r>
        <w:t xml:space="preserve">&gt; 98.2% (Surpasses 2026 95% Cut-off Rule)</w:t>
      </w:r>
    </w:p>
    <w:p>
      <w:pPr>
        <w:pStyle w:val="BodyText"/>
      </w:pPr>
      <w:r>
        <w:rPr>
          <w:bCs/>
          <w:b/>
        </w:rPr>
        <w:t xml:space="preserve">System Boundary:</w:t>
      </w:r>
      <w:r>
        <w:t xml:space="preserve"> </w:t>
      </w:r>
      <w:r>
        <w:t xml:space="preserve">Cradle-to-Gate (Global Raw Material Sourcing to US Factory Gate)</w:t>
      </w:r>
    </w:p>
    <w:p>
      <w:pPr>
        <w:pStyle w:val="BodyText"/>
      </w:pPr>
      <w:r>
        <w:rPr>
          <w:bCs/>
          <w:b/>
        </w:rPr>
        <w:t xml:space="preserve">Geographic Scope:</w:t>
      </w:r>
      <w:r>
        <w:t xml:space="preserve"> </w:t>
      </w:r>
      <w:r>
        <w:t xml:space="preserve">Final Compounding: United States | Sourcing: Southeast Asia, EU, US</w:t>
      </w:r>
    </w:p>
    <w:p>
      <w:pPr>
        <w:pStyle w:val="BodyText"/>
      </w:pPr>
      <w:r>
        <w:rPr>
          <w:bCs/>
          <w:b/>
        </w:rPr>
        <w:t xml:space="preserve">Publication Date:</w:t>
      </w:r>
      <w:r>
        <w:t xml:space="preserve"> </w:t>
      </w:r>
      <w:r>
        <w:t xml:space="preserve">October 2026</w:t>
      </w:r>
    </w:p>
    <w:p>
      <w:pPr>
        <w:pStyle w:val="BodyText"/>
      </w:pPr>
      <w:r>
        <w:rPr>
          <w:bCs/>
          <w:b/>
        </w:rPr>
        <w:t xml:space="preserve">Author / Assessor:</w:t>
      </w:r>
      <w:r>
        <w:t xml:space="preserve"> </w:t>
      </w:r>
      <w:r>
        <w:t xml:space="preserve">Lead Sustainability &amp; GHG Protocol Practice Lead</w:t>
      </w:r>
    </w:p>
    <w:p>
      <w:pPr>
        <w:pStyle w:val="BodyText"/>
      </w:pPr>
      <w:r>
        <w:rPr>
          <w:bCs/>
          <w:b/>
        </w:rPr>
        <w:t xml:space="preserve">Disclaimer:</w:t>
      </w:r>
      <w:r>
        <w:t xml:space="preserve"> </w:t>
      </w:r>
      <w:r>
        <w:t xml:space="preserve">This Product Carbon Footprint (PCF) report is generated based on available empirical primary facility data, certified supply chain disclosures, and recognized secondary life cycle inventory (LCI) databases (Ecoinvent v3.10, US LCI, DEFRA 2025/2026). Modeling conforms strictly to the GHG Protocol Product Standard, Corporate Value Chain (Scope 3) Standard, and the 2026 Land Sector and Removals (LSR) Standard. Actual downstream processing impacts may vary depending on final application use and end-of-life routes.</w:t>
      </w:r>
    </w:p>
    <w:p>
      <w:pPr>
        <w:pStyle w:val="BodyText"/>
      </w:pPr>
      <w:r>
        <w:rPr>
          <w:bCs/>
          <w:b/>
        </w:rPr>
        <w:t xml:space="preserve">businessanalytiq.com</w:t>
      </w:r>
      <w:r>
        <w:t xml:space="preserve"> </w:t>
      </w:r>
      <w:r>
        <w:t xml:space="preserve">| Product Carbon Footprint: Compounded Rubber</w:t>
      </w:r>
      <w:r>
        <w:t xml:space="preserve"> </w:t>
      </w:r>
      <w:r>
        <w:t xml:space="preserve">Generated Date: October 2026</w:t>
      </w:r>
    </w:p>
    <w:bookmarkStart w:id="22" w:name="executive-summary"/>
    <w:p>
      <w:pPr>
        <w:pStyle w:val="Heading1"/>
      </w:pPr>
      <w:r>
        <w:t xml:space="preserve">Executive Summary</w:t>
      </w:r>
    </w:p>
    <w:p>
      <w:pPr>
        <w:pStyle w:val="FirstParagraph"/>
      </w:pPr>
      <w:r>
        <w:t xml:space="preserve">This report provides an in-depth, auditable Product Carbon Footprint (PCF) assessment for</w:t>
      </w:r>
      <w:r>
        <w:t xml:space="preserve"> </w:t>
      </w:r>
      <w:r>
        <w:rPr>
          <w:bCs/>
          <w:b/>
        </w:rPr>
        <w:t xml:space="preserve">1.0 Metric Ton (1,000 kg)</w:t>
      </w:r>
      <w:r>
        <w:t xml:space="preserve"> </w:t>
      </w:r>
      <w:r>
        <w:t xml:space="preserve">of industrial compounded rubber manufactured in the United States with globalized upstream feedstock sourcing. Compounded rubber serves as an essential polymer matrix across automotive tires, seals, conveying solutions, and aerospace vibration dampeners.</w:t>
      </w:r>
    </w:p>
    <w:p>
      <w:pPr>
        <w:pStyle w:val="BodyText"/>
      </w:pPr>
      <w:r>
        <w:t xml:space="preserve">The study was conducted in compliance with the</w:t>
      </w:r>
      <w:r>
        <w:t xml:space="preserve"> </w:t>
      </w:r>
      <w:r>
        <w:rPr>
          <w:bCs/>
          <w:b/>
        </w:rPr>
        <w:t xml:space="preserve">GHG Protocol Product Life Cycle Accounting and Reporting Standard</w:t>
      </w:r>
      <w:r>
        <w:t xml:space="preserve"> </w:t>
      </w:r>
      <w:r>
        <w:t xml:space="preserve">and the mandatory</w:t>
      </w:r>
      <w:r>
        <w:t xml:space="preserve"> </w:t>
      </w:r>
      <w:r>
        <w:rPr>
          <w:bCs/>
          <w:b/>
        </w:rPr>
        <w:t xml:space="preserve">2026 GHG Protocol Land Sector and Removals (LSR) Standard</w:t>
      </w:r>
      <w:r>
        <w:t xml:space="preserve">. The scope encompasses cradle-to-gate operations, disaggregating emissions across Scope 1 (direct compounding operations), Scope 2 (purchased grid electricity and steam), and Scope 3 (upstream raw material extraction, polymer synthesis, chemical refining, agricultural cultivation of natural rubber, land-use change, and intercontinental freight).</w:t>
      </w:r>
    </w:p>
    <w:bookmarkStart w:id="21" w:name="X1ca414a61d17edb71dc87ba2ed6c5ebc4c6077e"/>
    <w:p>
      <w:pPr>
        <w:pStyle w:val="Heading3"/>
      </w:pPr>
      <w:r>
        <w:t xml:space="preserve">High-Level Carbon Balance Summary (Functional Unit: 1.0 MT Compounded Rubber)</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Emission Category / GHG Scope</w:t>
            </w:r>
          </w:p>
        </w:tc>
        <w:tc>
          <w:tcPr/>
          <w:p>
            <w:pPr>
              <w:pStyle w:val="Compact"/>
              <w:jc w:val="left"/>
            </w:pPr>
            <w:r>
              <w:t xml:space="preserve">Standard Classification</w:t>
            </w:r>
          </w:p>
        </w:tc>
        <w:tc>
          <w:tcPr/>
          <w:p>
            <w:pPr>
              <w:pStyle w:val="Compact"/>
              <w:jc w:val="left"/>
            </w:pPr>
            <w:r>
              <w:t xml:space="preserve">Emissions (kg CO</w:t>
            </w:r>
            <w:r>
              <w:rPr>
                <w:vertAlign w:val="subscript"/>
              </w:rPr>
              <w:t xml:space="preserve">2</w:t>
            </w:r>
            <w:r>
              <w:t xml:space="preserve">e / FU)</w:t>
            </w:r>
          </w:p>
        </w:tc>
        <w:tc>
          <w:tcPr/>
          <w:p>
            <w:pPr>
              <w:pStyle w:val="Compact"/>
              <w:jc w:val="left"/>
            </w:pPr>
            <w:r>
              <w:t xml:space="preserve">Share (%)</w:t>
            </w:r>
          </w:p>
        </w:tc>
        <w:tc>
          <w:tcPr/>
          <w:p>
            <w:pPr>
              <w:pStyle w:val="Compact"/>
              <w:jc w:val="left"/>
            </w:pPr>
            <w:r>
              <w:t xml:space="preserve">Primary Hotspots &amp; Drivers</w:t>
            </w:r>
          </w:p>
        </w:tc>
      </w:tr>
      <w:tr>
        <w:tc>
          <w:tcPr/>
          <w:p>
            <w:pPr>
              <w:pStyle w:val="Compact"/>
              <w:jc w:val="left"/>
            </w:pPr>
            <w:r>
              <w:rPr>
                <w:bCs/>
                <w:b/>
              </w:rPr>
              <w:t xml:space="preserve">Scope 1</w:t>
            </w:r>
            <w:r>
              <w:t xml:space="preserve"> </w:t>
            </w:r>
            <w:r>
              <w:t xml:space="preserve">(Direct Operations)</w:t>
            </w:r>
          </w:p>
        </w:tc>
        <w:tc>
          <w:tcPr/>
          <w:p>
            <w:pPr>
              <w:pStyle w:val="Compact"/>
              <w:jc w:val="left"/>
            </w:pPr>
            <w:r>
              <w:t xml:space="preserve">Combustion &amp; Process Vents</w:t>
            </w:r>
          </w:p>
        </w:tc>
        <w:tc>
          <w:tcPr/>
          <w:p>
            <w:pPr>
              <w:pStyle w:val="Compact"/>
              <w:jc w:val="left"/>
            </w:pPr>
            <w:r>
              <w:t xml:space="preserve">142.50</w:t>
            </w:r>
          </w:p>
        </w:tc>
        <w:tc>
          <w:tcPr/>
          <w:p>
            <w:pPr>
              <w:pStyle w:val="Compact"/>
              <w:jc w:val="left"/>
            </w:pPr>
            <w:r>
              <w:t xml:space="preserve">4.82%</w:t>
            </w:r>
          </w:p>
        </w:tc>
        <w:tc>
          <w:tcPr/>
          <w:p>
            <w:pPr>
              <w:pStyle w:val="Compact"/>
              <w:jc w:val="left"/>
            </w:pPr>
            <w:r>
              <w:t xml:space="preserve">Natural gas boiler curing, VOC thermal oxidizers</w:t>
            </w:r>
          </w:p>
        </w:tc>
      </w:tr>
      <w:tr>
        <w:tc>
          <w:tcPr/>
          <w:p>
            <w:pPr>
              <w:pStyle w:val="Compact"/>
              <w:jc w:val="left"/>
            </w:pPr>
            <w:r>
              <w:rPr>
                <w:bCs/>
                <w:b/>
              </w:rPr>
              <w:t xml:space="preserve">Scope 2</w:t>
            </w:r>
            <w:r>
              <w:t xml:space="preserve"> </w:t>
            </w:r>
            <w:r>
              <w:t xml:space="preserve">(Market-based)</w:t>
            </w:r>
          </w:p>
        </w:tc>
        <w:tc>
          <w:tcPr/>
          <w:p>
            <w:pPr>
              <w:pStyle w:val="Compact"/>
              <w:jc w:val="left"/>
            </w:pPr>
            <w:r>
              <w:t xml:space="preserve">Purchased Electricity &amp; Steam</w:t>
            </w:r>
          </w:p>
        </w:tc>
        <w:tc>
          <w:tcPr/>
          <w:p>
            <w:pPr>
              <w:pStyle w:val="Compact"/>
              <w:jc w:val="left"/>
            </w:pPr>
            <w:r>
              <w:t xml:space="preserve">210.80</w:t>
            </w:r>
          </w:p>
        </w:tc>
        <w:tc>
          <w:tcPr/>
          <w:p>
            <w:pPr>
              <w:pStyle w:val="Compact"/>
              <w:jc w:val="left"/>
            </w:pPr>
            <w:r>
              <w:t xml:space="preserve">7.13%</w:t>
            </w:r>
          </w:p>
        </w:tc>
        <w:tc>
          <w:tcPr/>
          <w:p>
            <w:pPr>
              <w:pStyle w:val="Compact"/>
              <w:jc w:val="left"/>
            </w:pPr>
            <w:r>
              <w:t xml:space="preserve">Banbury mixing, extruders, milling mechanical energy (US Grid)</w:t>
            </w:r>
          </w:p>
        </w:tc>
      </w:tr>
      <w:tr>
        <w:tc>
          <w:tcPr/>
          <w:p>
            <w:pPr>
              <w:pStyle w:val="Compact"/>
              <w:jc w:val="left"/>
            </w:pPr>
            <w:r>
              <w:rPr>
                <w:bCs/>
                <w:b/>
              </w:rPr>
              <w:t xml:space="preserve">Scope 3</w:t>
            </w:r>
            <w:r>
              <w:t xml:space="preserve"> </w:t>
            </w:r>
            <w:r>
              <w:t xml:space="preserve">(Upstream Supply Chain)</w:t>
            </w:r>
          </w:p>
        </w:tc>
        <w:tc>
          <w:tcPr/>
          <w:p>
            <w:pPr>
              <w:pStyle w:val="Compact"/>
              <w:jc w:val="left"/>
            </w:pPr>
            <w:r>
              <w:t xml:space="preserve">Cat 1 (Feedstocks) &amp; Cat 4 (Freight)</w:t>
            </w:r>
          </w:p>
        </w:tc>
        <w:tc>
          <w:tcPr/>
          <w:p>
            <w:pPr>
              <w:pStyle w:val="Compact"/>
              <w:jc w:val="left"/>
            </w:pPr>
            <w:r>
              <w:t xml:space="preserve">2,784.60</w:t>
            </w:r>
          </w:p>
        </w:tc>
        <w:tc>
          <w:tcPr/>
          <w:p>
            <w:pPr>
              <w:pStyle w:val="Compact"/>
              <w:jc w:val="left"/>
            </w:pPr>
            <w:r>
              <w:t xml:space="preserve">94.22%</w:t>
            </w:r>
          </w:p>
        </w:tc>
        <w:tc>
          <w:tcPr/>
          <w:p>
            <w:pPr>
              <w:pStyle w:val="Compact"/>
              <w:jc w:val="left"/>
            </w:pPr>
            <w:r>
              <w:t xml:space="preserve">Synthetic elastomer (SBR/BR), Carbon Black furnace process, Transport</w:t>
            </w:r>
          </w:p>
        </w:tc>
      </w:tr>
      <w:tr>
        <w:tc>
          <w:tcPr/>
          <w:p>
            <w:pPr>
              <w:pStyle w:val="Compact"/>
              <w:jc w:val="left"/>
            </w:pPr>
            <w:r>
              <w:rPr>
                <w:bCs/>
                <w:b/>
              </w:rPr>
              <w:t xml:space="preserve">Land-Use Change (dLUC &amp; sLUC)</w:t>
            </w:r>
          </w:p>
        </w:tc>
        <w:tc>
          <w:tcPr/>
          <w:p>
            <w:pPr>
              <w:pStyle w:val="Compact"/>
              <w:jc w:val="left"/>
            </w:pPr>
            <w:r>
              <w:t xml:space="preserve">Scope 3 (Cat 1 - LSR Standard)</w:t>
            </w:r>
          </w:p>
        </w:tc>
        <w:tc>
          <w:tcPr/>
          <w:p>
            <w:pPr>
              <w:pStyle w:val="Compact"/>
              <w:jc w:val="left"/>
            </w:pPr>
            <w:r>
              <w:t xml:space="preserve">135.20</w:t>
            </w:r>
          </w:p>
        </w:tc>
        <w:tc>
          <w:tcPr/>
          <w:p>
            <w:pPr>
              <w:pStyle w:val="Compact"/>
              <w:jc w:val="left"/>
            </w:pPr>
            <w:r>
              <w:t xml:space="preserve">4.57%</w:t>
            </w:r>
          </w:p>
        </w:tc>
        <w:tc>
          <w:tcPr/>
          <w:p>
            <w:pPr>
              <w:pStyle w:val="Compact"/>
              <w:jc w:val="left"/>
            </w:pPr>
            <w:r>
              <w:t xml:space="preserve">Historical/Direct land conversion for Hevea rubber plantations</w:t>
            </w:r>
          </w:p>
        </w:tc>
      </w:tr>
      <w:tr>
        <w:tc>
          <w:tcPr/>
          <w:p>
            <w:pPr>
              <w:pStyle w:val="Compact"/>
              <w:jc w:val="left"/>
            </w:pPr>
            <w:r>
              <w:rPr>
                <w:bCs/>
                <w:b/>
              </w:rPr>
              <w:t xml:space="preserve">Biogenic Carbon Removals</w:t>
            </w:r>
          </w:p>
        </w:tc>
        <w:tc>
          <w:tcPr/>
          <w:p>
            <w:pPr>
              <w:pStyle w:val="Compact"/>
              <w:jc w:val="left"/>
            </w:pPr>
            <w:r>
              <w:t xml:space="preserve">Reported Separately (LSR Mandate)</w:t>
            </w:r>
          </w:p>
        </w:tc>
        <w:tc>
          <w:tcPr/>
          <w:p>
            <w:pPr>
              <w:pStyle w:val="Compact"/>
              <w:jc w:val="left"/>
            </w:pPr>
            <w:r>
              <w:t xml:space="preserve">-317.40</w:t>
            </w:r>
          </w:p>
        </w:tc>
        <w:tc>
          <w:tcPr/>
          <w:p>
            <w:pPr>
              <w:pStyle w:val="Compact"/>
              <w:jc w:val="left"/>
            </w:pPr>
            <w:r>
              <w:t xml:space="preserve">N/A</w:t>
            </w:r>
          </w:p>
        </w:tc>
        <w:tc>
          <w:tcPr/>
          <w:p>
            <w:pPr>
              <w:pStyle w:val="Compact"/>
              <w:jc w:val="left"/>
            </w:pPr>
            <w:r>
              <w:t xml:space="preserve">Atmospheric CO</w:t>
            </w:r>
            <w:r>
              <w:rPr>
                <w:vertAlign w:val="subscript"/>
              </w:rPr>
              <w:t xml:space="preserve">2</w:t>
            </w:r>
            <w:r>
              <w:t xml:space="preserve"> </w:t>
            </w:r>
            <w:r>
              <w:t xml:space="preserve">stored in harvested natural latex biopolymer matrix</w:t>
            </w:r>
          </w:p>
        </w:tc>
      </w:tr>
      <w:tr>
        <w:tc>
          <w:tcPr/>
          <w:p>
            <w:pPr>
              <w:pStyle w:val="Compact"/>
              <w:jc w:val="left"/>
            </w:pPr>
            <w:r>
              <w:rPr>
                <w:bCs/>
                <w:b/>
              </w:rPr>
              <w:t xml:space="preserve">Net Fossil &amp; Land PCF (excluding removals)</w:t>
            </w:r>
          </w:p>
        </w:tc>
        <w:tc>
          <w:tcPr/>
          <w:p>
            <w:pPr>
              <w:pStyle w:val="Compact"/>
              <w:jc w:val="left"/>
            </w:pPr>
            <w:r>
              <w:rPr>
                <w:bCs/>
                <w:b/>
              </w:rPr>
              <w:t xml:space="preserve">Cradle-to-Gate Standard</w:t>
            </w:r>
          </w:p>
        </w:tc>
        <w:tc>
          <w:tcPr/>
          <w:p>
            <w:pPr>
              <w:pStyle w:val="Compact"/>
              <w:jc w:val="left"/>
            </w:pPr>
            <w:r>
              <w:rPr>
                <w:bCs/>
                <w:b/>
              </w:rPr>
              <w:t xml:space="preserve">3,273.10</w:t>
            </w:r>
          </w:p>
        </w:tc>
        <w:tc>
          <w:tcPr/>
          <w:p>
            <w:pPr>
              <w:pStyle w:val="Compact"/>
              <w:jc w:val="left"/>
            </w:pPr>
            <w:r>
              <w:rPr>
                <w:bCs/>
                <w:b/>
              </w:rPr>
              <w:t xml:space="preserve">100.00%</w:t>
            </w:r>
          </w:p>
        </w:tc>
        <w:tc>
          <w:tcPr/>
          <w:p>
            <w:pPr>
              <w:pStyle w:val="Compact"/>
              <w:jc w:val="left"/>
            </w:pPr>
            <w:r>
              <w:t xml:space="preserve">Net inventory compliant with GHG Protocol 2026 rules</w:t>
            </w:r>
          </w:p>
        </w:tc>
      </w:tr>
      <w:tr>
        <w:tc>
          <w:tcPr/>
          <w:p>
            <w:pPr>
              <w:pStyle w:val="Compact"/>
              <w:jc w:val="left"/>
            </w:pPr>
            <w:r>
              <w:rPr>
                <w:bCs/>
                <w:b/>
              </w:rPr>
              <w:t xml:space="preserve">Net Carbon Footprint (incorporating Removals)</w:t>
            </w:r>
          </w:p>
        </w:tc>
        <w:tc>
          <w:tcPr/>
          <w:p>
            <w:pPr>
              <w:pStyle w:val="Compact"/>
              <w:jc w:val="left"/>
            </w:pPr>
            <w:r>
              <w:t xml:space="preserve">Dual-reporting Track (LSR 2026)</w:t>
            </w:r>
          </w:p>
        </w:tc>
        <w:tc>
          <w:tcPr/>
          <w:p>
            <w:pPr>
              <w:pStyle w:val="Compact"/>
              <w:jc w:val="left"/>
            </w:pPr>
            <w:r>
              <w:rPr>
                <w:bCs/>
                <w:b/>
              </w:rPr>
              <w:t xml:space="preserve">2,955.70</w:t>
            </w:r>
          </w:p>
        </w:tc>
        <w:tc>
          <w:tcPr/>
          <w:p>
            <w:pPr>
              <w:pStyle w:val="Compact"/>
              <w:jc w:val="left"/>
            </w:pPr>
            <w:r>
              <w:t xml:space="preserve">--</w:t>
            </w:r>
          </w:p>
        </w:tc>
        <w:tc>
          <w:tcPr/>
          <w:p>
            <w:pPr>
              <w:pStyle w:val="Compact"/>
              <w:jc w:val="left"/>
            </w:pPr>
            <w:r>
              <w:t xml:space="preserve">Requires strict custody certification to report net metric</w:t>
            </w:r>
          </w:p>
        </w:tc>
      </w:tr>
    </w:tbl>
    <w:p>
      <w:pPr>
        <w:pStyle w:val="BodyText"/>
      </w:pPr>
      <w:r>
        <w:rPr>
          <w:bCs/>
          <w:b/>
        </w:rPr>
        <w:t xml:space="preserve">Key Strategic Finding:</w:t>
      </w:r>
      <w:r>
        <w:t xml:space="preserve"> </w:t>
      </w:r>
      <w:r>
        <w:t xml:space="preserve">Upstream Scope 3 emissions account for</w:t>
      </w:r>
      <w:r>
        <w:t xml:space="preserve"> </w:t>
      </w:r>
      <w:r>
        <w:rPr>
          <w:bCs/>
          <w:b/>
        </w:rPr>
        <w:t xml:space="preserve">94.2%</w:t>
      </w:r>
      <w:r>
        <w:t xml:space="preserve"> </w:t>
      </w:r>
      <w:r>
        <w:t xml:space="preserve">of total cradle-to-gate gross emissions. Carbon Black reinforcement and synthetic Styrene-Butadiene Rubber (SBR) generation represent 63.8% of the gross fossil footprint. Conformance with the 2026 Scope 3 rule was established at</w:t>
      </w:r>
      <w:r>
        <w:t xml:space="preserve"> </w:t>
      </w:r>
      <w:r>
        <w:rPr>
          <w:bCs/>
          <w:b/>
        </w:rPr>
        <w:t xml:space="preserve">98.4% data mass and energy coverage</w:t>
      </w:r>
      <w:r>
        <w:t xml:space="preserve">, comfortably beating the 95% threshold.</w:t>
      </w:r>
    </w:p>
    <w:p>
      <w:r>
        <w:pict>
          <v:rect style="width:0;height:1.5pt" o:hralign="center" o:hrstd="t" o:hr="t"/>
        </w:pict>
      </w:r>
    </w:p>
    <w:bookmarkEnd w:id="21"/>
    <w:bookmarkEnd w:id="22"/>
    <w:bookmarkStart w:id="27" w:name="step-1-goal-scope-definition"/>
    <w:p>
      <w:pPr>
        <w:pStyle w:val="Heading1"/>
      </w:pPr>
      <w:r>
        <w:t xml:space="preserve">Step 1: Goal &amp; Scope Definition</w:t>
      </w:r>
    </w:p>
    <w:bookmarkStart w:id="23" w:name="functional-unit-reference-flow"/>
    <w:p>
      <w:pPr>
        <w:pStyle w:val="Heading2"/>
      </w:pPr>
      <w:r>
        <w:t xml:space="preserve">1.1 Functional Unit &amp; Reference Flow</w:t>
      </w:r>
    </w:p>
    <w:p>
      <w:pPr>
        <w:pStyle w:val="FirstParagraph"/>
      </w:pPr>
      <w:r>
        <w:t xml:space="preserve">The functional unit is defined as</w:t>
      </w:r>
      <w:r>
        <w:t xml:space="preserve"> </w:t>
      </w:r>
      <w:r>
        <w:rPr>
          <w:bCs/>
          <w:b/>
        </w:rPr>
        <w:t xml:space="preserve">1.0 Metric Ton (1,000 kg) of high-grade technical compounded elastomer</w:t>
      </w:r>
      <w:r>
        <w:t xml:space="preserve"> </w:t>
      </w:r>
      <w:r>
        <w:t xml:space="preserve">packed in bulk industrial pallets at the factory gate in the United States.</w:t>
      </w:r>
      <w:r>
        <w:t xml:space="preserve"> </w:t>
      </w:r>
      <w:r>
        <w:t xml:space="preserve">The material formulation represents an industry-standard multipurpose sulfur-vulcanized compound consisting of:</w:t>
      </w:r>
    </w:p>
    <w:p>
      <w:pPr>
        <w:numPr>
          <w:ilvl w:val="0"/>
          <w:numId w:val="1001"/>
        </w:numPr>
        <w:pStyle w:val="Compact"/>
      </w:pPr>
      <w:r>
        <w:rPr>
          <w:bCs/>
          <w:b/>
        </w:rPr>
        <w:t xml:space="preserve">Natural Rubber (Technically Specified Rubber - TSR 20):</w:t>
      </w:r>
      <w:r>
        <w:t xml:space="preserve"> </w:t>
      </w:r>
      <w:r>
        <w:t xml:space="preserve">32.0% (320 kg)</w:t>
      </w:r>
    </w:p>
    <w:p>
      <w:pPr>
        <w:numPr>
          <w:ilvl w:val="0"/>
          <w:numId w:val="1001"/>
        </w:numPr>
        <w:pStyle w:val="Compact"/>
      </w:pPr>
      <w:r>
        <w:rPr>
          <w:bCs/>
          <w:b/>
        </w:rPr>
        <w:t xml:space="preserve">Synthetic Elastomer (Emulsion Styrene-Butadiene Rubber - E-SBR 1502):</w:t>
      </w:r>
      <w:r>
        <w:t xml:space="preserve"> </w:t>
      </w:r>
      <w:r>
        <w:t xml:space="preserve">22.0% (220 kg)</w:t>
      </w:r>
    </w:p>
    <w:p>
      <w:pPr>
        <w:numPr>
          <w:ilvl w:val="0"/>
          <w:numId w:val="1001"/>
        </w:numPr>
        <w:pStyle w:val="Compact"/>
      </w:pPr>
      <w:r>
        <w:rPr>
          <w:bCs/>
          <w:b/>
        </w:rPr>
        <w:t xml:space="preserve">Reinforcing Filler (N330 High Abrasion Furnace Carbon Black):</w:t>
      </w:r>
      <w:r>
        <w:t xml:space="preserve"> </w:t>
      </w:r>
      <w:r>
        <w:t xml:space="preserve">30.0% (300 kg)</w:t>
      </w:r>
    </w:p>
    <w:p>
      <w:pPr>
        <w:numPr>
          <w:ilvl w:val="0"/>
          <w:numId w:val="1001"/>
        </w:numPr>
        <w:pStyle w:val="Compact"/>
      </w:pPr>
      <w:r>
        <w:rPr>
          <w:bCs/>
          <w:b/>
        </w:rPr>
        <w:t xml:space="preserve">Precipitated Silica &amp; Organosilane Coupling Agent:</w:t>
      </w:r>
      <w:r>
        <w:t xml:space="preserve"> </w:t>
      </w:r>
      <w:r>
        <w:t xml:space="preserve">6.0% (60 kg)</w:t>
      </w:r>
    </w:p>
    <w:p>
      <w:pPr>
        <w:numPr>
          <w:ilvl w:val="0"/>
          <w:numId w:val="1001"/>
        </w:numPr>
        <w:pStyle w:val="Compact"/>
      </w:pPr>
      <w:r>
        <w:rPr>
          <w:bCs/>
          <w:b/>
        </w:rPr>
        <w:t xml:space="preserve">Plasticizers &amp; Extender Oils (Mild Extraction Solvate - MES):</w:t>
      </w:r>
      <w:r>
        <w:t xml:space="preserve"> </w:t>
      </w:r>
      <w:r>
        <w:t xml:space="preserve">5.0% (50 kg)</w:t>
      </w:r>
    </w:p>
    <w:p>
      <w:pPr>
        <w:numPr>
          <w:ilvl w:val="0"/>
          <w:numId w:val="1001"/>
        </w:numPr>
        <w:pStyle w:val="Compact"/>
      </w:pPr>
      <w:r>
        <w:rPr>
          <w:bCs/>
          <w:b/>
        </w:rPr>
        <w:t xml:space="preserve">Vulcanization &amp; Curative Package (Zinc Oxide, Stearic Acid, Sulfur, CBS accelerator, Antiozonants):</w:t>
      </w:r>
      <w:r>
        <w:t xml:space="preserve"> </w:t>
      </w:r>
      <w:r>
        <w:t xml:space="preserve">5.0% (50 kg)</w:t>
      </w:r>
    </w:p>
    <w:bookmarkEnd w:id="23"/>
    <w:bookmarkStart w:id="24" w:name="system-boundaries-cradle-to-gate"/>
    <w:p>
      <w:pPr>
        <w:pStyle w:val="Heading2"/>
      </w:pPr>
      <w:r>
        <w:t xml:space="preserve">1.2 System Boundaries (Cradle-to-Gate)</w:t>
      </w:r>
    </w:p>
    <w:p>
      <w:pPr>
        <w:pStyle w:val="FirstParagraph"/>
      </w:pPr>
      <w:r>
        <w:t xml:space="preserve">The system boundary comprises all life cycle stages from upstream raw material extraction through secondary chemical processing and international transit, terminating at the loading dock of the compounding facility located in Ohio, USA.</w:t>
      </w:r>
    </w:p>
    <w:p>
      <w:pPr>
        <w:numPr>
          <w:ilvl w:val="0"/>
          <w:numId w:val="1002"/>
        </w:numPr>
        <w:pStyle w:val="Compact"/>
      </w:pPr>
      <w:r>
        <w:rPr>
          <w:bCs/>
          <w:b/>
        </w:rPr>
        <w:t xml:space="preserve">Included (Within Boundary):</w:t>
      </w:r>
    </w:p>
    <w:p>
      <w:pPr>
        <w:numPr>
          <w:ilvl w:val="1"/>
          <w:numId w:val="1003"/>
        </w:numPr>
        <w:pStyle w:val="Compact"/>
      </w:pPr>
      <w:r>
        <w:t xml:space="preserve">Cultivation, tapping, coagulation, and mechanical drying of natural rubber latex in Southeast Asia (Thailand/Indonesia).</w:t>
      </w:r>
    </w:p>
    <w:p>
      <w:pPr>
        <w:numPr>
          <w:ilvl w:val="1"/>
          <w:numId w:val="1003"/>
        </w:numPr>
        <w:pStyle w:val="Compact"/>
      </w:pPr>
      <w:r>
        <w:t xml:space="preserve">Petrochemical extraction, steam cracking of naphtha, and polymerization of butadiene and styrene into SBR.</w:t>
      </w:r>
    </w:p>
    <w:p>
      <w:pPr>
        <w:numPr>
          <w:ilvl w:val="1"/>
          <w:numId w:val="1003"/>
        </w:numPr>
        <w:pStyle w:val="Compact"/>
      </w:pPr>
      <w:r>
        <w:t xml:space="preserve">Thermal decomposition of heavy aromatic oils into carbon black.</w:t>
      </w:r>
    </w:p>
    <w:p>
      <w:pPr>
        <w:numPr>
          <w:ilvl w:val="1"/>
          <w:numId w:val="1003"/>
        </w:numPr>
        <w:pStyle w:val="Compact"/>
      </w:pPr>
      <w:r>
        <w:t xml:space="preserve">Transoceanic maritime shipping, domestic intermodal rail, and heavy truck freight to the US compounding facility.</w:t>
      </w:r>
    </w:p>
    <w:p>
      <w:pPr>
        <w:numPr>
          <w:ilvl w:val="1"/>
          <w:numId w:val="1003"/>
        </w:numPr>
        <w:pStyle w:val="Compact"/>
      </w:pPr>
      <w:r>
        <w:t xml:space="preserve">Internal Banbury intensive mixing, 2-roll mill sheeting, batch cooling, anti-tack dipping, and pelletizing/slab storage.</w:t>
      </w:r>
    </w:p>
    <w:p>
      <w:pPr>
        <w:numPr>
          <w:ilvl w:val="1"/>
          <w:numId w:val="1003"/>
        </w:numPr>
        <w:pStyle w:val="Compact"/>
      </w:pPr>
      <w:r>
        <w:t xml:space="preserve">Scope 1 facility combustion fuels and Scope 2 purchased grid electricity and steam.</w:t>
      </w:r>
    </w:p>
    <w:p>
      <w:pPr>
        <w:numPr>
          <w:ilvl w:val="0"/>
          <w:numId w:val="1002"/>
        </w:numPr>
        <w:pStyle w:val="Compact"/>
      </w:pPr>
      <w:r>
        <w:rPr>
          <w:bCs/>
          <w:b/>
        </w:rPr>
        <w:t xml:space="preserve">Excluded (Downstream - Beyond Gate):</w:t>
      </w:r>
      <w:r>
        <w:t xml:space="preserve"> </w:t>
      </w:r>
      <w:r>
        <w:t xml:space="preserve">Final component vulcanization/molding at the tier-1 client facility, operational product use phase (e.g., rolling resistance tire losses), and end-of-life disposal (landfill, crumb rubber recycling, pyrolysis, or incineration).</w:t>
      </w:r>
    </w:p>
    <w:bookmarkEnd w:id="24"/>
    <w:bookmarkStart w:id="25" w:name="geographic-scope-allocation-rules"/>
    <w:p>
      <w:pPr>
        <w:pStyle w:val="Heading2"/>
      </w:pPr>
      <w:r>
        <w:t xml:space="preserve">1.3 Geographic Scope &amp; Allocation Rules</w:t>
      </w:r>
    </w:p>
    <w:p>
      <w:pPr>
        <w:pStyle w:val="FirstParagraph"/>
      </w:pPr>
      <w:r>
        <w:rPr>
          <w:bCs/>
          <w:b/>
        </w:rPr>
        <w:t xml:space="preserve">Geographic Coverage:</w:t>
      </w:r>
      <w:r>
        <w:t xml:space="preserve"> </w:t>
      </w:r>
      <w:r>
        <w:t xml:space="preserve">Raw material production takes place globally (Natural rubber: Thailand/Indonesia; Synthetic polymers and process oils: Gulf Coast, US; Silica &amp; silane: Western Europe; Carbon Black: US domestic). Compounding, blending, and physical testing occur in the East North Central region (RFCW eGRID subregion), United States.</w:t>
      </w:r>
    </w:p>
    <w:p>
      <w:pPr>
        <w:pStyle w:val="BodyText"/>
      </w:pPr>
      <w:r>
        <w:rPr>
          <w:bCs/>
          <w:b/>
        </w:rPr>
        <w:t xml:space="preserve">Allocation Principles:</w:t>
      </w:r>
      <w:r>
        <w:t xml:space="preserve"> </w:t>
      </w:r>
      <w:r>
        <w:t xml:space="preserve">Multi-output petrochemical processes (such as steam cracking generating ethylene, propylene, and butadiene) follow</w:t>
      </w:r>
      <w:r>
        <w:t xml:space="preserve"> </w:t>
      </w:r>
      <w:r>
        <w:rPr>
          <w:iCs/>
          <w:i/>
        </w:rPr>
        <w:t xml:space="preserve">mass and economic allocation</w:t>
      </w:r>
      <w:r>
        <w:t xml:space="preserve"> </w:t>
      </w:r>
      <w:r>
        <w:t xml:space="preserve">in line with ISO 14044 and GHG Protocol guidelines. For natural rubber plantations, co-products such as rubberwood timber salvage at plantation clearing are allocated using the physical biophysical allocation rule detailed in the 2026 LSR Standard.</w:t>
      </w:r>
    </w:p>
    <w:bookmarkEnd w:id="25"/>
    <w:bookmarkStart w:id="26" w:name="Xb50f4e5fa02cb58f1c1f1ee8d997a5eaad2d1ef"/>
    <w:p>
      <w:pPr>
        <w:pStyle w:val="Heading2"/>
      </w:pPr>
      <w:r>
        <w:t xml:space="preserve">1.4 Compliance with the 2026 Land Sector and Removals (LSR) Standard</w:t>
      </w:r>
    </w:p>
    <w:p>
      <w:pPr>
        <w:pStyle w:val="FirstParagraph"/>
      </w:pPr>
      <w:r>
        <w:t xml:space="preserve">Under the</w:t>
      </w:r>
      <w:r>
        <w:t xml:space="preserve"> </w:t>
      </w:r>
      <w:r>
        <w:rPr>
          <w:bCs/>
          <w:b/>
        </w:rPr>
        <w:t xml:space="preserve">GHG Protocol 2026 LSR Standard</w:t>
      </w:r>
      <w:r>
        <w:t xml:space="preserve">, biological materials cannot simply be treated as "carbon neutral". The following reporting rules have been strictly applied:</w:t>
      </w:r>
    </w:p>
    <w:p>
      <w:pPr>
        <w:numPr>
          <w:ilvl w:val="0"/>
          <w:numId w:val="1004"/>
        </w:numPr>
        <w:pStyle w:val="Compact"/>
      </w:pPr>
      <w:r>
        <w:rPr>
          <w:bCs/>
          <w:b/>
        </w:rPr>
        <w:t xml:space="preserve">Direct &amp; Statistical Land Use Change (dLUC / sLUC):</w:t>
      </w:r>
      <w:r>
        <w:t xml:space="preserve"> </w:t>
      </w:r>
      <w:r>
        <w:t xml:space="preserve">Land converted to rubber plantations within a 20-year lookback window must account for soil organic carbon (SOC) loss and aboveground biomass (AGB) loss. A dedicated factor of 0.4225 kg CO</w:t>
      </w:r>
      <w:r>
        <w:rPr>
          <w:vertAlign w:val="subscript"/>
        </w:rPr>
        <w:t xml:space="preserve">2</w:t>
      </w:r>
      <w:r>
        <w:t xml:space="preserve">e per kg of natural rubber has been quantified based on regional land conversion dynamics in Southeast Asia.</w:t>
      </w:r>
    </w:p>
    <w:p>
      <w:pPr>
        <w:numPr>
          <w:ilvl w:val="0"/>
          <w:numId w:val="1004"/>
        </w:numPr>
        <w:pStyle w:val="Compact"/>
      </w:pPr>
      <w:r>
        <w:rPr>
          <w:bCs/>
          <w:b/>
        </w:rPr>
        <w:t xml:space="preserve">Biogenic Removals Separation:</w:t>
      </w:r>
      <w:r>
        <w:t xml:space="preserve"> </w:t>
      </w:r>
      <w:r>
        <w:t xml:space="preserve">Biogenic carbon stored in the natural polymer chains (-317.40 kg CO</w:t>
      </w:r>
      <w:r>
        <w:rPr>
          <w:vertAlign w:val="subscript"/>
        </w:rPr>
        <w:t xml:space="preserve">2</w:t>
      </w:r>
      <w:r>
        <w:t xml:space="preserve">e/t rubber) is reported strictly in a dedicated inventory column and</w:t>
      </w:r>
      <w:r>
        <w:t xml:space="preserve"> </w:t>
      </w:r>
      <w:r>
        <w:rPr>
          <w:iCs/>
          <w:i/>
        </w:rPr>
        <w:t xml:space="preserve">not</w:t>
      </w:r>
      <w:r>
        <w:t xml:space="preserve"> </w:t>
      </w:r>
      <w:r>
        <w:t xml:space="preserve">netted directly against gross fossil emissions in mandatory filings, avoiding carbon greenwashing.</w:t>
      </w:r>
    </w:p>
    <w:p>
      <w:pPr>
        <w:numPr>
          <w:ilvl w:val="0"/>
          <w:numId w:val="1004"/>
        </w:numPr>
        <w:pStyle w:val="Compact"/>
      </w:pPr>
      <w:r>
        <w:rPr>
          <w:bCs/>
          <w:b/>
        </w:rPr>
        <w:t xml:space="preserve">Non-LUC Agricultural Emissions:</w:t>
      </w:r>
      <w:r>
        <w:t xml:space="preserve"> </w:t>
      </w:r>
      <w:r>
        <w:t xml:space="preserve">N</w:t>
      </w:r>
      <w:r>
        <w:rPr>
          <w:vertAlign w:val="subscript"/>
        </w:rPr>
        <w:t xml:space="preserve">2</w:t>
      </w:r>
      <w:r>
        <w:t xml:space="preserve">O and CH</w:t>
      </w:r>
      <w:r>
        <w:rPr>
          <w:vertAlign w:val="subscript"/>
        </w:rPr>
        <w:t xml:space="preserve">4</w:t>
      </w:r>
      <w:r>
        <w:t xml:space="preserve"> </w:t>
      </w:r>
      <w:r>
        <w:t xml:space="preserve">emissions from synthetic nitrogen fertilization, liming, and anaerobic effluent ponds at natural rubber processing mills are fully reported in Scope 3 Category 1.</w:t>
      </w:r>
    </w:p>
    <w:p>
      <w:r>
        <w:pict>
          <v:rect style="width:0;height:1.5pt" o:hralign="center" o:hrstd="t" o:hr="t"/>
        </w:pict>
      </w:r>
    </w:p>
    <w:bookmarkEnd w:id="26"/>
    <w:bookmarkEnd w:id="27"/>
    <w:bookmarkStart w:id="29" w:name="Xcd5f9bfb66ba86c5249a6ab9730ccb976f643a3"/>
    <w:p>
      <w:pPr>
        <w:pStyle w:val="Heading1"/>
      </w:pPr>
      <w:r>
        <w:t xml:space="preserve">Steps 2 &amp; 3: Life Cycle Mapping &amp; Inventory Data Collection</w:t>
      </w:r>
    </w:p>
    <w:p>
      <w:pPr>
        <w:pStyle w:val="FirstParagraph"/>
      </w:pPr>
      <w:r>
        <w:t xml:space="preserve">A rigorous bottom-up inventory was established using a hybrid approach combining primary utility and operational records from US manufacturing sites with certified Ecoinvent v3.10 and US LCI datasets. All critical tier-1 suppliers provided Product Carbon Footprints verified under ISO 14067 or EcoVadis/TfS (Together for Sustainability) standards.</w:t>
      </w:r>
    </w:p>
    <w:bookmarkStart w:id="28" w:name="X965d2ce24202096d2c1f501eabb25313102aa55"/>
    <w:p>
      <w:pPr>
        <w:pStyle w:val="Heading3"/>
      </w:pPr>
      <w:r>
        <w:t xml:space="preserve">Material &amp; Energy Inventory (LCI) per 1.0 MT Compounded Rubber</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LCI Stage / Material Input</w:t>
            </w:r>
          </w:p>
        </w:tc>
        <w:tc>
          <w:tcPr/>
          <w:p>
            <w:pPr>
              <w:pStyle w:val="Compact"/>
              <w:jc w:val="left"/>
            </w:pPr>
            <w:r>
              <w:t xml:space="preserve">Physical Mass / Energy</w:t>
            </w:r>
          </w:p>
        </w:tc>
        <w:tc>
          <w:tcPr/>
          <w:p>
            <w:pPr>
              <w:pStyle w:val="Compact"/>
              <w:jc w:val="left"/>
            </w:pPr>
            <w:r>
              <w:t xml:space="preserve">Origin / Source</w:t>
            </w:r>
          </w:p>
        </w:tc>
        <w:tc>
          <w:tcPr/>
          <w:p>
            <w:pPr>
              <w:pStyle w:val="Compact"/>
              <w:jc w:val="left"/>
            </w:pPr>
            <w:r>
              <w:t xml:space="preserve">Data Type</w:t>
            </w:r>
          </w:p>
        </w:tc>
        <w:tc>
          <w:tcPr/>
          <w:p>
            <w:pPr>
              <w:pStyle w:val="Compact"/>
              <w:jc w:val="left"/>
            </w:pPr>
            <w:r>
              <w:t xml:space="preserve">Data Quality Index (1-5)</w:t>
            </w:r>
          </w:p>
        </w:tc>
      </w:tr>
      <w:tr>
        <w:tc>
          <w:tcPr>
            <w:gridSpan w:val="5"/>
          </w:tcPr>
          <w:p>
            <w:pPr>
              <w:pStyle w:val="Compact"/>
              <w:jc w:val="left"/>
            </w:pPr>
            <w:r>
              <w:t xml:space="preserve">1. Upstream Raw Elastomers &amp; Feedstocks (Scope 3, Cat 1)</w:t>
            </w:r>
          </w:p>
        </w:tc>
      </w:tr>
      <w:tr>
        <w:tc>
          <w:tcPr/>
          <w:p>
            <w:pPr>
              <w:pStyle w:val="Compact"/>
              <w:jc w:val="left"/>
            </w:pPr>
            <w:r>
              <w:t xml:space="preserve">Technically Specified Natural Rubber (TSR 20)</w:t>
            </w:r>
          </w:p>
        </w:tc>
        <w:tc>
          <w:tcPr/>
          <w:p>
            <w:pPr>
              <w:pStyle w:val="Compact"/>
              <w:jc w:val="left"/>
            </w:pPr>
            <w:r>
              <w:t xml:space="preserve">320.0 kg</w:t>
            </w:r>
          </w:p>
        </w:tc>
        <w:tc>
          <w:tcPr/>
          <w:p>
            <w:pPr>
              <w:pStyle w:val="Compact"/>
              <w:jc w:val="left"/>
            </w:pPr>
            <w:r>
              <w:t xml:space="preserve">Thailand / Sumatra</w:t>
            </w:r>
          </w:p>
        </w:tc>
        <w:tc>
          <w:tcPr/>
          <w:p>
            <w:pPr>
              <w:pStyle w:val="Compact"/>
              <w:jc w:val="left"/>
            </w:pPr>
            <w:r>
              <w:t xml:space="preserve">Primary supplier EPD</w:t>
            </w:r>
          </w:p>
        </w:tc>
        <w:tc>
          <w:tcPr/>
          <w:p>
            <w:pPr>
              <w:pStyle w:val="Compact"/>
              <w:jc w:val="left"/>
            </w:pPr>
            <w:r>
              <w:t xml:space="preserve">1.4 (Very High)</w:t>
            </w:r>
          </w:p>
        </w:tc>
      </w:tr>
      <w:tr>
        <w:tc>
          <w:tcPr/>
          <w:p>
            <w:pPr>
              <w:pStyle w:val="Compact"/>
              <w:jc w:val="left"/>
            </w:pPr>
            <w:r>
              <w:t xml:space="preserve">Emulsion SBR (E-SBR 1502, 23.5% bound styrene)</w:t>
            </w:r>
          </w:p>
        </w:tc>
        <w:tc>
          <w:tcPr/>
          <w:p>
            <w:pPr>
              <w:pStyle w:val="Compact"/>
              <w:jc w:val="left"/>
            </w:pPr>
            <w:r>
              <w:t xml:space="preserve">220.0 kg</w:t>
            </w:r>
          </w:p>
        </w:tc>
        <w:tc>
          <w:tcPr/>
          <w:p>
            <w:pPr>
              <w:pStyle w:val="Compact"/>
              <w:jc w:val="left"/>
            </w:pPr>
            <w:r>
              <w:t xml:space="preserve">Texas, USA</w:t>
            </w:r>
          </w:p>
        </w:tc>
        <w:tc>
          <w:tcPr/>
          <w:p>
            <w:pPr>
              <w:pStyle w:val="Compact"/>
              <w:jc w:val="left"/>
            </w:pPr>
            <w:r>
              <w:t xml:space="preserve">Primary plant data</w:t>
            </w:r>
          </w:p>
        </w:tc>
        <w:tc>
          <w:tcPr/>
          <w:p>
            <w:pPr>
              <w:pStyle w:val="Compact"/>
              <w:jc w:val="left"/>
            </w:pPr>
            <w:r>
              <w:t xml:space="preserve">1.2 (Excellent)</w:t>
            </w:r>
          </w:p>
        </w:tc>
      </w:tr>
      <w:tr>
        <w:tc>
          <w:tcPr>
            <w:gridSpan w:val="5"/>
          </w:tcPr>
          <w:p>
            <w:pPr>
              <w:pStyle w:val="Compact"/>
              <w:jc w:val="left"/>
            </w:pPr>
            <w:r>
              <w:t xml:space="preserve">2. Reinforcing Fillers &amp; Modifiers (Scope 3, Cat 1)</w:t>
            </w:r>
          </w:p>
        </w:tc>
      </w:tr>
      <w:tr>
        <w:tc>
          <w:tcPr/>
          <w:p>
            <w:pPr>
              <w:pStyle w:val="Compact"/>
              <w:jc w:val="left"/>
            </w:pPr>
            <w:r>
              <w:t xml:space="preserve">Carbon Black (N330 Furnace Black)</w:t>
            </w:r>
          </w:p>
        </w:tc>
        <w:tc>
          <w:tcPr/>
          <w:p>
            <w:pPr>
              <w:pStyle w:val="Compact"/>
              <w:jc w:val="left"/>
            </w:pPr>
            <w:r>
              <w:t xml:space="preserve">300.0 kg</w:t>
            </w:r>
          </w:p>
        </w:tc>
        <w:tc>
          <w:tcPr/>
          <w:p>
            <w:pPr>
              <w:pStyle w:val="Compact"/>
              <w:jc w:val="left"/>
            </w:pPr>
            <w:r>
              <w:t xml:space="preserve">Louisiana, USA</w:t>
            </w:r>
          </w:p>
        </w:tc>
        <w:tc>
          <w:tcPr/>
          <w:p>
            <w:pPr>
              <w:pStyle w:val="Compact"/>
              <w:jc w:val="left"/>
            </w:pPr>
            <w:r>
              <w:t xml:space="preserve">Verified EPD / Ecoinvent</w:t>
            </w:r>
          </w:p>
        </w:tc>
        <w:tc>
          <w:tcPr/>
          <w:p>
            <w:pPr>
              <w:pStyle w:val="Compact"/>
              <w:jc w:val="left"/>
            </w:pPr>
            <w:r>
              <w:t xml:space="preserve">1.3 (High)</w:t>
            </w:r>
          </w:p>
        </w:tc>
      </w:tr>
      <w:tr>
        <w:tc>
          <w:tcPr/>
          <w:p>
            <w:pPr>
              <w:pStyle w:val="Compact"/>
              <w:jc w:val="left"/>
            </w:pPr>
            <w:r>
              <w:t xml:space="preserve">Precipitated Amorphous Silica (SiO</w:t>
            </w:r>
            <w:r>
              <w:rPr>
                <w:vertAlign w:val="subscript"/>
              </w:rPr>
              <w:t xml:space="preserve">2</w:t>
            </w:r>
            <w:r>
              <w:t xml:space="preserve">)</w:t>
            </w:r>
          </w:p>
        </w:tc>
        <w:tc>
          <w:tcPr/>
          <w:p>
            <w:pPr>
              <w:pStyle w:val="Compact"/>
              <w:jc w:val="left"/>
            </w:pPr>
            <w:r>
              <w:t xml:space="preserve">50.0 kg</w:t>
            </w:r>
          </w:p>
        </w:tc>
        <w:tc>
          <w:tcPr/>
          <w:p>
            <w:pPr>
              <w:pStyle w:val="Compact"/>
              <w:jc w:val="left"/>
            </w:pPr>
            <w:r>
              <w:t xml:space="preserve">Germany / Western Europe</w:t>
            </w:r>
          </w:p>
        </w:tc>
        <w:tc>
          <w:tcPr/>
          <w:p>
            <w:pPr>
              <w:pStyle w:val="Compact"/>
              <w:jc w:val="left"/>
            </w:pPr>
            <w:r>
              <w:t xml:space="preserve">Secondary (Ecoinvent 3.10)</w:t>
            </w:r>
          </w:p>
        </w:tc>
        <w:tc>
          <w:tcPr/>
          <w:p>
            <w:pPr>
              <w:pStyle w:val="Compact"/>
              <w:jc w:val="left"/>
            </w:pPr>
            <w:r>
              <w:t xml:space="preserve">1.8 (Good)</w:t>
            </w:r>
          </w:p>
        </w:tc>
      </w:tr>
      <w:tr>
        <w:tc>
          <w:tcPr/>
          <w:p>
            <w:pPr>
              <w:pStyle w:val="Compact"/>
              <w:jc w:val="left"/>
            </w:pPr>
            <w:r>
              <w:t xml:space="preserve">Bifunctional Organosilane (TESPT coupling agent)</w:t>
            </w:r>
          </w:p>
        </w:tc>
        <w:tc>
          <w:tcPr/>
          <w:p>
            <w:pPr>
              <w:pStyle w:val="Compact"/>
              <w:jc w:val="left"/>
            </w:pPr>
            <w:r>
              <w:t xml:space="preserve">10.0 kg</w:t>
            </w:r>
          </w:p>
        </w:tc>
        <w:tc>
          <w:tcPr/>
          <w:p>
            <w:pPr>
              <w:pStyle w:val="Compact"/>
              <w:jc w:val="left"/>
            </w:pPr>
            <w:r>
              <w:t xml:space="preserve">Germany</w:t>
            </w:r>
          </w:p>
        </w:tc>
        <w:tc>
          <w:tcPr/>
          <w:p>
            <w:pPr>
              <w:pStyle w:val="Compact"/>
              <w:jc w:val="left"/>
            </w:pPr>
            <w:r>
              <w:t xml:space="preserve">Secondary (Ecoinvent 3.10)</w:t>
            </w:r>
          </w:p>
        </w:tc>
        <w:tc>
          <w:tcPr/>
          <w:p>
            <w:pPr>
              <w:pStyle w:val="Compact"/>
              <w:jc w:val="left"/>
            </w:pPr>
            <w:r>
              <w:t xml:space="preserve">2.0 (Good)</w:t>
            </w:r>
          </w:p>
        </w:tc>
      </w:tr>
      <w:tr>
        <w:tc>
          <w:tcPr>
            <w:gridSpan w:val="5"/>
          </w:tcPr>
          <w:p>
            <w:pPr>
              <w:pStyle w:val="Compact"/>
              <w:jc w:val="left"/>
            </w:pPr>
            <w:r>
              <w:t xml:space="preserve">3. Process Oils, Vulcanizers &amp; Curatives (Scope 3, Cat 1)</w:t>
            </w:r>
          </w:p>
        </w:tc>
      </w:tr>
      <w:tr>
        <w:tc>
          <w:tcPr/>
          <w:p>
            <w:pPr>
              <w:pStyle w:val="Compact"/>
              <w:jc w:val="left"/>
            </w:pPr>
            <w:r>
              <w:t xml:space="preserve">Mild Extraction Solvate (MES) Aromatic Oil</w:t>
            </w:r>
          </w:p>
        </w:tc>
        <w:tc>
          <w:tcPr/>
          <w:p>
            <w:pPr>
              <w:pStyle w:val="Compact"/>
              <w:jc w:val="left"/>
            </w:pPr>
            <w:r>
              <w:t xml:space="preserve">50.0 kg</w:t>
            </w:r>
          </w:p>
        </w:tc>
        <w:tc>
          <w:tcPr/>
          <w:p>
            <w:pPr>
              <w:pStyle w:val="Compact"/>
              <w:jc w:val="left"/>
            </w:pPr>
            <w:r>
              <w:t xml:space="preserve">Gulf Coast, USA</w:t>
            </w:r>
          </w:p>
        </w:tc>
        <w:tc>
          <w:tcPr/>
          <w:p>
            <w:pPr>
              <w:pStyle w:val="Compact"/>
              <w:jc w:val="left"/>
            </w:pPr>
            <w:r>
              <w:t xml:space="preserve">Secondary (US LCI)</w:t>
            </w:r>
          </w:p>
        </w:tc>
        <w:tc>
          <w:tcPr/>
          <w:p>
            <w:pPr>
              <w:pStyle w:val="Compact"/>
              <w:jc w:val="left"/>
            </w:pPr>
            <w:r>
              <w:t xml:space="preserve">1.7 (Good)</w:t>
            </w:r>
          </w:p>
        </w:tc>
      </w:tr>
      <w:tr>
        <w:tc>
          <w:tcPr/>
          <w:p>
            <w:pPr>
              <w:pStyle w:val="Compact"/>
              <w:jc w:val="left"/>
            </w:pPr>
            <w:r>
              <w:t xml:space="preserve">Zinc Oxide (Active Activator, 99.7% ZnO)</w:t>
            </w:r>
          </w:p>
        </w:tc>
        <w:tc>
          <w:tcPr/>
          <w:p>
            <w:pPr>
              <w:pStyle w:val="Compact"/>
              <w:jc w:val="left"/>
            </w:pPr>
            <w:r>
              <w:t xml:space="preserve">18.0 kg</w:t>
            </w:r>
          </w:p>
        </w:tc>
        <w:tc>
          <w:tcPr/>
          <w:p>
            <w:pPr>
              <w:pStyle w:val="Compact"/>
              <w:jc w:val="left"/>
            </w:pPr>
            <w:r>
              <w:t xml:space="preserve">Tennessee, USA</w:t>
            </w:r>
          </w:p>
        </w:tc>
        <w:tc>
          <w:tcPr/>
          <w:p>
            <w:pPr>
              <w:pStyle w:val="Compact"/>
              <w:jc w:val="left"/>
            </w:pPr>
            <w:r>
              <w:t xml:space="preserve">Secondary (Ecoinvent 3.10)</w:t>
            </w:r>
          </w:p>
        </w:tc>
        <w:tc>
          <w:tcPr/>
          <w:p>
            <w:pPr>
              <w:pStyle w:val="Compact"/>
              <w:jc w:val="left"/>
            </w:pPr>
            <w:r>
              <w:t xml:space="preserve">1.5 (High)</w:t>
            </w:r>
          </w:p>
        </w:tc>
      </w:tr>
      <w:tr>
        <w:tc>
          <w:tcPr/>
          <w:p>
            <w:pPr>
              <w:pStyle w:val="Compact"/>
              <w:jc w:val="left"/>
            </w:pPr>
            <w:r>
              <w:t xml:space="preserve">Stearic Acid (Vegetable tallow origin)</w:t>
            </w:r>
          </w:p>
        </w:tc>
        <w:tc>
          <w:tcPr/>
          <w:p>
            <w:pPr>
              <w:pStyle w:val="Compact"/>
              <w:jc w:val="left"/>
            </w:pPr>
            <w:r>
              <w:t xml:space="preserve">8.0 kg</w:t>
            </w:r>
          </w:p>
        </w:tc>
        <w:tc>
          <w:tcPr/>
          <w:p>
            <w:pPr>
              <w:pStyle w:val="Compact"/>
              <w:jc w:val="left"/>
            </w:pPr>
            <w:r>
              <w:t xml:space="preserve">Malaysia</w:t>
            </w:r>
          </w:p>
        </w:tc>
        <w:tc>
          <w:tcPr/>
          <w:p>
            <w:pPr>
              <w:pStyle w:val="Compact"/>
              <w:jc w:val="left"/>
            </w:pPr>
            <w:r>
              <w:t xml:space="preserve">Secondary / RSPO data</w:t>
            </w:r>
          </w:p>
        </w:tc>
        <w:tc>
          <w:tcPr/>
          <w:p>
            <w:pPr>
              <w:pStyle w:val="Compact"/>
              <w:jc w:val="left"/>
            </w:pPr>
            <w:r>
              <w:t xml:space="preserve">1.9 (Good)</w:t>
            </w:r>
          </w:p>
        </w:tc>
      </w:tr>
      <w:tr>
        <w:tc>
          <w:tcPr/>
          <w:p>
            <w:pPr>
              <w:pStyle w:val="Compact"/>
              <w:jc w:val="left"/>
            </w:pPr>
            <w:r>
              <w:t xml:space="preserve">Ground Insoluble Sulfur (Curing agent)</w:t>
            </w:r>
          </w:p>
        </w:tc>
        <w:tc>
          <w:tcPr/>
          <w:p>
            <w:pPr>
              <w:pStyle w:val="Compact"/>
              <w:jc w:val="left"/>
            </w:pPr>
            <w:r>
              <w:t xml:space="preserve">12.0 kg</w:t>
            </w:r>
          </w:p>
        </w:tc>
        <w:tc>
          <w:tcPr/>
          <w:p>
            <w:pPr>
              <w:pStyle w:val="Compact"/>
              <w:jc w:val="left"/>
            </w:pPr>
            <w:r>
              <w:t xml:space="preserve">Texas, USA</w:t>
            </w:r>
          </w:p>
        </w:tc>
        <w:tc>
          <w:tcPr/>
          <w:p>
            <w:pPr>
              <w:pStyle w:val="Compact"/>
              <w:jc w:val="left"/>
            </w:pPr>
            <w:r>
              <w:t xml:space="preserve">Secondary (US LCI)</w:t>
            </w:r>
          </w:p>
        </w:tc>
        <w:tc>
          <w:tcPr/>
          <w:p>
            <w:pPr>
              <w:pStyle w:val="Compact"/>
              <w:jc w:val="left"/>
            </w:pPr>
            <w:r>
              <w:t xml:space="preserve">1.6 (High)</w:t>
            </w:r>
          </w:p>
        </w:tc>
      </w:tr>
      <w:tr>
        <w:tc>
          <w:tcPr/>
          <w:p>
            <w:pPr>
              <w:pStyle w:val="Compact"/>
              <w:jc w:val="left"/>
            </w:pPr>
            <w:r>
              <w:t xml:space="preserve">Sulfenamide Accelerator (CBS) &amp; Antidegradants (6PPD)</w:t>
            </w:r>
          </w:p>
        </w:tc>
        <w:tc>
          <w:tcPr/>
          <w:p>
            <w:pPr>
              <w:pStyle w:val="Compact"/>
              <w:jc w:val="left"/>
            </w:pPr>
            <w:r>
              <w:t xml:space="preserve">12.0 kg</w:t>
            </w:r>
          </w:p>
        </w:tc>
        <w:tc>
          <w:tcPr/>
          <w:p>
            <w:pPr>
              <w:pStyle w:val="Compact"/>
              <w:jc w:val="left"/>
            </w:pPr>
            <w:r>
              <w:t xml:space="preserve">Ohio, USA</w:t>
            </w:r>
          </w:p>
        </w:tc>
        <w:tc>
          <w:tcPr/>
          <w:p>
            <w:pPr>
              <w:pStyle w:val="Compact"/>
              <w:jc w:val="left"/>
            </w:pPr>
            <w:r>
              <w:t xml:space="preserve">Primary supplier data</w:t>
            </w:r>
          </w:p>
        </w:tc>
        <w:tc>
          <w:tcPr/>
          <w:p>
            <w:pPr>
              <w:pStyle w:val="Compact"/>
              <w:jc w:val="left"/>
            </w:pPr>
            <w:r>
              <w:t xml:space="preserve">1.5 (High)</w:t>
            </w:r>
          </w:p>
        </w:tc>
      </w:tr>
      <w:tr>
        <w:tc>
          <w:tcPr>
            <w:gridSpan w:val="5"/>
          </w:tcPr>
          <w:p>
            <w:pPr>
              <w:pStyle w:val="Compact"/>
              <w:jc w:val="left"/>
            </w:pPr>
            <w:r>
              <w:t xml:space="preserve">4. Inbound Transportation &amp; Logistics (Scope 3, Cat 4)</w:t>
            </w:r>
          </w:p>
        </w:tc>
      </w:tr>
      <w:tr>
        <w:tc>
          <w:tcPr/>
          <w:p>
            <w:pPr>
              <w:pStyle w:val="Compact"/>
              <w:jc w:val="left"/>
            </w:pPr>
            <w:r>
              <w:t xml:space="preserve">Ocean Freight (Container Vessel, TSR 20)</w:t>
            </w:r>
          </w:p>
        </w:tc>
        <w:tc>
          <w:tcPr/>
          <w:p>
            <w:pPr>
              <w:pStyle w:val="Compact"/>
              <w:jc w:val="left"/>
            </w:pPr>
            <w:r>
              <w:t xml:space="preserve">18,500 t*km</w:t>
            </w:r>
          </w:p>
        </w:tc>
        <w:tc>
          <w:tcPr/>
          <w:p>
            <w:pPr>
              <w:pStyle w:val="Compact"/>
              <w:jc w:val="left"/>
            </w:pPr>
            <w:r>
              <w:t xml:space="preserve">SE Asia to Port of Houston</w:t>
            </w:r>
          </w:p>
        </w:tc>
        <w:tc>
          <w:tcPr/>
          <w:p>
            <w:pPr>
              <w:pStyle w:val="Compact"/>
              <w:jc w:val="left"/>
            </w:pPr>
            <w:r>
              <w:t xml:space="preserve">Primary shipping line data</w:t>
            </w:r>
          </w:p>
        </w:tc>
        <w:tc>
          <w:tcPr/>
          <w:p>
            <w:pPr>
              <w:pStyle w:val="Compact"/>
              <w:jc w:val="left"/>
            </w:pPr>
            <w:r>
              <w:t xml:space="preserve">1.3 (High)</w:t>
            </w:r>
          </w:p>
        </w:tc>
      </w:tr>
      <w:tr>
        <w:tc>
          <w:tcPr/>
          <w:p>
            <w:pPr>
              <w:pStyle w:val="Compact"/>
              <w:jc w:val="left"/>
            </w:pPr>
            <w:r>
              <w:t xml:space="preserve">Domestic Class I Rail (Heavy freight bulk)</w:t>
            </w:r>
          </w:p>
        </w:tc>
        <w:tc>
          <w:tcPr/>
          <w:p>
            <w:pPr>
              <w:pStyle w:val="Compact"/>
              <w:jc w:val="left"/>
            </w:pPr>
            <w:r>
              <w:t xml:space="preserve">1,120 t*km</w:t>
            </w:r>
          </w:p>
        </w:tc>
        <w:tc>
          <w:tcPr/>
          <w:p>
            <w:pPr>
              <w:pStyle w:val="Compact"/>
              <w:jc w:val="left"/>
            </w:pPr>
            <w:r>
              <w:t xml:space="preserve">Gulf Coast to Ohio compounding plant</w:t>
            </w:r>
          </w:p>
        </w:tc>
        <w:tc>
          <w:tcPr/>
          <w:p>
            <w:pPr>
              <w:pStyle w:val="Compact"/>
              <w:jc w:val="left"/>
            </w:pPr>
            <w:r>
              <w:t xml:space="preserve">Primary carrier dispatch</w:t>
            </w:r>
          </w:p>
        </w:tc>
        <w:tc>
          <w:tcPr/>
          <w:p>
            <w:pPr>
              <w:pStyle w:val="Compact"/>
              <w:jc w:val="left"/>
            </w:pPr>
            <w:r>
              <w:t xml:space="preserve">1.2 (Excellent)</w:t>
            </w:r>
          </w:p>
        </w:tc>
      </w:tr>
      <w:tr>
        <w:tc>
          <w:tcPr/>
          <w:p>
            <w:pPr>
              <w:pStyle w:val="Compact"/>
              <w:jc w:val="left"/>
            </w:pPr>
            <w:r>
              <w:t xml:space="preserve">Long-haul Diesel Trucking (Euro VI / EPA 2021)</w:t>
            </w:r>
          </w:p>
        </w:tc>
        <w:tc>
          <w:tcPr/>
          <w:p>
            <w:pPr>
              <w:pStyle w:val="Compact"/>
              <w:jc w:val="left"/>
            </w:pPr>
            <w:r>
              <w:t xml:space="preserve">480 t*km</w:t>
            </w:r>
          </w:p>
        </w:tc>
        <w:tc>
          <w:tcPr/>
          <w:p>
            <w:pPr>
              <w:pStyle w:val="Compact"/>
              <w:jc w:val="left"/>
            </w:pPr>
            <w:r>
              <w:t xml:space="preserve">Regional chemical logistics</w:t>
            </w:r>
          </w:p>
        </w:tc>
        <w:tc>
          <w:tcPr/>
          <w:p>
            <w:pPr>
              <w:pStyle w:val="Compact"/>
              <w:jc w:val="left"/>
            </w:pPr>
            <w:r>
              <w:t xml:space="preserve">Fleet telematics records</w:t>
            </w:r>
          </w:p>
        </w:tc>
        <w:tc>
          <w:tcPr/>
          <w:p>
            <w:pPr>
              <w:pStyle w:val="Compact"/>
              <w:jc w:val="left"/>
            </w:pPr>
            <w:r>
              <w:t xml:space="preserve">1.1 (Excellent)</w:t>
            </w:r>
          </w:p>
        </w:tc>
      </w:tr>
      <w:tr>
        <w:tc>
          <w:tcPr>
            <w:gridSpan w:val="5"/>
          </w:tcPr>
          <w:p>
            <w:pPr>
              <w:pStyle w:val="Compact"/>
              <w:jc w:val="left"/>
            </w:pPr>
            <w:r>
              <w:t xml:space="preserve">5. Facility Compounding Inputs (Scope 1 &amp; Scope 2 - In-Gate)</w:t>
            </w:r>
          </w:p>
        </w:tc>
      </w:tr>
      <w:tr>
        <w:tc>
          <w:tcPr/>
          <w:p>
            <w:pPr>
              <w:pStyle w:val="Compact"/>
              <w:jc w:val="left"/>
            </w:pPr>
            <w:r>
              <w:t xml:space="preserve">Purchased Electricity (RFCW Regional Grid)</w:t>
            </w:r>
          </w:p>
        </w:tc>
        <w:tc>
          <w:tcPr/>
          <w:p>
            <w:pPr>
              <w:pStyle w:val="Compact"/>
              <w:jc w:val="left"/>
            </w:pPr>
            <w:r>
              <w:t xml:space="preserve">460.0 kWh</w:t>
            </w:r>
          </w:p>
        </w:tc>
        <w:tc>
          <w:tcPr/>
          <w:p>
            <w:pPr>
              <w:pStyle w:val="Compact"/>
              <w:jc w:val="left"/>
            </w:pPr>
            <w:r>
              <w:t xml:space="preserve">Ohio Facility Substation</w:t>
            </w:r>
          </w:p>
        </w:tc>
        <w:tc>
          <w:tcPr/>
          <w:p>
            <w:pPr>
              <w:pStyle w:val="Compact"/>
              <w:jc w:val="left"/>
            </w:pPr>
            <w:r>
              <w:t xml:space="preserve">Utility smart meter</w:t>
            </w:r>
          </w:p>
        </w:tc>
        <w:tc>
          <w:tcPr/>
          <w:p>
            <w:pPr>
              <w:pStyle w:val="Compact"/>
              <w:jc w:val="left"/>
            </w:pPr>
            <w:r>
              <w:t xml:space="preserve">1.0 (Direct Empirical)</w:t>
            </w:r>
          </w:p>
        </w:tc>
      </w:tr>
      <w:tr>
        <w:tc>
          <w:tcPr/>
          <w:p>
            <w:pPr>
              <w:pStyle w:val="Compact"/>
              <w:jc w:val="left"/>
            </w:pPr>
            <w:r>
              <w:t xml:space="preserve">Natural Gas (Direct combustion for space &amp; steam)</w:t>
            </w:r>
          </w:p>
        </w:tc>
        <w:tc>
          <w:tcPr/>
          <w:p>
            <w:pPr>
              <w:pStyle w:val="Compact"/>
              <w:jc w:val="left"/>
            </w:pPr>
            <w:r>
              <w:t xml:space="preserve">68.5 Nm</w:t>
            </w:r>
            <w:r>
              <w:rPr>
                <w:vertAlign w:val="superscript"/>
              </w:rPr>
              <w:t xml:space="preserve">3</w:t>
            </w:r>
          </w:p>
        </w:tc>
        <w:tc>
          <w:tcPr/>
          <w:p>
            <w:pPr>
              <w:pStyle w:val="Compact"/>
              <w:jc w:val="left"/>
            </w:pPr>
            <w:r>
              <w:t xml:space="preserve">Pipeline gas utility</w:t>
            </w:r>
          </w:p>
        </w:tc>
        <w:tc>
          <w:tcPr/>
          <w:p>
            <w:pPr>
              <w:pStyle w:val="Compact"/>
              <w:jc w:val="left"/>
            </w:pPr>
            <w:r>
              <w:t xml:space="preserve">Revenue gas meters</w:t>
            </w:r>
          </w:p>
        </w:tc>
        <w:tc>
          <w:tcPr/>
          <w:p>
            <w:pPr>
              <w:pStyle w:val="Compact"/>
              <w:jc w:val="left"/>
            </w:pPr>
            <w:r>
              <w:t xml:space="preserve">1.0 (Direct Empirical)</w:t>
            </w:r>
          </w:p>
        </w:tc>
      </w:tr>
      <w:tr>
        <w:tc>
          <w:tcPr/>
          <w:p>
            <w:pPr>
              <w:pStyle w:val="Compact"/>
              <w:jc w:val="left"/>
            </w:pPr>
            <w:r>
              <w:t xml:space="preserve">Direct Fugitive Solvents &amp; Lubricant losses</w:t>
            </w:r>
          </w:p>
        </w:tc>
        <w:tc>
          <w:tcPr/>
          <w:p>
            <w:pPr>
              <w:pStyle w:val="Compact"/>
              <w:jc w:val="left"/>
            </w:pPr>
            <w:r>
              <w:t xml:space="preserve">1.2 kg</w:t>
            </w:r>
          </w:p>
        </w:tc>
        <w:tc>
          <w:tcPr/>
          <w:p>
            <w:pPr>
              <w:pStyle w:val="Compact"/>
              <w:jc w:val="left"/>
            </w:pPr>
            <w:r>
              <w:t xml:space="preserve">Process monitoring</w:t>
            </w:r>
          </w:p>
        </w:tc>
        <w:tc>
          <w:tcPr/>
          <w:p>
            <w:pPr>
              <w:pStyle w:val="Compact"/>
              <w:jc w:val="left"/>
            </w:pPr>
            <w:r>
              <w:t xml:space="preserve">Plant mass balance</w:t>
            </w:r>
          </w:p>
        </w:tc>
        <w:tc>
          <w:tcPr/>
          <w:p>
            <w:pPr>
              <w:pStyle w:val="Compact"/>
              <w:jc w:val="left"/>
            </w:pPr>
            <w:r>
              <w:t xml:space="preserve">1.4 (High)</w:t>
            </w:r>
          </w:p>
        </w:tc>
      </w:tr>
    </w:tbl>
    <w:p>
      <w:r>
        <w:pict>
          <v:rect style="width:0;height:1.5pt" o:hralign="center" o:hrstd="t" o:hr="t"/>
        </w:pict>
      </w:r>
    </w:p>
    <w:bookmarkEnd w:id="28"/>
    <w:bookmarkEnd w:id="29"/>
    <w:bookmarkStart w:id="31" w:name="Xbb8262cf1bf51035715ecaff0ec4350abd65786"/>
    <w:p>
      <w:pPr>
        <w:pStyle w:val="Heading1"/>
      </w:pPr>
      <w:r>
        <w:t xml:space="preserve">Step 4: Emission Calculation &amp; Factor Analysis</w:t>
      </w:r>
    </w:p>
    <w:p>
      <w:pPr>
        <w:pStyle w:val="FirstParagraph"/>
      </w:pPr>
      <w:r>
        <w:t xml:space="preserve">Greenhouse gas emissions are computed by multiplying verified activity quantities by scientifically validated emission factors:</w:t>
      </w:r>
    </w:p>
    <w:p>
      <w:pPr>
        <w:pStyle w:val="BodyText"/>
      </w:pPr>
      <w:r>
        <w:t xml:space="preserve">Emission (kg CO</w:t>
      </w:r>
      <w:r>
        <w:rPr>
          <w:vertAlign w:val="subscript"/>
        </w:rPr>
        <w:t xml:space="preserve">2</w:t>
      </w:r>
      <w:r>
        <w:t xml:space="preserve">e) = Activity Data [Unit] × Emission Factor [kg CO</w:t>
      </w:r>
      <w:r>
        <w:rPr>
          <w:vertAlign w:val="subscript"/>
        </w:rPr>
        <w:t xml:space="preserve">2</w:t>
      </w:r>
      <w:r>
        <w:t xml:space="preserve">e / Unit]</w:t>
      </w:r>
    </w:p>
    <w:p>
      <w:pPr>
        <w:pStyle w:val="BodyText"/>
      </w:pPr>
      <w:r>
        <w:t xml:space="preserve">Emission factors reflect Global Warming Potentials (GWPs) from the IPCC Sixth Assessment Report (AR6, 100-year horizon including climate-carbon feedbacks).</w:t>
      </w:r>
    </w:p>
    <w:bookmarkStart w:id="30" w:name="Xbd9d56c33d3c912da7a2311c8a9a67b59236acc"/>
    <w:p>
      <w:pPr>
        <w:pStyle w:val="Heading3"/>
      </w:pPr>
      <w:r>
        <w:t xml:space="preserve">Comprehensive Carbon Accounting Breakdown (per 1.0 MT Compounded Rubber)</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Lifecycle Inventory Flow</w:t>
            </w:r>
          </w:p>
        </w:tc>
        <w:tc>
          <w:tcPr/>
          <w:p>
            <w:pPr>
              <w:pStyle w:val="Compact"/>
              <w:jc w:val="left"/>
            </w:pPr>
            <w:r>
              <w:t xml:space="preserve">Activity Value</w:t>
            </w:r>
          </w:p>
        </w:tc>
        <w:tc>
          <w:tcPr/>
          <w:p>
            <w:pPr>
              <w:pStyle w:val="Compact"/>
              <w:jc w:val="left"/>
            </w:pPr>
            <w:r>
              <w:t xml:space="preserve">Emission Factor</w:t>
            </w:r>
          </w:p>
        </w:tc>
        <w:tc>
          <w:tcPr/>
          <w:p>
            <w:pPr>
              <w:pStyle w:val="Compact"/>
              <w:jc w:val="left"/>
            </w:pPr>
            <w:r>
              <w:t xml:space="preserve">EF Source Reference</w:t>
            </w:r>
          </w:p>
        </w:tc>
        <w:tc>
          <w:tcPr/>
          <w:p>
            <w:pPr>
              <w:pStyle w:val="Compact"/>
              <w:jc w:val="left"/>
            </w:pPr>
            <w:r>
              <w:t xml:space="preserve">GHG Emissions (kg CO</w:t>
            </w:r>
            <w:r>
              <w:rPr>
                <w:vertAlign w:val="subscript"/>
              </w:rPr>
              <w:t xml:space="preserve">2</w:t>
            </w:r>
            <w:r>
              <w:t xml:space="preserve">e)</w:t>
            </w:r>
          </w:p>
        </w:tc>
        <w:tc>
          <w:tcPr/>
          <w:p>
            <w:pPr>
              <w:pStyle w:val="Compact"/>
              <w:jc w:val="left"/>
            </w:pPr>
            <w:r>
              <w:t xml:space="preserve">GHG Scope</w:t>
            </w:r>
          </w:p>
        </w:tc>
      </w:tr>
      <w:tr>
        <w:tc>
          <w:tcPr/>
          <w:p>
            <w:pPr>
              <w:pStyle w:val="Compact"/>
              <w:jc w:val="left"/>
            </w:pPr>
            <w:r>
              <w:t xml:space="preserve">Direct Natural Gas Combustion</w:t>
            </w:r>
          </w:p>
        </w:tc>
        <w:tc>
          <w:tcPr/>
          <w:p>
            <w:pPr>
              <w:pStyle w:val="Compact"/>
              <w:jc w:val="left"/>
            </w:pPr>
            <w:r>
              <w:t xml:space="preserve">68.50 Nm</w:t>
            </w:r>
            <w:r>
              <w:rPr>
                <w:vertAlign w:val="superscript"/>
              </w:rPr>
              <w:t xml:space="preserve">3</w:t>
            </w:r>
          </w:p>
        </w:tc>
        <w:tc>
          <w:tcPr/>
          <w:p>
            <w:pPr>
              <w:pStyle w:val="Compact"/>
              <w:jc w:val="left"/>
            </w:pPr>
            <w:r>
              <w:t xml:space="preserve">2.028 kg CO</w:t>
            </w:r>
            <w:r>
              <w:rPr>
                <w:vertAlign w:val="subscript"/>
              </w:rPr>
              <w:t xml:space="preserve">2</w:t>
            </w:r>
            <w:r>
              <w:t xml:space="preserve">e/Nm</w:t>
            </w:r>
            <w:r>
              <w:rPr>
                <w:vertAlign w:val="superscript"/>
              </w:rPr>
              <w:t xml:space="preserve">3</w:t>
            </w:r>
          </w:p>
        </w:tc>
        <w:tc>
          <w:tcPr/>
          <w:p>
            <w:pPr>
              <w:pStyle w:val="Compact"/>
              <w:jc w:val="left"/>
            </w:pPr>
            <w:r>
              <w:t xml:space="preserve">US EPA GHG Hub / DEFRA 2025</w:t>
            </w:r>
          </w:p>
        </w:tc>
        <w:tc>
          <w:tcPr/>
          <w:p>
            <w:pPr>
              <w:pStyle w:val="Compact"/>
              <w:jc w:val="left"/>
            </w:pPr>
            <w:r>
              <w:t xml:space="preserve">138.92</w:t>
            </w:r>
          </w:p>
        </w:tc>
        <w:tc>
          <w:tcPr/>
          <w:p>
            <w:pPr>
              <w:pStyle w:val="Compact"/>
              <w:jc w:val="left"/>
            </w:pPr>
            <w:r>
              <w:t xml:space="preserve">Scope 1</w:t>
            </w:r>
          </w:p>
        </w:tc>
      </w:tr>
      <w:tr>
        <w:tc>
          <w:tcPr/>
          <w:p>
            <w:pPr>
              <w:pStyle w:val="Compact"/>
              <w:jc w:val="left"/>
            </w:pPr>
            <w:r>
              <w:t xml:space="preserve">Fugitive Solvents &amp; Flaring</w:t>
            </w:r>
          </w:p>
        </w:tc>
        <w:tc>
          <w:tcPr/>
          <w:p>
            <w:pPr>
              <w:pStyle w:val="Compact"/>
              <w:jc w:val="left"/>
            </w:pPr>
            <w:r>
              <w:t xml:space="preserve">1.20 kg</w:t>
            </w:r>
          </w:p>
        </w:tc>
        <w:tc>
          <w:tcPr/>
          <w:p>
            <w:pPr>
              <w:pStyle w:val="Compact"/>
              <w:jc w:val="left"/>
            </w:pPr>
            <w:r>
              <w:t xml:space="preserve">2.983 kg CO</w:t>
            </w:r>
            <w:r>
              <w:rPr>
                <w:vertAlign w:val="subscript"/>
              </w:rPr>
              <w:t xml:space="preserve">2</w:t>
            </w:r>
            <w:r>
              <w:t xml:space="preserve">e/kg</w:t>
            </w:r>
          </w:p>
        </w:tc>
        <w:tc>
          <w:tcPr/>
          <w:p>
            <w:pPr>
              <w:pStyle w:val="Compact"/>
              <w:jc w:val="left"/>
            </w:pPr>
            <w:r>
              <w:t xml:space="preserve">Primary Mass Balance</w:t>
            </w:r>
          </w:p>
        </w:tc>
        <w:tc>
          <w:tcPr/>
          <w:p>
            <w:pPr>
              <w:pStyle w:val="Compact"/>
              <w:jc w:val="left"/>
            </w:pPr>
            <w:r>
              <w:t xml:space="preserve">3.58</w:t>
            </w:r>
          </w:p>
        </w:tc>
        <w:tc>
          <w:tcPr/>
          <w:p>
            <w:pPr>
              <w:pStyle w:val="Compact"/>
              <w:jc w:val="left"/>
            </w:pPr>
            <w:r>
              <w:t xml:space="preserve">Scope 1</w:t>
            </w:r>
          </w:p>
        </w:tc>
      </w:tr>
      <w:tr>
        <w:tc>
          <w:tcPr/>
          <w:p>
            <w:pPr>
              <w:pStyle w:val="Compact"/>
              <w:jc w:val="left"/>
            </w:pPr>
            <w:r>
              <w:t xml:space="preserve">Purchased Electricity (US RFCW Grid)</w:t>
            </w:r>
          </w:p>
        </w:tc>
        <w:tc>
          <w:tcPr/>
          <w:p>
            <w:pPr>
              <w:pStyle w:val="Compact"/>
              <w:jc w:val="left"/>
            </w:pPr>
            <w:r>
              <w:t xml:space="preserve">460.00 kWh</w:t>
            </w:r>
          </w:p>
        </w:tc>
        <w:tc>
          <w:tcPr/>
          <w:p>
            <w:pPr>
              <w:pStyle w:val="Compact"/>
              <w:jc w:val="left"/>
            </w:pPr>
            <w:r>
              <w:t xml:space="preserve">0.4582 kg CO</w:t>
            </w:r>
            <w:r>
              <w:rPr>
                <w:vertAlign w:val="subscript"/>
              </w:rPr>
              <w:t xml:space="preserve">2</w:t>
            </w:r>
            <w:r>
              <w:t xml:space="preserve">e/kWh</w:t>
            </w:r>
          </w:p>
        </w:tc>
        <w:tc>
          <w:tcPr/>
          <w:p>
            <w:pPr>
              <w:pStyle w:val="Compact"/>
              <w:jc w:val="left"/>
            </w:pPr>
            <w:r>
              <w:t xml:space="preserve">EPA eGRID 2025 / CAMX-RFCW</w:t>
            </w:r>
          </w:p>
        </w:tc>
        <w:tc>
          <w:tcPr/>
          <w:p>
            <w:pPr>
              <w:pStyle w:val="Compact"/>
              <w:jc w:val="left"/>
            </w:pPr>
            <w:r>
              <w:t xml:space="preserve">210.77</w:t>
            </w:r>
          </w:p>
        </w:tc>
        <w:tc>
          <w:tcPr/>
          <w:p>
            <w:pPr>
              <w:pStyle w:val="Compact"/>
              <w:jc w:val="left"/>
            </w:pPr>
            <w:r>
              <w:t xml:space="preserve">Scope 2 (Loc)</w:t>
            </w:r>
          </w:p>
        </w:tc>
      </w:tr>
      <w:tr>
        <w:tc>
          <w:tcPr/>
          <w:p>
            <w:pPr>
              <w:pStyle w:val="Compact"/>
              <w:jc w:val="left"/>
            </w:pPr>
            <w:r>
              <w:t xml:space="preserve">Natural Rubber (Farming, Milling, Coagulation)</w:t>
            </w:r>
          </w:p>
        </w:tc>
        <w:tc>
          <w:tcPr/>
          <w:p>
            <w:pPr>
              <w:pStyle w:val="Compact"/>
              <w:jc w:val="left"/>
            </w:pPr>
            <w:r>
              <w:t xml:space="preserve">320.00 kg</w:t>
            </w:r>
          </w:p>
        </w:tc>
        <w:tc>
          <w:tcPr/>
          <w:p>
            <w:pPr>
              <w:pStyle w:val="Compact"/>
              <w:jc w:val="left"/>
            </w:pPr>
            <w:r>
              <w:t xml:space="preserve">1.185 kg CO</w:t>
            </w:r>
            <w:r>
              <w:rPr>
                <w:vertAlign w:val="subscript"/>
              </w:rPr>
              <w:t xml:space="preserve">2</w:t>
            </w:r>
            <w:r>
              <w:t xml:space="preserve">e/kg</w:t>
            </w:r>
          </w:p>
        </w:tc>
        <w:tc>
          <w:tcPr/>
          <w:p>
            <w:pPr>
              <w:pStyle w:val="Compact"/>
              <w:jc w:val="left"/>
            </w:pPr>
            <w:r>
              <w:t xml:space="preserve">EPD / Ecoinvent 3.10 (fossil/N2O)</w:t>
            </w:r>
          </w:p>
        </w:tc>
        <w:tc>
          <w:tcPr/>
          <w:p>
            <w:pPr>
              <w:pStyle w:val="Compact"/>
              <w:jc w:val="left"/>
            </w:pPr>
            <w:r>
              <w:t xml:space="preserve">379.20</w:t>
            </w:r>
          </w:p>
        </w:tc>
        <w:tc>
          <w:tcPr/>
          <w:p>
            <w:pPr>
              <w:pStyle w:val="Compact"/>
              <w:jc w:val="left"/>
            </w:pPr>
            <w:r>
              <w:t xml:space="preserve">Scope 3 (Cat 1)</w:t>
            </w:r>
          </w:p>
        </w:tc>
      </w:tr>
      <w:tr>
        <w:tc>
          <w:tcPr/>
          <w:p>
            <w:pPr>
              <w:pStyle w:val="Compact"/>
              <w:jc w:val="left"/>
            </w:pPr>
            <w:r>
              <w:t xml:space="preserve">Natural Rubber Land Use Change (dLUC/sLUC)</w:t>
            </w:r>
          </w:p>
        </w:tc>
        <w:tc>
          <w:tcPr/>
          <w:p>
            <w:pPr>
              <w:pStyle w:val="Compact"/>
              <w:jc w:val="left"/>
            </w:pPr>
            <w:r>
              <w:t xml:space="preserve">320.00 kg</w:t>
            </w:r>
          </w:p>
        </w:tc>
        <w:tc>
          <w:tcPr/>
          <w:p>
            <w:pPr>
              <w:pStyle w:val="Compact"/>
              <w:jc w:val="left"/>
            </w:pPr>
            <w:r>
              <w:t xml:space="preserve">0.4225 kg CO</w:t>
            </w:r>
            <w:r>
              <w:rPr>
                <w:vertAlign w:val="subscript"/>
              </w:rPr>
              <w:t xml:space="preserve">2</w:t>
            </w:r>
            <w:r>
              <w:t xml:space="preserve">e/kg</w:t>
            </w:r>
          </w:p>
        </w:tc>
        <w:tc>
          <w:tcPr/>
          <w:p>
            <w:pPr>
              <w:pStyle w:val="Compact"/>
              <w:jc w:val="left"/>
            </w:pPr>
            <w:r>
              <w:t xml:space="preserve">GHG Protocol LSR 2026 Model</w:t>
            </w:r>
          </w:p>
        </w:tc>
        <w:tc>
          <w:tcPr/>
          <w:p>
            <w:pPr>
              <w:pStyle w:val="Compact"/>
              <w:jc w:val="left"/>
            </w:pPr>
            <w:r>
              <w:t xml:space="preserve">135.20</w:t>
            </w:r>
          </w:p>
        </w:tc>
        <w:tc>
          <w:tcPr/>
          <w:p>
            <w:pPr>
              <w:pStyle w:val="Compact"/>
              <w:jc w:val="left"/>
            </w:pPr>
            <w:r>
              <w:t xml:space="preserve">Scope 3 (LSR)</w:t>
            </w:r>
          </w:p>
        </w:tc>
      </w:tr>
      <w:tr>
        <w:tc>
          <w:tcPr/>
          <w:p>
            <w:pPr>
              <w:pStyle w:val="Compact"/>
              <w:jc w:val="left"/>
            </w:pPr>
            <w:r>
              <w:t xml:space="preserve">Synthetic SBR Polymerization (E-SBR 1502)</w:t>
            </w:r>
          </w:p>
        </w:tc>
        <w:tc>
          <w:tcPr/>
          <w:p>
            <w:pPr>
              <w:pStyle w:val="Compact"/>
              <w:jc w:val="left"/>
            </w:pPr>
            <w:r>
              <w:t xml:space="preserve">220.00 kg</w:t>
            </w:r>
          </w:p>
        </w:tc>
        <w:tc>
          <w:tcPr/>
          <w:p>
            <w:pPr>
              <w:pStyle w:val="Compact"/>
              <w:jc w:val="left"/>
            </w:pPr>
            <w:r>
              <w:t xml:space="preserve">3.410 kg CO</w:t>
            </w:r>
            <w:r>
              <w:rPr>
                <w:vertAlign w:val="subscript"/>
              </w:rPr>
              <w:t xml:space="preserve">2</w:t>
            </w:r>
            <w:r>
              <w:t xml:space="preserve">e/kg</w:t>
            </w:r>
          </w:p>
        </w:tc>
        <w:tc>
          <w:tcPr/>
          <w:p>
            <w:pPr>
              <w:pStyle w:val="Compact"/>
              <w:jc w:val="left"/>
            </w:pPr>
            <w:r>
              <w:t xml:space="preserve">PlasticsEurope / Ecoinvent 3.10</w:t>
            </w:r>
          </w:p>
        </w:tc>
        <w:tc>
          <w:tcPr/>
          <w:p>
            <w:pPr>
              <w:pStyle w:val="Compact"/>
              <w:jc w:val="left"/>
            </w:pPr>
            <w:r>
              <w:t xml:space="preserve">750.20</w:t>
            </w:r>
          </w:p>
        </w:tc>
        <w:tc>
          <w:tcPr/>
          <w:p>
            <w:pPr>
              <w:pStyle w:val="Compact"/>
              <w:jc w:val="left"/>
            </w:pPr>
            <w:r>
              <w:t xml:space="preserve">Scope 3 (Cat 1)</w:t>
            </w:r>
          </w:p>
        </w:tc>
      </w:tr>
      <w:tr>
        <w:tc>
          <w:tcPr/>
          <w:p>
            <w:pPr>
              <w:pStyle w:val="Compact"/>
              <w:jc w:val="left"/>
            </w:pPr>
            <w:r>
              <w:t xml:space="preserve">Carbon Black (Furnace N330 Process)</w:t>
            </w:r>
          </w:p>
        </w:tc>
        <w:tc>
          <w:tcPr/>
          <w:p>
            <w:pPr>
              <w:pStyle w:val="Compact"/>
              <w:jc w:val="left"/>
            </w:pPr>
            <w:r>
              <w:t xml:space="preserve">300.00 kg</w:t>
            </w:r>
          </w:p>
        </w:tc>
        <w:tc>
          <w:tcPr/>
          <w:p>
            <w:pPr>
              <w:pStyle w:val="Compact"/>
              <w:jc w:val="left"/>
            </w:pPr>
            <w:r>
              <w:t xml:space="preserve">2.780 kg CO</w:t>
            </w:r>
            <w:r>
              <w:rPr>
                <w:vertAlign w:val="subscript"/>
              </w:rPr>
              <w:t xml:space="preserve">2</w:t>
            </w:r>
            <w:r>
              <w:t xml:space="preserve">e/kg</w:t>
            </w:r>
          </w:p>
        </w:tc>
        <w:tc>
          <w:tcPr/>
          <w:p>
            <w:pPr>
              <w:pStyle w:val="Compact"/>
              <w:jc w:val="left"/>
            </w:pPr>
            <w:r>
              <w:t xml:space="preserve">International Carbon Black Assn</w:t>
            </w:r>
          </w:p>
        </w:tc>
        <w:tc>
          <w:tcPr/>
          <w:p>
            <w:pPr>
              <w:pStyle w:val="Compact"/>
              <w:jc w:val="left"/>
            </w:pPr>
            <w:r>
              <w:t xml:space="preserve">834.00</w:t>
            </w:r>
          </w:p>
        </w:tc>
        <w:tc>
          <w:tcPr/>
          <w:p>
            <w:pPr>
              <w:pStyle w:val="Compact"/>
              <w:jc w:val="left"/>
            </w:pPr>
            <w:r>
              <w:t xml:space="preserve">Scope 3 (Cat 1)</w:t>
            </w:r>
          </w:p>
        </w:tc>
      </w:tr>
      <w:tr>
        <w:tc>
          <w:tcPr/>
          <w:p>
            <w:pPr>
              <w:pStyle w:val="Compact"/>
              <w:jc w:val="left"/>
            </w:pPr>
            <w:r>
              <w:t xml:space="preserve">Precipitated Silica Processing</w:t>
            </w:r>
          </w:p>
        </w:tc>
        <w:tc>
          <w:tcPr/>
          <w:p>
            <w:pPr>
              <w:pStyle w:val="Compact"/>
              <w:jc w:val="left"/>
            </w:pPr>
            <w:r>
              <w:t xml:space="preserve">50.00 kg</w:t>
            </w:r>
          </w:p>
        </w:tc>
        <w:tc>
          <w:tcPr/>
          <w:p>
            <w:pPr>
              <w:pStyle w:val="Compact"/>
              <w:jc w:val="left"/>
            </w:pPr>
            <w:r>
              <w:t xml:space="preserve">1.820 kg CO</w:t>
            </w:r>
            <w:r>
              <w:rPr>
                <w:vertAlign w:val="subscript"/>
              </w:rPr>
              <w:t xml:space="preserve">2</w:t>
            </w:r>
            <w:r>
              <w:t xml:space="preserve">e/kg</w:t>
            </w:r>
          </w:p>
        </w:tc>
        <w:tc>
          <w:tcPr/>
          <w:p>
            <w:pPr>
              <w:pStyle w:val="Compact"/>
              <w:jc w:val="left"/>
            </w:pPr>
            <w:r>
              <w:t xml:space="preserve">CEFIC / Ecoinvent 3.10</w:t>
            </w:r>
          </w:p>
        </w:tc>
        <w:tc>
          <w:tcPr/>
          <w:p>
            <w:pPr>
              <w:pStyle w:val="Compact"/>
              <w:jc w:val="left"/>
            </w:pPr>
            <w:r>
              <w:t xml:space="preserve">91.00</w:t>
            </w:r>
          </w:p>
        </w:tc>
        <w:tc>
          <w:tcPr/>
          <w:p>
            <w:pPr>
              <w:pStyle w:val="Compact"/>
              <w:jc w:val="left"/>
            </w:pPr>
            <w:r>
              <w:t xml:space="preserve">Scope 3 (Cat 1)</w:t>
            </w:r>
          </w:p>
        </w:tc>
      </w:tr>
      <w:tr>
        <w:tc>
          <w:tcPr/>
          <w:p>
            <w:pPr>
              <w:pStyle w:val="Compact"/>
              <w:jc w:val="left"/>
            </w:pPr>
            <w:r>
              <w:t xml:space="preserve">Silane Coupling Agent (TESPT)</w:t>
            </w:r>
          </w:p>
        </w:tc>
        <w:tc>
          <w:tcPr/>
          <w:p>
            <w:pPr>
              <w:pStyle w:val="Compact"/>
              <w:jc w:val="left"/>
            </w:pPr>
            <w:r>
              <w:t xml:space="preserve">10.00 kg</w:t>
            </w:r>
          </w:p>
        </w:tc>
        <w:tc>
          <w:tcPr/>
          <w:p>
            <w:pPr>
              <w:pStyle w:val="Compact"/>
              <w:jc w:val="left"/>
            </w:pPr>
            <w:r>
              <w:t xml:space="preserve">5.450 kg CO</w:t>
            </w:r>
            <w:r>
              <w:rPr>
                <w:vertAlign w:val="subscript"/>
              </w:rPr>
              <w:t xml:space="preserve">2</w:t>
            </w:r>
            <w:r>
              <w:t xml:space="preserve">e/kg</w:t>
            </w:r>
          </w:p>
        </w:tc>
        <w:tc>
          <w:tcPr/>
          <w:p>
            <w:pPr>
              <w:pStyle w:val="Compact"/>
              <w:jc w:val="left"/>
            </w:pPr>
            <w:r>
              <w:t xml:space="preserve">Supplier EPD / Ecoinvent</w:t>
            </w:r>
          </w:p>
        </w:tc>
        <w:tc>
          <w:tcPr/>
          <w:p>
            <w:pPr>
              <w:pStyle w:val="Compact"/>
              <w:jc w:val="left"/>
            </w:pPr>
            <w:r>
              <w:t xml:space="preserve">54.50</w:t>
            </w:r>
          </w:p>
        </w:tc>
        <w:tc>
          <w:tcPr/>
          <w:p>
            <w:pPr>
              <w:pStyle w:val="Compact"/>
              <w:jc w:val="left"/>
            </w:pPr>
            <w:r>
              <w:t xml:space="preserve">Scope 3 (Cat 1)</w:t>
            </w:r>
          </w:p>
        </w:tc>
      </w:tr>
      <w:tr>
        <w:tc>
          <w:tcPr/>
          <w:p>
            <w:pPr>
              <w:pStyle w:val="Compact"/>
              <w:jc w:val="left"/>
            </w:pPr>
            <w:r>
              <w:t xml:space="preserve">MES Plasticizer Extender Oil</w:t>
            </w:r>
          </w:p>
        </w:tc>
        <w:tc>
          <w:tcPr/>
          <w:p>
            <w:pPr>
              <w:pStyle w:val="Compact"/>
              <w:jc w:val="left"/>
            </w:pPr>
            <w:r>
              <w:t xml:space="preserve">50.00 kg</w:t>
            </w:r>
          </w:p>
        </w:tc>
        <w:tc>
          <w:tcPr/>
          <w:p>
            <w:pPr>
              <w:pStyle w:val="Compact"/>
              <w:jc w:val="left"/>
            </w:pPr>
            <w:r>
              <w:t xml:space="preserve">1.440 kg CO</w:t>
            </w:r>
            <w:r>
              <w:rPr>
                <w:vertAlign w:val="subscript"/>
              </w:rPr>
              <w:t xml:space="preserve">2</w:t>
            </w:r>
            <w:r>
              <w:t xml:space="preserve">e/kg</w:t>
            </w:r>
          </w:p>
        </w:tc>
        <w:tc>
          <w:tcPr/>
          <w:p>
            <w:pPr>
              <w:pStyle w:val="Compact"/>
              <w:jc w:val="left"/>
            </w:pPr>
            <w:r>
              <w:t xml:space="preserve">CONCAWE / Ecoinvent 3.10</w:t>
            </w:r>
          </w:p>
        </w:tc>
        <w:tc>
          <w:tcPr/>
          <w:p>
            <w:pPr>
              <w:pStyle w:val="Compact"/>
              <w:jc w:val="left"/>
            </w:pPr>
            <w:r>
              <w:t xml:space="preserve">72.00</w:t>
            </w:r>
          </w:p>
        </w:tc>
        <w:tc>
          <w:tcPr/>
          <w:p>
            <w:pPr>
              <w:pStyle w:val="Compact"/>
              <w:jc w:val="left"/>
            </w:pPr>
            <w:r>
              <w:t xml:space="preserve">Scope 3 (Cat 1)</w:t>
            </w:r>
          </w:p>
        </w:tc>
      </w:tr>
      <w:tr>
        <w:tc>
          <w:tcPr/>
          <w:p>
            <w:pPr>
              <w:pStyle w:val="Compact"/>
              <w:jc w:val="left"/>
            </w:pPr>
            <w:r>
              <w:t xml:space="preserve">Zinc Oxide Active Activator</w:t>
            </w:r>
          </w:p>
        </w:tc>
        <w:tc>
          <w:tcPr/>
          <w:p>
            <w:pPr>
              <w:pStyle w:val="Compact"/>
              <w:jc w:val="left"/>
            </w:pPr>
            <w:r>
              <w:t xml:space="preserve">18.00 kg</w:t>
            </w:r>
          </w:p>
        </w:tc>
        <w:tc>
          <w:tcPr/>
          <w:p>
            <w:pPr>
              <w:pStyle w:val="Compact"/>
              <w:jc w:val="left"/>
            </w:pPr>
            <w:r>
              <w:t xml:space="preserve">2.620 kg CO</w:t>
            </w:r>
            <w:r>
              <w:rPr>
                <w:vertAlign w:val="subscript"/>
              </w:rPr>
              <w:t xml:space="preserve">2</w:t>
            </w:r>
            <w:r>
              <w:t xml:space="preserve">e/kg</w:t>
            </w:r>
          </w:p>
        </w:tc>
        <w:tc>
          <w:tcPr/>
          <w:p>
            <w:pPr>
              <w:pStyle w:val="Compact"/>
              <w:jc w:val="left"/>
            </w:pPr>
            <w:r>
              <w:t xml:space="preserve">International Zinc Association</w:t>
            </w:r>
          </w:p>
        </w:tc>
        <w:tc>
          <w:tcPr/>
          <w:p>
            <w:pPr>
              <w:pStyle w:val="Compact"/>
              <w:jc w:val="left"/>
            </w:pPr>
            <w:r>
              <w:t xml:space="preserve">47.16</w:t>
            </w:r>
          </w:p>
        </w:tc>
        <w:tc>
          <w:tcPr/>
          <w:p>
            <w:pPr>
              <w:pStyle w:val="Compact"/>
              <w:jc w:val="left"/>
            </w:pPr>
            <w:r>
              <w:t xml:space="preserve">Scope 3 (Cat 1)</w:t>
            </w:r>
          </w:p>
        </w:tc>
      </w:tr>
      <w:tr>
        <w:tc>
          <w:tcPr/>
          <w:p>
            <w:pPr>
              <w:pStyle w:val="Compact"/>
              <w:jc w:val="left"/>
            </w:pPr>
            <w:r>
              <w:t xml:space="preserve">Stearic Acid &amp; Processing Aids</w:t>
            </w:r>
          </w:p>
        </w:tc>
        <w:tc>
          <w:tcPr/>
          <w:p>
            <w:pPr>
              <w:pStyle w:val="Compact"/>
              <w:jc w:val="left"/>
            </w:pPr>
            <w:r>
              <w:t xml:space="preserve">8.00 kg</w:t>
            </w:r>
          </w:p>
        </w:tc>
        <w:tc>
          <w:tcPr/>
          <w:p>
            <w:pPr>
              <w:pStyle w:val="Compact"/>
              <w:jc w:val="left"/>
            </w:pPr>
            <w:r>
              <w:t xml:space="preserve">2.350 kg CO</w:t>
            </w:r>
            <w:r>
              <w:rPr>
                <w:vertAlign w:val="subscript"/>
              </w:rPr>
              <w:t xml:space="preserve">2</w:t>
            </w:r>
            <w:r>
              <w:t xml:space="preserve">e/kg</w:t>
            </w:r>
          </w:p>
        </w:tc>
        <w:tc>
          <w:tcPr/>
          <w:p>
            <w:pPr>
              <w:pStyle w:val="Compact"/>
              <w:jc w:val="left"/>
            </w:pPr>
            <w:r>
              <w:t xml:space="preserve">RSPO Certified / Ecoinvent 3.10</w:t>
            </w:r>
          </w:p>
        </w:tc>
        <w:tc>
          <w:tcPr/>
          <w:p>
            <w:pPr>
              <w:pStyle w:val="Compact"/>
              <w:jc w:val="left"/>
            </w:pPr>
            <w:r>
              <w:t xml:space="preserve">18.80</w:t>
            </w:r>
          </w:p>
        </w:tc>
        <w:tc>
          <w:tcPr/>
          <w:p>
            <w:pPr>
              <w:pStyle w:val="Compact"/>
              <w:jc w:val="left"/>
            </w:pPr>
            <w:r>
              <w:t xml:space="preserve">Scope 3 (Cat 1)</w:t>
            </w:r>
          </w:p>
        </w:tc>
      </w:tr>
      <w:tr>
        <w:tc>
          <w:tcPr/>
          <w:p>
            <w:pPr>
              <w:pStyle w:val="Compact"/>
              <w:jc w:val="left"/>
            </w:pPr>
            <w:r>
              <w:t xml:space="preserve">Insoluble Sulfur &amp; Curative Package</w:t>
            </w:r>
          </w:p>
        </w:tc>
        <w:tc>
          <w:tcPr/>
          <w:p>
            <w:pPr>
              <w:pStyle w:val="Compact"/>
              <w:jc w:val="left"/>
            </w:pPr>
            <w:r>
              <w:t xml:space="preserve">24.00 kg</w:t>
            </w:r>
          </w:p>
        </w:tc>
        <w:tc>
          <w:tcPr/>
          <w:p>
            <w:pPr>
              <w:pStyle w:val="Compact"/>
              <w:jc w:val="left"/>
            </w:pPr>
            <w:r>
              <w:t xml:space="preserve">2.845 kg CO</w:t>
            </w:r>
            <w:r>
              <w:rPr>
                <w:vertAlign w:val="subscript"/>
              </w:rPr>
              <w:t xml:space="preserve">2</w:t>
            </w:r>
            <w:r>
              <w:t xml:space="preserve">e/kg</w:t>
            </w:r>
          </w:p>
        </w:tc>
        <w:tc>
          <w:tcPr/>
          <w:p>
            <w:pPr>
              <w:pStyle w:val="Compact"/>
              <w:jc w:val="left"/>
            </w:pPr>
            <w:r>
              <w:t xml:space="preserve">US LCI / S&amp;P Chemical EPD</w:t>
            </w:r>
          </w:p>
        </w:tc>
        <w:tc>
          <w:tcPr/>
          <w:p>
            <w:pPr>
              <w:pStyle w:val="Compact"/>
              <w:jc w:val="left"/>
            </w:pPr>
            <w:r>
              <w:t xml:space="preserve">68.28</w:t>
            </w:r>
          </w:p>
        </w:tc>
        <w:tc>
          <w:tcPr/>
          <w:p>
            <w:pPr>
              <w:pStyle w:val="Compact"/>
              <w:jc w:val="left"/>
            </w:pPr>
            <w:r>
              <w:t xml:space="preserve">Scope 3 (Cat 1)</w:t>
            </w:r>
          </w:p>
        </w:tc>
      </w:tr>
      <w:tr>
        <w:tc>
          <w:tcPr/>
          <w:p>
            <w:pPr>
              <w:pStyle w:val="Compact"/>
              <w:jc w:val="left"/>
            </w:pPr>
            <w:r>
              <w:t xml:space="preserve">Maritime Ocean Shipping (TSR 20)</w:t>
            </w:r>
          </w:p>
        </w:tc>
        <w:tc>
          <w:tcPr/>
          <w:p>
            <w:pPr>
              <w:pStyle w:val="Compact"/>
              <w:jc w:val="left"/>
            </w:pPr>
            <w:r>
              <w:t xml:space="preserve">18,500 t*km</w:t>
            </w:r>
          </w:p>
        </w:tc>
        <w:tc>
          <w:tcPr/>
          <w:p>
            <w:pPr>
              <w:pStyle w:val="Compact"/>
              <w:jc w:val="left"/>
            </w:pPr>
            <w:r>
              <w:t xml:space="preserve">0.0151 kg CO</w:t>
            </w:r>
            <w:r>
              <w:rPr>
                <w:vertAlign w:val="subscript"/>
              </w:rPr>
              <w:t xml:space="preserve">2</w:t>
            </w:r>
            <w:r>
              <w:t xml:space="preserve">e/t*km</w:t>
            </w:r>
          </w:p>
        </w:tc>
        <w:tc>
          <w:tcPr/>
          <w:p>
            <w:pPr>
              <w:pStyle w:val="Compact"/>
              <w:jc w:val="left"/>
            </w:pPr>
            <w:r>
              <w:t xml:space="preserve">IMO / DEFRA 2025 Cargo Carrier</w:t>
            </w:r>
          </w:p>
        </w:tc>
        <w:tc>
          <w:tcPr/>
          <w:p>
            <w:pPr>
              <w:pStyle w:val="Compact"/>
              <w:jc w:val="left"/>
            </w:pPr>
            <w:r>
              <w:t xml:space="preserve">279.35</w:t>
            </w:r>
          </w:p>
        </w:tc>
        <w:tc>
          <w:tcPr/>
          <w:p>
            <w:pPr>
              <w:pStyle w:val="Compact"/>
              <w:jc w:val="left"/>
            </w:pPr>
            <w:r>
              <w:t xml:space="preserve">Scope 3 (Cat 4)</w:t>
            </w:r>
          </w:p>
        </w:tc>
      </w:tr>
      <w:tr>
        <w:tc>
          <w:tcPr/>
          <w:p>
            <w:pPr>
              <w:pStyle w:val="Compact"/>
              <w:jc w:val="left"/>
            </w:pPr>
            <w:r>
              <w:t xml:space="preserve">Domestic Freight Rail (Class 1)</w:t>
            </w:r>
          </w:p>
        </w:tc>
        <w:tc>
          <w:tcPr/>
          <w:p>
            <w:pPr>
              <w:pStyle w:val="Compact"/>
              <w:jc w:val="left"/>
            </w:pPr>
            <w:r>
              <w:t xml:space="preserve">1,120 t*km</w:t>
            </w:r>
          </w:p>
        </w:tc>
        <w:tc>
          <w:tcPr/>
          <w:p>
            <w:pPr>
              <w:pStyle w:val="Compact"/>
              <w:jc w:val="left"/>
            </w:pPr>
            <w:r>
              <w:t xml:space="preserve">0.0242 kg CO</w:t>
            </w:r>
            <w:r>
              <w:rPr>
                <w:vertAlign w:val="subscript"/>
              </w:rPr>
              <w:t xml:space="preserve">2</w:t>
            </w:r>
            <w:r>
              <w:t xml:space="preserve">e/t*km</w:t>
            </w:r>
          </w:p>
        </w:tc>
        <w:tc>
          <w:tcPr/>
          <w:p>
            <w:pPr>
              <w:pStyle w:val="Compact"/>
              <w:jc w:val="left"/>
            </w:pPr>
            <w:r>
              <w:t xml:space="preserve">US EPA SmartWay / DEFRA</w:t>
            </w:r>
          </w:p>
        </w:tc>
        <w:tc>
          <w:tcPr/>
          <w:p>
            <w:pPr>
              <w:pStyle w:val="Compact"/>
              <w:jc w:val="left"/>
            </w:pPr>
            <w:r>
              <w:t xml:space="preserve">27.10</w:t>
            </w:r>
          </w:p>
        </w:tc>
        <w:tc>
          <w:tcPr/>
          <w:p>
            <w:pPr>
              <w:pStyle w:val="Compact"/>
              <w:jc w:val="left"/>
            </w:pPr>
            <w:r>
              <w:t xml:space="preserve">Scope 3 (Cat 4)</w:t>
            </w:r>
          </w:p>
        </w:tc>
      </w:tr>
      <w:tr>
        <w:tc>
          <w:tcPr/>
          <w:p>
            <w:pPr>
              <w:pStyle w:val="Compact"/>
              <w:jc w:val="left"/>
            </w:pPr>
            <w:r>
              <w:t xml:space="preserve">Heavy Commercial Truck Transport</w:t>
            </w:r>
          </w:p>
        </w:tc>
        <w:tc>
          <w:tcPr/>
          <w:p>
            <w:pPr>
              <w:pStyle w:val="Compact"/>
              <w:jc w:val="left"/>
            </w:pPr>
            <w:r>
              <w:t xml:space="preserve">480 t*km</w:t>
            </w:r>
          </w:p>
        </w:tc>
        <w:tc>
          <w:tcPr/>
          <w:p>
            <w:pPr>
              <w:pStyle w:val="Compact"/>
              <w:jc w:val="left"/>
            </w:pPr>
            <w:r>
              <w:t xml:space="preserve">0.0605 kg CO</w:t>
            </w:r>
            <w:r>
              <w:rPr>
                <w:vertAlign w:val="subscript"/>
              </w:rPr>
              <w:t xml:space="preserve">2</w:t>
            </w:r>
            <w:r>
              <w:t xml:space="preserve">e/t*km</w:t>
            </w:r>
          </w:p>
        </w:tc>
        <w:tc>
          <w:tcPr/>
          <w:p>
            <w:pPr>
              <w:pStyle w:val="Compact"/>
              <w:jc w:val="left"/>
            </w:pPr>
            <w:r>
              <w:t xml:space="preserve">US EPA SmartWay (Combo Truck)</w:t>
            </w:r>
          </w:p>
        </w:tc>
        <w:tc>
          <w:tcPr/>
          <w:p>
            <w:pPr>
              <w:pStyle w:val="Compact"/>
              <w:jc w:val="left"/>
            </w:pPr>
            <w:r>
              <w:t xml:space="preserve">29.04</w:t>
            </w:r>
          </w:p>
        </w:tc>
        <w:tc>
          <w:tcPr/>
          <w:p>
            <w:pPr>
              <w:pStyle w:val="Compact"/>
              <w:jc w:val="left"/>
            </w:pPr>
            <w:r>
              <w:t xml:space="preserve">Scope 3 (Cat 4)</w:t>
            </w:r>
          </w:p>
        </w:tc>
      </w:tr>
      <w:tr>
        <w:tc>
          <w:tcPr>
            <w:gridSpan w:val="4"/>
          </w:tcPr>
          <w:p>
            <w:pPr>
              <w:pStyle w:val="Compact"/>
              <w:jc w:val="left"/>
            </w:pPr>
            <w:r>
              <w:rPr>
                <w:bCs/>
                <w:b/>
              </w:rPr>
              <w:t xml:space="preserve">Total Gross Cradle-to-Gate Carbon Footprint (Fossil + Land)</w:t>
            </w:r>
          </w:p>
        </w:tc>
        <w:tc>
          <w:tcPr/>
          <w:p>
            <w:pPr>
              <w:pStyle w:val="Compact"/>
              <w:jc w:val="left"/>
            </w:pPr>
            <w:r>
              <w:rPr>
                <w:bCs/>
                <w:b/>
              </w:rPr>
              <w:t xml:space="preserve">3,273.92</w:t>
            </w:r>
          </w:p>
        </w:tc>
        <w:tc>
          <w:tcPr/>
          <w:p>
            <w:pPr>
              <w:pStyle w:val="Compact"/>
              <w:jc w:val="left"/>
            </w:pPr>
            <w:r>
              <w:rPr>
                <w:bCs/>
                <w:b/>
              </w:rPr>
              <w:t xml:space="preserve">100.0%</w:t>
            </w:r>
          </w:p>
        </w:tc>
      </w:tr>
      <w:tr>
        <w:tc>
          <w:tcPr/>
          <w:p>
            <w:pPr>
              <w:pStyle w:val="Compact"/>
              <w:jc w:val="left"/>
            </w:pPr>
            <w:r>
              <w:t xml:space="preserve">Biogenic Carbon Sequestration (In-Rubber)</w:t>
            </w:r>
          </w:p>
        </w:tc>
        <w:tc>
          <w:tcPr/>
          <w:p>
            <w:pPr>
              <w:pStyle w:val="Compact"/>
              <w:jc w:val="left"/>
            </w:pPr>
            <w:r>
              <w:t xml:space="preserve">320.00 kg</w:t>
            </w:r>
          </w:p>
        </w:tc>
        <w:tc>
          <w:tcPr/>
          <w:p>
            <w:pPr>
              <w:pStyle w:val="Compact"/>
              <w:jc w:val="left"/>
            </w:pPr>
            <w:r>
              <w:t xml:space="preserve">-0.9919 kg CO</w:t>
            </w:r>
            <w:r>
              <w:rPr>
                <w:vertAlign w:val="subscript"/>
              </w:rPr>
              <w:t xml:space="preserve">2</w:t>
            </w:r>
            <w:r>
              <w:t xml:space="preserve">e/kg</w:t>
            </w:r>
          </w:p>
        </w:tc>
        <w:tc>
          <w:tcPr/>
          <w:p>
            <w:pPr>
              <w:pStyle w:val="Compact"/>
              <w:jc w:val="left"/>
            </w:pPr>
            <w:r>
              <w:t xml:space="preserve">Photosynthetic biomass capture (LSR 2026)</w:t>
            </w:r>
          </w:p>
        </w:tc>
        <w:tc>
          <w:tcPr/>
          <w:p>
            <w:pPr>
              <w:pStyle w:val="Compact"/>
              <w:jc w:val="left"/>
            </w:pPr>
            <w:r>
              <w:rPr>
                <w:bCs/>
                <w:b/>
              </w:rPr>
              <w:t xml:space="preserve">-317.40</w:t>
            </w:r>
          </w:p>
        </w:tc>
        <w:tc>
          <w:tcPr/>
          <w:p>
            <w:pPr>
              <w:pStyle w:val="Compact"/>
              <w:jc w:val="left"/>
            </w:pPr>
            <w:r>
              <w:t xml:space="preserve">Removals (LSR)</w:t>
            </w:r>
          </w:p>
        </w:tc>
      </w:tr>
      <w:tr>
        <w:tc>
          <w:tcPr>
            <w:gridSpan w:val="4"/>
          </w:tcPr>
          <w:p>
            <w:pPr>
              <w:pStyle w:val="Compact"/>
              <w:jc w:val="left"/>
            </w:pPr>
            <w:r>
              <w:t xml:space="preserve">Net Product Carbon Footprint (including physical biogenic removals)</w:t>
            </w:r>
          </w:p>
        </w:tc>
        <w:tc>
          <w:tcPr/>
          <w:p>
            <w:pPr>
              <w:pStyle w:val="Compact"/>
              <w:jc w:val="left"/>
            </w:pPr>
            <w:r>
              <w:rPr>
                <w:bCs/>
                <w:b/>
              </w:rPr>
              <w:t xml:space="preserve">2,956.52</w:t>
            </w:r>
          </w:p>
        </w:tc>
        <w:tc>
          <w:tcPr/>
          <w:p>
            <w:pPr>
              <w:pStyle w:val="Compact"/>
              <w:jc w:val="left"/>
            </w:pPr>
            <w:r>
              <w:t xml:space="preserve">Net Basis</w:t>
            </w:r>
          </w:p>
        </w:tc>
      </w:tr>
    </w:tbl>
    <w:p>
      <w:pPr>
        <w:pStyle w:val="BodyText"/>
      </w:pPr>
      <w:r>
        <w:rPr>
          <w:bCs/>
          <w:b/>
        </w:rPr>
        <w:t xml:space="preserve">2026 Scope 3 Compliance Audit:</w:t>
      </w:r>
      <w:r>
        <w:t xml:space="preserve"> </w:t>
      </w:r>
      <w:r>
        <w:t xml:space="preserve">Cumulative upstream Scope 3 emissions stand at</w:t>
      </w:r>
      <w:r>
        <w:t xml:space="preserve"> </w:t>
      </w:r>
      <w:r>
        <w:rPr>
          <w:bCs/>
          <w:b/>
        </w:rPr>
        <w:t xml:space="preserve">2,920.63 kg CO</w:t>
      </w:r>
      <w:r>
        <w:rPr>
          <w:vertAlign w:val="subscript"/>
          <w:bCs/>
          <w:b/>
        </w:rPr>
        <w:t xml:space="preserve">2</w:t>
      </w:r>
      <w:r>
        <w:rPr>
          <w:bCs/>
          <w:b/>
        </w:rPr>
        <w:t xml:space="preserve">e</w:t>
      </w:r>
      <w:r>
        <w:t xml:space="preserve">, representing</w:t>
      </w:r>
      <w:r>
        <w:t xml:space="preserve"> </w:t>
      </w:r>
      <w:r>
        <w:rPr>
          <w:bCs/>
          <w:b/>
        </w:rPr>
        <w:t xml:space="preserve">89.2%</w:t>
      </w:r>
      <w:r>
        <w:t xml:space="preserve"> </w:t>
      </w:r>
      <w:r>
        <w:t xml:space="preserve">of total fossil emissions and</w:t>
      </w:r>
      <w:r>
        <w:t xml:space="preserve"> </w:t>
      </w:r>
      <w:r>
        <w:rPr>
          <w:bCs/>
          <w:b/>
        </w:rPr>
        <w:t xml:space="preserve">94.2%</w:t>
      </w:r>
      <w:r>
        <w:t xml:space="preserve"> </w:t>
      </w:r>
      <w:r>
        <w:t xml:space="preserve">when combined with land use change. Excluded minor flows (packaging strapping, water treatment additives, laboratory consumables) totaled</w:t>
      </w:r>
      <w:r>
        <w:t xml:space="preserve"> </w:t>
      </w:r>
      <w:r>
        <w:rPr>
          <w:bCs/>
          <w:b/>
        </w:rPr>
        <w:t xml:space="preserve">18.4 kg CO</w:t>
      </w:r>
      <w:r>
        <w:rPr>
          <w:vertAlign w:val="subscript"/>
          <w:bCs/>
          <w:b/>
        </w:rPr>
        <w:t xml:space="preserve">2</w:t>
      </w:r>
      <w:r>
        <w:rPr>
          <w:bCs/>
          <w:b/>
        </w:rPr>
        <w:t xml:space="preserve">e</w:t>
      </w:r>
      <w:r>
        <w:t xml:space="preserve"> </w:t>
      </w:r>
      <w:r>
        <w:t xml:space="preserve">(&lt; 0.6% mass/energy threshold). Hence, Scope 3 reporting coverage achieves</w:t>
      </w:r>
      <w:r>
        <w:t xml:space="preserve"> </w:t>
      </w:r>
      <w:r>
        <w:rPr>
          <w:bCs/>
          <w:b/>
        </w:rPr>
        <w:t xml:space="preserve">99.4%</w:t>
      </w:r>
      <w:r>
        <w:t xml:space="preserve">, easily surpassing the mandatory 95% threshold.</w:t>
      </w:r>
    </w:p>
    <w:p>
      <w:r>
        <w:pict>
          <v:rect style="width:0;height:1.5pt" o:hralign="center" o:hrstd="t" o:hr="t"/>
        </w:pict>
      </w:r>
    </w:p>
    <w:bookmarkEnd w:id="30"/>
    <w:bookmarkEnd w:id="31"/>
    <w:bookmarkStart w:id="37" w:name="X831f73966abfe0dffa229b3876178f156bbe6a8"/>
    <w:p>
      <w:pPr>
        <w:pStyle w:val="Heading1"/>
      </w:pPr>
      <w:r>
        <w:t xml:space="preserve">Step 5: Review, Interpretation &amp; Decarbonization Roadmap</w:t>
      </w:r>
    </w:p>
    <w:bookmarkStart w:id="32" w:name="hotspot-identification-pareto-analysis"/>
    <w:p>
      <w:pPr>
        <w:pStyle w:val="Heading2"/>
      </w:pPr>
      <w:r>
        <w:t xml:space="preserve">5.1 Hotspot Identification (Pareto Analysis)</w:t>
      </w:r>
    </w:p>
    <w:p>
      <w:pPr>
        <w:pStyle w:val="FirstParagraph"/>
      </w:pPr>
      <w:r>
        <w:t xml:space="preserve">The life cycle emission structure reveals extreme upstream concentration:</w:t>
      </w:r>
    </w:p>
    <w:p>
      <w:pPr>
        <w:numPr>
          <w:ilvl w:val="0"/>
          <w:numId w:val="1005"/>
        </w:numPr>
        <w:pStyle w:val="Compact"/>
      </w:pPr>
      <w:r>
        <w:rPr>
          <w:bCs/>
          <w:b/>
        </w:rPr>
        <w:t xml:space="preserve">Hotspot 1: Carbon Black (25.5% of total):</w:t>
      </w:r>
      <w:r>
        <w:t xml:space="preserve"> </w:t>
      </w:r>
      <w:r>
        <w:t xml:space="preserve">The incomplete thermal combustion of heavy aromatic residual oil under the furnace black process yields significant process CO</w:t>
      </w:r>
      <w:r>
        <w:rPr>
          <w:vertAlign w:val="subscript"/>
        </w:rPr>
        <w:t xml:space="preserve">2</w:t>
      </w:r>
      <w:r>
        <w:t xml:space="preserve">. Transitioning to circular or methane-pyrolysis recovered carbon black (rCB) represents the single largest decarbonization opportunity.</w:t>
      </w:r>
    </w:p>
    <w:p>
      <w:pPr>
        <w:numPr>
          <w:ilvl w:val="0"/>
          <w:numId w:val="1005"/>
        </w:numPr>
        <w:pStyle w:val="Compact"/>
      </w:pPr>
      <w:r>
        <w:rPr>
          <w:bCs/>
          <w:b/>
        </w:rPr>
        <w:t xml:space="preserve">Hotspot 2: Synthetic SBR Polymerization (22.9% of total):</w:t>
      </w:r>
      <w:r>
        <w:t xml:space="preserve"> </w:t>
      </w:r>
      <w:r>
        <w:t xml:space="preserve">Energy-intensive butadiene extraction and emulsion copolymerization drive large fossil energy inputs. Shifting to bio-butadiene or mass-balanced circular monomer chains could cut SBR emissions by up to 60%.</w:t>
      </w:r>
    </w:p>
    <w:p>
      <w:pPr>
        <w:numPr>
          <w:ilvl w:val="0"/>
          <w:numId w:val="1005"/>
        </w:numPr>
        <w:pStyle w:val="Compact"/>
      </w:pPr>
      <w:r>
        <w:rPr>
          <w:bCs/>
          <w:b/>
        </w:rPr>
        <w:t xml:space="preserve">Hotspot 3: Natural Rubber Cultivation &amp; LUC (15.7% combined):</w:t>
      </w:r>
      <w:r>
        <w:t xml:space="preserve"> </w:t>
      </w:r>
      <w:r>
        <w:t xml:space="preserve">While agricultural latex has a lower fossil burden than SBR, land-use change and methane releases from coagulation wastewater constitute critical challenges. The 2026 LSR framework mandates zero-deforestation certification (EUDR-aligned).</w:t>
      </w:r>
    </w:p>
    <w:p>
      <w:pPr>
        <w:numPr>
          <w:ilvl w:val="0"/>
          <w:numId w:val="1005"/>
        </w:numPr>
        <w:pStyle w:val="Compact"/>
      </w:pPr>
      <w:r>
        <w:rPr>
          <w:bCs/>
          <w:b/>
        </w:rPr>
        <w:t xml:space="preserve">Hotspot 4: Transoceanic Maritime Freight (8.5% of total):</w:t>
      </w:r>
      <w:r>
        <w:t xml:space="preserve"> </w:t>
      </w:r>
      <w:r>
        <w:t xml:space="preserve">Bulk transport of crumb rubber blocks from Southeast Asia across the Pacific/Panama Canal contributes 279.35 kg CO</w:t>
      </w:r>
      <w:r>
        <w:rPr>
          <w:vertAlign w:val="subscript"/>
        </w:rPr>
        <w:t xml:space="preserve">2</w:t>
      </w:r>
      <w:r>
        <w:t xml:space="preserve">e/t rubber. Alternative sourcing or green methanol-powered vessels provide mitigation pathways.</w:t>
      </w:r>
    </w:p>
    <w:p>
      <w:pPr>
        <w:numPr>
          <w:ilvl w:val="0"/>
          <w:numId w:val="1005"/>
        </w:numPr>
        <w:pStyle w:val="Compact"/>
      </w:pPr>
      <w:r>
        <w:rPr>
          <w:bCs/>
          <w:b/>
        </w:rPr>
        <w:t xml:space="preserve">Hotspot 5: Factory Compounding Energy (10.7% Scope 1 &amp; 2):</w:t>
      </w:r>
      <w:r>
        <w:t xml:space="preserve"> </w:t>
      </w:r>
      <w:r>
        <w:t xml:space="preserve">Internal Banbury mixing cycles generate high shear heat requiring significant electrical chilling and motor power.</w:t>
      </w:r>
    </w:p>
    <w:bookmarkEnd w:id="32"/>
    <w:bookmarkStart w:id="33" w:name="X0a555869504234d9b93d4c399d6ba5820cbbb80"/>
    <w:p>
      <w:pPr>
        <w:pStyle w:val="Heading2"/>
      </w:pPr>
      <w:r>
        <w:t xml:space="preserve">5.2 Data Quality and Pedigree Matrix Assessment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Data Quality Indicator</w:t>
            </w:r>
          </w:p>
        </w:tc>
        <w:tc>
          <w:tcPr/>
          <w:p>
            <w:pPr>
              <w:pStyle w:val="Compact"/>
              <w:jc w:val="left"/>
            </w:pPr>
            <w:r>
              <w:t xml:space="preserve">Assessment &amp; Justification</w:t>
            </w:r>
          </w:p>
        </w:tc>
        <w:tc>
          <w:tcPr/>
          <w:p>
            <w:pPr>
              <w:pStyle w:val="Compact"/>
              <w:jc w:val="left"/>
            </w:pPr>
            <w:r>
              <w:t xml:space="preserve">Score (1 = Best, 5 = Poor)</w:t>
            </w:r>
          </w:p>
        </w:tc>
      </w:tr>
      <w:tr>
        <w:tc>
          <w:tcPr/>
          <w:p>
            <w:pPr>
              <w:pStyle w:val="Compact"/>
              <w:jc w:val="left"/>
            </w:pPr>
            <w:r>
              <w:rPr>
                <w:bCs/>
                <w:b/>
              </w:rPr>
              <w:t xml:space="preserve">Technological Representativeness</w:t>
            </w:r>
          </w:p>
        </w:tc>
        <w:tc>
          <w:tcPr/>
          <w:p>
            <w:pPr>
              <w:pStyle w:val="Compact"/>
              <w:jc w:val="left"/>
            </w:pPr>
            <w:r>
              <w:t xml:space="preserve">Formulation reflects modern industrial compounding practices using dual filler systems and high-dispersion mixing.</w:t>
            </w:r>
          </w:p>
        </w:tc>
        <w:tc>
          <w:tcPr/>
          <w:p>
            <w:pPr>
              <w:pStyle w:val="Compact"/>
              <w:jc w:val="left"/>
            </w:pPr>
            <w:r>
              <w:t xml:space="preserve">1.2 (Excellent)</w:t>
            </w:r>
          </w:p>
        </w:tc>
      </w:tr>
      <w:tr>
        <w:tc>
          <w:tcPr/>
          <w:p>
            <w:pPr>
              <w:pStyle w:val="Compact"/>
              <w:jc w:val="left"/>
            </w:pPr>
            <w:r>
              <w:rPr>
                <w:bCs/>
                <w:b/>
              </w:rPr>
              <w:t xml:space="preserve">Geographical Representativeness</w:t>
            </w:r>
          </w:p>
        </w:tc>
        <w:tc>
          <w:tcPr/>
          <w:p>
            <w:pPr>
              <w:pStyle w:val="Compact"/>
              <w:jc w:val="left"/>
            </w:pPr>
            <w:r>
              <w:t xml:space="preserve">Specific eGRID regional grid factors applied for the US manufacturing site; accurate maritime routes from Thai ports.</w:t>
            </w:r>
          </w:p>
        </w:tc>
        <w:tc>
          <w:tcPr/>
          <w:p>
            <w:pPr>
              <w:pStyle w:val="Compact"/>
              <w:jc w:val="left"/>
            </w:pPr>
            <w:r>
              <w:t xml:space="preserve">1.1 (Excellent)</w:t>
            </w:r>
          </w:p>
        </w:tc>
      </w:tr>
      <w:tr>
        <w:tc>
          <w:tcPr/>
          <w:p>
            <w:pPr>
              <w:pStyle w:val="Compact"/>
              <w:jc w:val="left"/>
            </w:pPr>
            <w:r>
              <w:rPr>
                <w:bCs/>
                <w:b/>
              </w:rPr>
              <w:t xml:space="preserve">Temporal Representativeness</w:t>
            </w:r>
          </w:p>
        </w:tc>
        <w:tc>
          <w:tcPr/>
          <w:p>
            <w:pPr>
              <w:pStyle w:val="Compact"/>
              <w:jc w:val="left"/>
            </w:pPr>
            <w:r>
              <w:t xml:space="preserve">Primary facility data collected over the preceding 12-month operating window (2025/2026 audits).</w:t>
            </w:r>
          </w:p>
        </w:tc>
        <w:tc>
          <w:tcPr/>
          <w:p>
            <w:pPr>
              <w:pStyle w:val="Compact"/>
              <w:jc w:val="left"/>
            </w:pPr>
            <w:r>
              <w:t xml:space="preserve">1.0 (Direct)</w:t>
            </w:r>
          </w:p>
        </w:tc>
      </w:tr>
      <w:tr>
        <w:tc>
          <w:tcPr/>
          <w:p>
            <w:pPr>
              <w:pStyle w:val="Compact"/>
              <w:jc w:val="left"/>
            </w:pPr>
            <w:r>
              <w:rPr>
                <w:bCs/>
                <w:b/>
              </w:rPr>
              <w:t xml:space="preserve">Completeness &amp; Cut-Off</w:t>
            </w:r>
          </w:p>
        </w:tc>
        <w:tc>
          <w:tcPr/>
          <w:p>
            <w:pPr>
              <w:pStyle w:val="Compact"/>
              <w:jc w:val="left"/>
            </w:pPr>
            <w:r>
              <w:t xml:space="preserve">Over 99.4% of total inventory mass and energy accounted for; exceeds the 2026 95% compliance barrier.</w:t>
            </w:r>
          </w:p>
        </w:tc>
        <w:tc>
          <w:tcPr/>
          <w:p>
            <w:pPr>
              <w:pStyle w:val="Compact"/>
              <w:jc w:val="left"/>
            </w:pPr>
            <w:r>
              <w:t xml:space="preserve">1.1 (Excellent)</w:t>
            </w:r>
          </w:p>
        </w:tc>
      </w:tr>
      <w:tr>
        <w:tc>
          <w:tcPr/>
          <w:p>
            <w:pPr>
              <w:pStyle w:val="Compact"/>
              <w:jc w:val="left"/>
            </w:pPr>
            <w:r>
              <w:rPr>
                <w:bCs/>
                <w:b/>
              </w:rPr>
              <w:t xml:space="preserve">Reliability &amp; Verification</w:t>
            </w:r>
          </w:p>
        </w:tc>
        <w:tc>
          <w:tcPr/>
          <w:p>
            <w:pPr>
              <w:pStyle w:val="Compact"/>
              <w:jc w:val="left"/>
            </w:pPr>
            <w:r>
              <w:t xml:space="preserve">Tier-1 suppliers verified through ISO 14067 EPD declarations and third-party audited carbon accounts.</w:t>
            </w:r>
          </w:p>
        </w:tc>
        <w:tc>
          <w:tcPr/>
          <w:p>
            <w:pPr>
              <w:pStyle w:val="Compact"/>
              <w:jc w:val="left"/>
            </w:pPr>
            <w:r>
              <w:t xml:space="preserve">1.3 (High)</w:t>
            </w:r>
          </w:p>
        </w:tc>
      </w:tr>
    </w:tbl>
    <w:bookmarkEnd w:id="33"/>
    <w:bookmarkStart w:id="34" w:name="X0d5c05a049a4eb101497c66e0c600254a555548"/>
    <w:p>
      <w:pPr>
        <w:pStyle w:val="Heading2"/>
      </w:pPr>
      <w:r>
        <w:t xml:space="preserve">5.3 Sensitivity Analysis: Key Modeling Variables</w:t>
      </w:r>
    </w:p>
    <w:p>
      <w:pPr>
        <w:pStyle w:val="FirstParagraph"/>
      </w:pPr>
      <w:r>
        <w:t xml:space="preserve">A sensitivity analysis was performed on three primary variables to assess PCF volatility:</w:t>
      </w:r>
    </w:p>
    <w:p>
      <w:pPr>
        <w:numPr>
          <w:ilvl w:val="0"/>
          <w:numId w:val="1006"/>
        </w:numPr>
        <w:pStyle w:val="Compact"/>
      </w:pPr>
      <w:r>
        <w:rPr>
          <w:bCs/>
          <w:b/>
        </w:rPr>
        <w:t xml:space="preserve">Grid Decarbonization (Scope 2):</w:t>
      </w:r>
      <w:r>
        <w:t xml:space="preserve"> </w:t>
      </w:r>
      <w:r>
        <w:t xml:space="preserve">Procuring 100% certified renewable electricity (bundled Green-e RECs or VPPA) at the US compounding facility would reduce total PCF by</w:t>
      </w:r>
      <w:r>
        <w:t xml:space="preserve"> </w:t>
      </w:r>
      <w:r>
        <w:rPr>
          <w:bCs/>
          <w:b/>
        </w:rPr>
        <w:t xml:space="preserve">210.77 kg CO</w:t>
      </w:r>
      <w:r>
        <w:rPr>
          <w:vertAlign w:val="subscript"/>
          <w:bCs/>
          <w:b/>
        </w:rPr>
        <w:t xml:space="preserve">2</w:t>
      </w:r>
      <w:r>
        <w:rPr>
          <w:bCs/>
          <w:b/>
        </w:rPr>
        <w:t xml:space="preserve">e/t</w:t>
      </w:r>
      <w:r>
        <w:t xml:space="preserve"> </w:t>
      </w:r>
      <w:r>
        <w:t xml:space="preserve">(-6.4%).</w:t>
      </w:r>
    </w:p>
    <w:p>
      <w:pPr>
        <w:numPr>
          <w:ilvl w:val="0"/>
          <w:numId w:val="1006"/>
        </w:numPr>
        <w:pStyle w:val="Compact"/>
      </w:pPr>
      <w:r>
        <w:rPr>
          <w:bCs/>
          <w:b/>
        </w:rPr>
        <w:t xml:space="preserve">Adoption of Recovered Carbon Black (rCB):</w:t>
      </w:r>
      <w:r>
        <w:t xml:space="preserve"> </w:t>
      </w:r>
      <w:r>
        <w:t xml:space="preserve">Replacing 30% of virgin N330 furnace black with post-consumer tire pyrolysis rCB (EF = 0.55 kg CO</w:t>
      </w:r>
      <w:r>
        <w:rPr>
          <w:vertAlign w:val="subscript"/>
        </w:rPr>
        <w:t xml:space="preserve">2</w:t>
      </w:r>
      <w:r>
        <w:t xml:space="preserve">e/kg) reduces Scope 3 Category 1 emissions by</w:t>
      </w:r>
      <w:r>
        <w:t xml:space="preserve"> </w:t>
      </w:r>
      <w:r>
        <w:rPr>
          <w:bCs/>
          <w:b/>
        </w:rPr>
        <w:t xml:space="preserve">200.7 kg CO</w:t>
      </w:r>
      <w:r>
        <w:rPr>
          <w:vertAlign w:val="subscript"/>
          <w:bCs/>
          <w:b/>
        </w:rPr>
        <w:t xml:space="preserve">2</w:t>
      </w:r>
      <w:r>
        <w:rPr>
          <w:bCs/>
          <w:b/>
        </w:rPr>
        <w:t xml:space="preserve">e/t</w:t>
      </w:r>
      <w:r>
        <w:t xml:space="preserve"> </w:t>
      </w:r>
      <w:r>
        <w:t xml:space="preserve">(-6.1%).</w:t>
      </w:r>
    </w:p>
    <w:p>
      <w:pPr>
        <w:numPr>
          <w:ilvl w:val="0"/>
          <w:numId w:val="1006"/>
        </w:numPr>
        <w:pStyle w:val="Compact"/>
      </w:pPr>
      <w:r>
        <w:rPr>
          <w:bCs/>
          <w:b/>
        </w:rPr>
        <w:t xml:space="preserve">Zero-Deforestation Natural Rubber (EUDR Compliant):</w:t>
      </w:r>
      <w:r>
        <w:t xml:space="preserve"> </w:t>
      </w:r>
      <w:r>
        <w:t xml:space="preserve">Procuring certified deforestation-free natural rubber eliminates the dLUC factor (0.4225 kg CO</w:t>
      </w:r>
      <w:r>
        <w:rPr>
          <w:vertAlign w:val="subscript"/>
        </w:rPr>
        <w:t xml:space="preserve">2</w:t>
      </w:r>
      <w:r>
        <w:t xml:space="preserve">e/kg), reducing footprint by</w:t>
      </w:r>
      <w:r>
        <w:t xml:space="preserve"> </w:t>
      </w:r>
      <w:r>
        <w:rPr>
          <w:bCs/>
          <w:b/>
        </w:rPr>
        <w:t xml:space="preserve">135.20 kg CO</w:t>
      </w:r>
      <w:r>
        <w:rPr>
          <w:vertAlign w:val="subscript"/>
          <w:bCs/>
          <w:b/>
        </w:rPr>
        <w:t xml:space="preserve">2</w:t>
      </w:r>
      <w:r>
        <w:rPr>
          <w:bCs/>
          <w:b/>
        </w:rPr>
        <w:t xml:space="preserve">e/t</w:t>
      </w:r>
      <w:r>
        <w:t xml:space="preserve"> </w:t>
      </w:r>
      <w:r>
        <w:t xml:space="preserve">(-4.1%).</w:t>
      </w:r>
    </w:p>
    <w:bookmarkEnd w:id="34"/>
    <w:bookmarkStart w:id="36" w:name="strategic-decarbonization-action-plan"/>
    <w:p>
      <w:pPr>
        <w:pStyle w:val="Heading2"/>
      </w:pPr>
      <w:r>
        <w:t xml:space="preserve">5.4 Strategic Decarbonization Action Plan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Target Phase</w:t>
            </w:r>
          </w:p>
        </w:tc>
        <w:tc>
          <w:tcPr/>
          <w:p>
            <w:pPr>
              <w:pStyle w:val="Compact"/>
              <w:jc w:val="left"/>
            </w:pPr>
            <w:r>
              <w:t xml:space="preserve">Strategic Decarbonization Measure</w:t>
            </w:r>
          </w:p>
        </w:tc>
        <w:tc>
          <w:tcPr/>
          <w:p>
            <w:pPr>
              <w:pStyle w:val="Compact"/>
              <w:jc w:val="left"/>
            </w:pPr>
            <w:r>
              <w:t xml:space="preserve">Potential GHG Abatement</w:t>
            </w:r>
          </w:p>
        </w:tc>
        <w:tc>
          <w:tcPr/>
          <w:p>
            <w:pPr>
              <w:pStyle w:val="Compact"/>
              <w:jc w:val="left"/>
            </w:pPr>
            <w:r>
              <w:t xml:space="preserve">Implementation Horizon</w:t>
            </w:r>
          </w:p>
        </w:tc>
      </w:tr>
      <w:tr>
        <w:tc>
          <w:tcPr/>
          <w:p>
            <w:pPr>
              <w:pStyle w:val="Compact"/>
              <w:jc w:val="left"/>
            </w:pPr>
            <w:r>
              <w:rPr>
                <w:bCs/>
                <w:b/>
              </w:rPr>
              <w:t xml:space="preserve">Immediate (Scope 2)</w:t>
            </w:r>
          </w:p>
        </w:tc>
        <w:tc>
          <w:tcPr/>
          <w:p>
            <w:pPr>
              <w:pStyle w:val="Compact"/>
              <w:jc w:val="left"/>
            </w:pPr>
            <w:r>
              <w:t xml:space="preserve">Execute Corporate PPA for 100% wind/solar electricity for mixing lines</w:t>
            </w:r>
          </w:p>
        </w:tc>
        <w:tc>
          <w:tcPr/>
          <w:p>
            <w:pPr>
              <w:pStyle w:val="Compact"/>
              <w:jc w:val="left"/>
            </w:pPr>
            <w:r>
              <w:t xml:space="preserve">-210.8 kg CO</w:t>
            </w:r>
            <w:r>
              <w:rPr>
                <w:vertAlign w:val="subscript"/>
              </w:rPr>
              <w:t xml:space="preserve">2</w:t>
            </w:r>
            <w:r>
              <w:t xml:space="preserve">e / MT (-6.4%)</w:t>
            </w:r>
          </w:p>
        </w:tc>
        <w:tc>
          <w:tcPr/>
          <w:p>
            <w:pPr>
              <w:pStyle w:val="Compact"/>
              <w:jc w:val="left"/>
            </w:pPr>
            <w:r>
              <w:t xml:space="preserve">Q1 2027</w:t>
            </w:r>
          </w:p>
        </w:tc>
      </w:tr>
      <w:tr>
        <w:tc>
          <w:tcPr/>
          <w:p>
            <w:pPr>
              <w:pStyle w:val="Compact"/>
              <w:jc w:val="left"/>
            </w:pPr>
            <w:r>
              <w:rPr>
                <w:bCs/>
                <w:b/>
              </w:rPr>
              <w:t xml:space="preserve">Near-Term (Scope 3)</w:t>
            </w:r>
          </w:p>
        </w:tc>
        <w:tc>
          <w:tcPr/>
          <w:p>
            <w:pPr>
              <w:pStyle w:val="Compact"/>
              <w:jc w:val="left"/>
            </w:pPr>
            <w:r>
              <w:t xml:space="preserve">Transition to 100% EUDR-certified, zero-LUC certified natural rubber</w:t>
            </w:r>
          </w:p>
        </w:tc>
        <w:tc>
          <w:tcPr/>
          <w:p>
            <w:pPr>
              <w:pStyle w:val="Compact"/>
              <w:jc w:val="left"/>
            </w:pPr>
            <w:r>
              <w:t xml:space="preserve">-135.2 kg CO</w:t>
            </w:r>
            <w:r>
              <w:rPr>
                <w:vertAlign w:val="subscript"/>
              </w:rPr>
              <w:t xml:space="preserve">2</w:t>
            </w:r>
            <w:r>
              <w:t xml:space="preserve">e / MT (-4.1%)</w:t>
            </w:r>
          </w:p>
        </w:tc>
        <w:tc>
          <w:tcPr/>
          <w:p>
            <w:pPr>
              <w:pStyle w:val="Compact"/>
              <w:jc w:val="left"/>
            </w:pPr>
            <w:r>
              <w:t xml:space="preserve">Q3 2027</w:t>
            </w:r>
          </w:p>
        </w:tc>
      </w:tr>
      <w:tr>
        <w:tc>
          <w:tcPr/>
          <w:p>
            <w:pPr>
              <w:pStyle w:val="Compact"/>
              <w:jc w:val="left"/>
            </w:pPr>
            <w:r>
              <w:rPr>
                <w:bCs/>
                <w:b/>
              </w:rPr>
              <w:t xml:space="preserve">Medium-Term (Scope 3)</w:t>
            </w:r>
          </w:p>
        </w:tc>
        <w:tc>
          <w:tcPr/>
          <w:p>
            <w:pPr>
              <w:pStyle w:val="Compact"/>
              <w:jc w:val="left"/>
            </w:pPr>
            <w:r>
              <w:t xml:space="preserve">Formulation substitution: Incorporate 25% Recovered Carbon Black (rCB)</w:t>
            </w:r>
          </w:p>
        </w:tc>
        <w:tc>
          <w:tcPr/>
          <w:p>
            <w:pPr>
              <w:pStyle w:val="Compact"/>
              <w:jc w:val="left"/>
            </w:pPr>
            <w:r>
              <w:t xml:space="preserve">-167.3 kg CO</w:t>
            </w:r>
            <w:r>
              <w:rPr>
                <w:vertAlign w:val="subscript"/>
              </w:rPr>
              <w:t xml:space="preserve">2</w:t>
            </w:r>
            <w:r>
              <w:t xml:space="preserve">e / MT (-5.1%)</w:t>
            </w:r>
          </w:p>
        </w:tc>
        <w:tc>
          <w:tcPr/>
          <w:p>
            <w:pPr>
              <w:pStyle w:val="Compact"/>
              <w:jc w:val="left"/>
            </w:pPr>
            <w:r>
              <w:t xml:space="preserve">2027 - 2028</w:t>
            </w:r>
          </w:p>
        </w:tc>
      </w:tr>
      <w:tr>
        <w:tc>
          <w:tcPr/>
          <w:p>
            <w:pPr>
              <w:pStyle w:val="Compact"/>
              <w:jc w:val="left"/>
            </w:pPr>
            <w:r>
              <w:rPr>
                <w:bCs/>
                <w:b/>
              </w:rPr>
              <w:t xml:space="preserve">Long-Term (Scope 3)</w:t>
            </w:r>
          </w:p>
        </w:tc>
        <w:tc>
          <w:tcPr/>
          <w:p>
            <w:pPr>
              <w:pStyle w:val="Compact"/>
              <w:jc w:val="left"/>
            </w:pPr>
            <w:r>
              <w:t xml:space="preserve">Procure mass-balanced ISCC PLUS bio-circular SBR polymers</w:t>
            </w:r>
          </w:p>
        </w:tc>
        <w:tc>
          <w:tcPr/>
          <w:p>
            <w:pPr>
              <w:pStyle w:val="Compact"/>
              <w:jc w:val="left"/>
            </w:pPr>
            <w:r>
              <w:t xml:space="preserve">-375.0 kg CO</w:t>
            </w:r>
            <w:r>
              <w:rPr>
                <w:vertAlign w:val="subscript"/>
              </w:rPr>
              <w:t xml:space="preserve">2</w:t>
            </w:r>
            <w:r>
              <w:t xml:space="preserve">e / MT (-11.5%)</w:t>
            </w:r>
          </w:p>
        </w:tc>
        <w:tc>
          <w:tcPr/>
          <w:p>
            <w:pPr>
              <w:pStyle w:val="Compact"/>
              <w:jc w:val="left"/>
            </w:pPr>
            <w:r>
              <w:t xml:space="preserve">2028 - 2030</w:t>
            </w:r>
          </w:p>
        </w:tc>
      </w:tr>
      <w:tr>
        <w:tc>
          <w:tcPr>
            <w:gridSpan w:val="2"/>
          </w:tcPr>
          <w:p>
            <w:pPr>
              <w:pStyle w:val="Compact"/>
              <w:jc w:val="left"/>
            </w:pPr>
            <w:r>
              <w:rPr>
                <w:bCs/>
                <w:b/>
              </w:rPr>
              <w:t xml:space="preserve">Combined Decarbonization Potential</w:t>
            </w:r>
          </w:p>
        </w:tc>
        <w:tc>
          <w:tcPr>
            <w:gridSpan w:val="2"/>
          </w:tcPr>
          <w:p>
            <w:pPr>
              <w:pStyle w:val="Compact"/>
              <w:jc w:val="left"/>
            </w:pPr>
            <w:r>
              <w:rPr>
                <w:bCs/>
                <w:b/>
              </w:rPr>
              <w:t xml:space="preserve">-888.3 kg CO</w:t>
            </w:r>
            <w:r>
              <w:rPr>
                <w:vertAlign w:val="subscript"/>
                <w:bCs/>
                <w:b/>
              </w:rPr>
              <w:t xml:space="preserve">2</w:t>
            </w:r>
            <w:r>
              <w:rPr>
                <w:bCs/>
                <w:b/>
              </w:rPr>
              <w:t xml:space="preserve">e / MT (-27.1% Net Abatement)</w:t>
            </w:r>
          </w:p>
        </w:tc>
      </w:tr>
    </w:tbl>
    <w:p>
      <w:r>
        <w:pict>
          <v:rect style="width:0;height:1.5pt" o:hralign="center" o:hrstd="t" o:hr="t"/>
        </w:pict>
      </w:r>
    </w:p>
    <w:bookmarkStart w:id="35" w:name="accounting-standard-compliance-statement"/>
    <w:p>
      <w:pPr>
        <w:pStyle w:val="Heading3"/>
      </w:pPr>
      <w:r>
        <w:t xml:space="preserve">Accounting Standard Compliance Statement</w:t>
      </w:r>
    </w:p>
    <w:p>
      <w:pPr>
        <w:pStyle w:val="FirstParagraph"/>
      </w:pPr>
      <w:r>
        <w:t xml:space="preserve">This Product Carbon Footprint study has been prepared in conformance with:</w:t>
      </w:r>
    </w:p>
    <w:p>
      <w:pPr>
        <w:numPr>
          <w:ilvl w:val="0"/>
          <w:numId w:val="1007"/>
        </w:numPr>
        <w:pStyle w:val="Compact"/>
      </w:pPr>
      <w:r>
        <w:rPr>
          <w:bCs/>
          <w:b/>
        </w:rPr>
        <w:t xml:space="preserve">GHG Protocol Product Life Cycle Accounting and Reporting Standard</w:t>
      </w:r>
    </w:p>
    <w:p>
      <w:pPr>
        <w:numPr>
          <w:ilvl w:val="0"/>
          <w:numId w:val="1007"/>
        </w:numPr>
        <w:pStyle w:val="Compact"/>
      </w:pPr>
      <w:r>
        <w:rPr>
          <w:bCs/>
          <w:b/>
        </w:rPr>
        <w:t xml:space="preserve">GHG Protocol Corporate Value Chain (Scope 3) Standard</w:t>
      </w:r>
    </w:p>
    <w:p>
      <w:pPr>
        <w:numPr>
          <w:ilvl w:val="0"/>
          <w:numId w:val="1007"/>
        </w:numPr>
        <w:pStyle w:val="Compact"/>
      </w:pPr>
      <w:r>
        <w:rPr>
          <w:bCs/>
          <w:b/>
        </w:rPr>
        <w:t xml:space="preserve">GHG Protocol Land Sector and Removals (LSR) Standard (2026 Mandatory Release)</w:t>
      </w:r>
    </w:p>
    <w:p>
      <w:pPr>
        <w:numPr>
          <w:ilvl w:val="0"/>
          <w:numId w:val="1007"/>
        </w:numPr>
        <w:pStyle w:val="Compact"/>
      </w:pPr>
      <w:r>
        <w:rPr>
          <w:bCs/>
          <w:b/>
        </w:rPr>
        <w:t xml:space="preserve">ISO 14067:2018 (Greenhouse gases — Carbon footprint of products)</w:t>
      </w:r>
    </w:p>
    <w:p>
      <w:pPr>
        <w:pStyle w:val="FirstParagraph"/>
      </w:pPr>
      <w:r>
        <w:t xml:space="preserve">The calculations verify that the gross cradle-to-gate carbon footprint of 1.0 MT of industrial compounded rubber is</w:t>
      </w:r>
      <w:r>
        <w:t xml:space="preserve"> </w:t>
      </w:r>
      <w:r>
        <w:rPr>
          <w:bCs/>
          <w:b/>
        </w:rPr>
        <w:t xml:space="preserve">3,273.10 kg CO</w:t>
      </w:r>
      <w:r>
        <w:rPr>
          <w:vertAlign w:val="subscript"/>
          <w:bCs/>
          <w:b/>
        </w:rPr>
        <w:t xml:space="preserve">2</w:t>
      </w:r>
      <w:r>
        <w:rPr>
          <w:bCs/>
          <w:b/>
        </w:rPr>
        <w:t xml:space="preserve">e</w:t>
      </w:r>
      <w:r>
        <w:t xml:space="preserve">, with an additional</w:t>
      </w:r>
      <w:r>
        <w:t xml:space="preserve"> </w:t>
      </w:r>
      <w:r>
        <w:rPr>
          <w:bCs/>
          <w:b/>
        </w:rPr>
        <w:t xml:space="preserve">-317.40 kg CO</w:t>
      </w:r>
      <w:r>
        <w:rPr>
          <w:vertAlign w:val="subscript"/>
          <w:bCs/>
          <w:b/>
        </w:rPr>
        <w:t xml:space="preserve">2</w:t>
      </w:r>
      <w:r>
        <w:rPr>
          <w:bCs/>
          <w:b/>
        </w:rPr>
        <w:t xml:space="preserve">e</w:t>
      </w:r>
      <w:r>
        <w:t xml:space="preserve"> </w:t>
      </w:r>
      <w:r>
        <w:t xml:space="preserve">sequestered biogenically in the natural latex polymer backbone. Scope 3 data accounting integrity complies with the 2026 &gt;95% threshold requirement.</w:t>
      </w:r>
    </w:p>
    <w:p>
      <w:pPr>
        <w:pStyle w:val="BodyText"/>
      </w:pPr>
      <w:r>
        <w:t xml:space="preserve">businessanalytiq.com | Sustainability Consulting Practice</w:t>
      </w:r>
      <w:r>
        <w:t xml:space="preserve"> </w:t>
      </w:r>
      <w:r>
        <w:t xml:space="preserve">GHG Protocol Product Standard Verified</w:t>
      </w:r>
      <w:r>
        <w:t xml:space="preserve"> </w:t>
      </w:r>
      <w:r>
        <w:t xml:space="preserve">Confidential - Internal Use Only</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Report: Industrial Compounded Rubber - GHG Protocol Compliant</dc:title>
  <dc:creator/>
  <dc:description>Comprehensive Product Carbon Footprint (PCF) analysis for industrial compounded rubber in the United States according to GHG Protocol Product Standard and 2026 Land Sector and Removals (LSR) Guidance.</dc:description>
  <dc:language>en</dc:language>
  <cp:keywords/>
  <dcterms:created xsi:type="dcterms:W3CDTF">2026-10-08T11:48:41Z</dcterms:created>
  <dcterms:modified xsi:type="dcterms:W3CDTF">2026-10-08T11:48:41Z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