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Report</w:t>
      </w:r>
      <w:r>
        <w:t xml:space="preserve"> </w:t>
      </w:r>
      <w:r>
        <w:t xml:space="preserve">for</w:t>
      </w:r>
      <w:r>
        <w:t xml:space="preserve"> </w:t>
      </w:r>
      <w:r>
        <w:t xml:space="preserve">wkyehggivr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wkyehggivr</w:t>
      </w:r>
    </w:p>
    <w:p>
      <w:pPr>
        <w:pStyle w:val="BodyText"/>
      </w:pPr>
      <w:r>
        <w:rPr>
          <w:bCs/>
          <w:b/>
        </w:rPr>
        <w:t xml:space="preserve">Company Name:</w:t>
      </w:r>
      <w:r>
        <w:t xml:space="preserve"> </w:t>
      </w:r>
      <w:r>
        <w:t xml:space="preserve">ovndpvxqik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szzskhrduu</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bookmarkEnd w:id="20"/>
    <w:bookmarkStart w:id="41" w:name="X7f0c6961f8e7943ed47ba70b6bf6fcc934f1d09"/>
    <w:p>
      <w:pPr>
        <w:pStyle w:val="Heading1"/>
      </w:pPr>
      <w:r>
        <w:t xml:space="preserve">Product Carbon Footprint Analysis for wkyehggivr</w:t>
      </w:r>
    </w:p>
    <w:p>
      <w:pPr>
        <w:pStyle w:val="FirstParagraph"/>
      </w:pPr>
      <w:r>
        <w:rPr>
          <w:bCs/>
          <w:b/>
        </w:rPr>
        <w:t xml:space="preserve">Generated Date:</w:t>
      </w:r>
      <w:r>
        <w:t xml:space="preserve"> </w:t>
      </w:r>
      <w:r>
        <w:t xml:space="preserve">May 27, 2026</w: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wkyehggivr</w:t>
      </w:r>
      <w:r>
        <w:t xml:space="preserve"> </w:t>
      </w:r>
      <w:r>
        <w:t xml:space="preserve">manufactured by</w:t>
      </w:r>
      <w:r>
        <w:t xml:space="preserve"> </w:t>
      </w:r>
      <w:r>
        <w:rPr>
          <w:bCs/>
          <w:b/>
        </w:rPr>
        <w:t xml:space="preserve">ovndpvxqik</w:t>
      </w:r>
      <w:r>
        <w:t xml:space="preserve">. The analysis, conducted by Senior Sustainability Consultant</w:t>
      </w:r>
      <w:r>
        <w:t xml:space="preserve"> </w:t>
      </w:r>
      <w:r>
        <w:rPr>
          <w:bCs/>
          <w:b/>
        </w:rPr>
        <w:t xml:space="preserve">szzskhrduu</w:t>
      </w:r>
      <w:r>
        <w:t xml:space="preserve">, adheres strictly to the GHG Protocol, incorporating the latest 2026 Land Sector and Removals (LSR) Standard and ensuring at least 95% Scope 3 coverage. The PCF quantifies the total greenhouse gas emissions associated with the product\'s lifecycle, from raw material extraction through manufacturing, transport, use, and end-of-life. This assessment aims to identify emission hotspots and provide a baseline for future decarbonization efforts.</w:t>
      </w:r>
    </w:p>
    <w:p>
      <w:r>
        <w:pict>
          <v:rect style="width:0;height:1.5pt" o:hralign="center" o:hrstd="t" o:hr="t"/>
        </w:pict>
      </w:r>
    </w:p>
    <w:bookmarkEnd w:id="21"/>
    <w:bookmarkStart w:id="22" w:name="methodology-and-scope-definition"/>
    <w:p>
      <w:pPr>
        <w:pStyle w:val="Heading2"/>
      </w:pPr>
      <w:r>
        <w:t xml:space="preserve">1. Methodology and Scope Definition</w:t>
      </w:r>
    </w:p>
    <w:p>
      <w:pPr>
        <w:pStyle w:val="FirstParagraph"/>
      </w:pPr>
      <w:r>
        <w:t xml:space="preserve">The Product Carbon Footprint (PCF) for wkyehggivr was calculated following the internationally recognized GHG Protocol Product Standard. The methodology involves five key steps:</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wkyehggivr.</w:t>
      </w:r>
    </w:p>
    <w:p>
      <w:pPr>
        <w:numPr>
          <w:ilvl w:val="1"/>
          <w:numId w:val="1002"/>
        </w:numPr>
        <w:pStyle w:val="Compact"/>
      </w:pPr>
      <w:r>
        <w:rPr>
          <w:bCs/>
          <w:b/>
        </w:rPr>
        <w:t xml:space="preserve">System Boundary:</w:t>
      </w:r>
      <w:r>
        <w:t xml:space="preserve"> </w:t>
      </w:r>
      <w:r>
        <w:t xml:space="preserve">Factory-gate to end-of-life, encompassing cradle-to-grave emissions. This includes raw material acquisition, manufacturing, transport, use phase, and end-of-life treatment.</w:t>
      </w:r>
    </w:p>
    <w:p>
      <w:pPr>
        <w:numPr>
          <w:ilvl w:val="1"/>
          <w:numId w:val="1002"/>
        </w:numPr>
        <w:pStyle w:val="Compact"/>
      </w:pPr>
      <w:r>
        <w:rPr>
          <w:bCs/>
          <w:b/>
        </w:rPr>
        <w:t xml:space="preserve">Geographic Scope:</w:t>
      </w:r>
      <w:r>
        <w:t xml:space="preserve"> </w:t>
      </w:r>
      <w:r>
        <w:t xml:space="preserve">Final Production Country: China, with a Supply Chain Focus on Europe.</w:t>
      </w:r>
    </w:p>
    <w:p>
      <w:pPr>
        <w:numPr>
          <w:ilvl w:val="1"/>
          <w:numId w:val="1002"/>
        </w:numPr>
        <w:pStyle w:val="Compact"/>
      </w:pPr>
      <w:r>
        <w:rPr>
          <w:bCs/>
          <w:b/>
        </w:rPr>
        <w:t xml:space="preserve">Allocation:</w:t>
      </w:r>
      <w:r>
        <w:t xml:space="preserve"> </w:t>
      </w:r>
      <w:r>
        <w:t xml:space="preserve">Emissions are allocated directly to the product wkyehggivr based on mass, energy consumption, and direct associations.</w:t>
      </w:r>
    </w:p>
    <w:p>
      <w:pPr>
        <w:numPr>
          <w:ilvl w:val="0"/>
          <w:numId w:val="1001"/>
        </w:numPr>
        <w:pStyle w:val="Compact"/>
      </w:pPr>
      <w:r>
        <w:rPr>
          <w:bCs/>
          <w:b/>
        </w:rPr>
        <w:t xml:space="preserve">Map Lifecycle (LCI inventory stages):</w:t>
      </w:r>
      <w:r>
        <w:t xml:space="preserve"> </w:t>
      </w:r>
      <w:r>
        <w:t xml:space="preserve">Identification of all relevant processes and stages within the product\'s lifecycle.</w:t>
      </w:r>
    </w:p>
    <w:p>
      <w:pPr>
        <w:numPr>
          <w:ilvl w:val="0"/>
          <w:numId w:val="1001"/>
        </w:numPr>
        <w:pStyle w:val="Compact"/>
      </w:pPr>
      <w:r>
        <w:rPr>
          <w:bCs/>
          <w:b/>
        </w:rPr>
        <w:t xml:space="preserve">Collect Data (Primary/Secondary data points):</w:t>
      </w:r>
      <w:r>
        <w:t xml:space="preserve"> </w:t>
      </w:r>
      <w:r>
        <w:t xml:space="preserve">Gathering quantitative data for each identified process.</w:t>
      </w:r>
    </w:p>
    <w:p>
      <w:pPr>
        <w:numPr>
          <w:ilvl w:val="0"/>
          <w:numId w:val="1001"/>
        </w:numPr>
        <w:pStyle w:val="Compact"/>
      </w:pPr>
      <w:r>
        <w:rPr>
          <w:bCs/>
          <w:b/>
        </w:rPr>
        <w:t xml:space="preserve">Calculate Emissions (Activity * Emission Factor = CO2e):</w:t>
      </w:r>
      <w:r>
        <w:t xml:space="preserve"> </w:t>
      </w:r>
      <w:r>
        <w:t xml:space="preserve">Applying appropriate emission factors to activity data to quantify greenhouse gas emissions.</w:t>
      </w:r>
    </w:p>
    <w:p>
      <w:pPr>
        <w:numPr>
          <w:ilvl w:val="0"/>
          <w:numId w:val="1001"/>
        </w:numPr>
        <w:pStyle w:val="Compact"/>
      </w:pPr>
      <w:r>
        <w:rPr>
          <w:bCs/>
          <w:b/>
        </w:rPr>
        <w:t xml:space="preserve">Review &amp; Report (Hotspots and reliability):</w:t>
      </w:r>
      <w:r>
        <w:t xml:space="preserve"> </w:t>
      </w:r>
      <w:r>
        <w:t xml:space="preserve">Identifying major emission contributors and assessing the confidence level of the results.</w:t>
      </w:r>
    </w:p>
    <w:p>
      <w:pPr>
        <w:pStyle w:val="FirstParagraph"/>
      </w:pPr>
      <w:r>
        <w:t xml:space="preserve">The analysis categorizes emissions into Scope 1 (direct emissions), Scope 2 (indirect emissions from purchased energy), and Scope 3 (all other indirect emissions in the value chain). Furthermore, the 2026 Land Sector and Removals (LSR) Standard has been applied for land use and carbon removals, and Scope 3 reporting ensures at least 95% coverage as per 2026 requirements.</w:t>
      </w:r>
    </w:p>
    <w:bookmarkEnd w:id="22"/>
    <w:bookmarkStart w:id="23" w:name="parameters-and-data-inputs"/>
    <w:p>
      <w:pPr>
        <w:pStyle w:val="Heading2"/>
      </w:pPr>
      <w:r>
        <w:t xml:space="preserve">2. Parameters and Data Inputs</w:t>
      </w:r>
    </w:p>
    <w:p>
      <w:pPr>
        <w:pStyle w:val="FirstParagraph"/>
      </w:pPr>
      <w:r>
        <w:t xml:space="preserve">The following specific parameters and data were used for this PCF analysis:</w:t>
      </w:r>
    </w:p>
    <w:p>
      <w:pPr>
        <w:numPr>
          <w:ilvl w:val="0"/>
          <w:numId w:val="1003"/>
        </w:numPr>
        <w:pStyle w:val="Compact"/>
      </w:pPr>
      <w:r>
        <w:rPr>
          <w:bCs/>
          <w:b/>
        </w:rPr>
        <w:t xml:space="preserve">Company Name:</w:t>
      </w:r>
      <w:r>
        <w:t xml:space="preserve"> </w:t>
      </w:r>
      <w:r>
        <w:t xml:space="preserve">ovndpvxqik</w:t>
      </w:r>
    </w:p>
    <w:p>
      <w:pPr>
        <w:numPr>
          <w:ilvl w:val="0"/>
          <w:numId w:val="1003"/>
        </w:numPr>
        <w:pStyle w:val="Compact"/>
      </w:pPr>
      <w:r>
        <w:rPr>
          <w:bCs/>
          <w:b/>
        </w:rPr>
        <w:t xml:space="preserve">Senior Sustainability Consultant:</w:t>
      </w:r>
      <w:r>
        <w:t xml:space="preserve"> </w:t>
      </w:r>
      <w:r>
        <w:t xml:space="preserve">szzskhrduu</w:t>
      </w:r>
    </w:p>
    <w:p>
      <w:pPr>
        <w:numPr>
          <w:ilvl w:val="0"/>
          <w:numId w:val="1003"/>
        </w:numPr>
        <w:pStyle w:val="Compact"/>
      </w:pPr>
      <w:r>
        <w:rPr>
          <w:bCs/>
          <w:b/>
        </w:rPr>
        <w:t xml:space="preserve">Product Name:</w:t>
      </w:r>
      <w:r>
        <w:t xml:space="preserve"> </w:t>
      </w:r>
      <w:r>
        <w:t xml:space="preserve">wkyehggivr</w:t>
      </w:r>
    </w:p>
    <w:p>
      <w:pPr>
        <w:numPr>
          <w:ilvl w:val="0"/>
          <w:numId w:val="1003"/>
        </w:numPr>
        <w:pStyle w:val="Compact"/>
      </w:pPr>
      <w:r>
        <w:rPr>
          <w:bCs/>
          <w:b/>
        </w:rPr>
        <w:t xml:space="preserve">Detailed Bill of Materials (BOM) Identifier:</w:t>
      </w:r>
      <w:r>
        <w:t xml:space="preserve"> </w:t>
      </w:r>
      <w:r>
        <w:t xml:space="preserve">tqfvlqpz (</w:t>
      </w:r>
      <w:r>
        <w:rPr>
          <w:iCs/>
          <w:i/>
        </w:rPr>
        <w:t xml:space="preserve">Note: The detailed BOM data was not provided in a parseable format; therefore, an illustrative BOM with generic material categories and associated emission factors has been used for the material impact calculation to demonstrate the methodology.</w:t>
      </w:r>
      <w:r>
        <w:t xml:space="preserve">)</w:t>
      </w:r>
    </w:p>
    <w:p>
      <w:pPr>
        <w:numPr>
          <w:ilvl w:val="0"/>
          <w:numId w:val="1003"/>
        </w:numPr>
        <w:pStyle w:val="Compact"/>
      </w:pPr>
      <w:r>
        <w:rPr>
          <w:bCs/>
          <w:b/>
        </w:rPr>
        <w:t xml:space="preserve">Transport Mode (Primary):</w:t>
      </w:r>
      <w:r>
        <w:t xml:space="preserve"> </w:t>
      </w:r>
      <w:r>
        <w:t xml:space="preserve">Road Freight (Heavy Goods Vehicle, EU-mix)</w:t>
      </w:r>
    </w:p>
    <w:p>
      <w:pPr>
        <w:numPr>
          <w:ilvl w:val="0"/>
          <w:numId w:val="1003"/>
        </w:numPr>
        <w:pStyle w:val="Compact"/>
      </w:pPr>
      <w:r>
        <w:rPr>
          <w:bCs/>
          <w:b/>
        </w:rPr>
        <w:t xml:space="preserve">Transport Distance (Primary):</w:t>
      </w:r>
      <w:r>
        <w:t xml:space="preserve"> </w:t>
      </w:r>
      <w:r>
        <w:t xml:space="preserve">1500 km</w:t>
      </w:r>
    </w:p>
    <w:p>
      <w:pPr>
        <w:numPr>
          <w:ilvl w:val="0"/>
          <w:numId w:val="1003"/>
        </w:numPr>
        <w:pStyle w:val="Compact"/>
      </w:pPr>
      <w:r>
        <w:rPr>
          <w:bCs/>
          <w:b/>
        </w:rPr>
        <w:t xml:space="preserve">Last-Mile Delivery Channel:</w:t>
      </w:r>
      <w:r>
        <w:t xml:space="preserve"> </w:t>
      </w:r>
      <w:r>
        <w:t xml:space="preserve">Road Freight (Light Commercial Vehicle, EU-mix, Parcel Service)</w:t>
      </w:r>
    </w:p>
    <w:p>
      <w:pPr>
        <w:numPr>
          <w:ilvl w:val="0"/>
          <w:numId w:val="1003"/>
        </w:numPr>
        <w:pStyle w:val="Compact"/>
      </w:pPr>
      <w:r>
        <w:rPr>
          <w:bCs/>
          <w:b/>
        </w:rPr>
        <w:t xml:space="preserve">Renewable Energy Usage (Production):</w:t>
      </w:r>
      <w:r>
        <w:t xml:space="preserve"> </w:t>
      </w:r>
      <w:r>
        <w:t xml:space="preserve">50%</w:t>
      </w:r>
    </w:p>
    <w:p>
      <w:pPr>
        <w:numPr>
          <w:ilvl w:val="0"/>
          <w:numId w:val="1003"/>
        </w:numPr>
        <w:pStyle w:val="Compact"/>
      </w:pPr>
      <w:r>
        <w:rPr>
          <w:bCs/>
          <w:b/>
        </w:rPr>
        <w:t xml:space="preserve">Energy Intensity (Production):</w:t>
      </w:r>
      <w:r>
        <w:t xml:space="preserve"> </w:t>
      </w:r>
      <w:r>
        <w:t xml:space="preserve">1.5 kWh/unit</w:t>
      </w:r>
    </w:p>
    <w:p>
      <w:pPr>
        <w:numPr>
          <w:ilvl w:val="0"/>
          <w:numId w:val="1003"/>
        </w:numPr>
        <w:pStyle w:val="Compact"/>
      </w:pPr>
      <w:r>
        <w:rPr>
          <w:bCs/>
          <w:b/>
        </w:rPr>
        <w:t xml:space="preserve">Product Lifespan:</w:t>
      </w:r>
      <w:r>
        <w:t xml:space="preserve"> </w:t>
      </w:r>
      <w:r>
        <w:t xml:space="preserve">5 years</w:t>
      </w:r>
    </w:p>
    <w:p>
      <w:pPr>
        <w:numPr>
          <w:ilvl w:val="0"/>
          <w:numId w:val="1003"/>
        </w:numPr>
        <w:pStyle w:val="Compact"/>
      </w:pPr>
      <w:r>
        <w:rPr>
          <w:bCs/>
          <w:b/>
        </w:rPr>
        <w:t xml:space="preserve">Energy Consumption in Use (Total over lifespan):</w:t>
      </w:r>
      <w:r>
        <w:t xml:space="preserve"> </w:t>
      </w:r>
      <w:r>
        <w:t xml:space="preserve">10 kWh</w:t>
      </w:r>
    </w:p>
    <w:p>
      <w:pPr>
        <w:numPr>
          <w:ilvl w:val="0"/>
          <w:numId w:val="1003"/>
        </w:numPr>
        <w:pStyle w:val="Compact"/>
      </w:pPr>
      <w:r>
        <w:rPr>
          <w:bCs/>
          <w:b/>
        </w:rPr>
        <w:t xml:space="preserve">Recyclability Percentage:</w:t>
      </w:r>
      <w:r>
        <w:t xml:space="preserve"> </w:t>
      </w:r>
      <w:r>
        <w:t xml:space="preserve">70%</w:t>
      </w:r>
    </w:p>
    <w:p>
      <w:pPr>
        <w:numPr>
          <w:ilvl w:val="0"/>
          <w:numId w:val="1003"/>
        </w:numPr>
        <w:pStyle w:val="Compact"/>
      </w:pPr>
      <w:r>
        <w:rPr>
          <w:bCs/>
          <w:b/>
        </w:rPr>
        <w:t xml:space="preserve">Circular/Take-back Programs:</w:t>
      </w:r>
      <w:r>
        <w:t xml:space="preserve"> </w:t>
      </w:r>
      <w:r>
        <w:t xml:space="preserve">Company-operated take-back and recycling program available in key markets.</w:t>
      </w:r>
    </w:p>
    <w:p>
      <w:pPr>
        <w:numPr>
          <w:ilvl w:val="0"/>
          <w:numId w:val="1003"/>
        </w:numPr>
        <w:pStyle w:val="Compact"/>
      </w:pPr>
      <w:r>
        <w:rPr>
          <w:bCs/>
          <w:b/>
        </w:rPr>
        <w:t xml:space="preserve">Functional Unit:</w:t>
      </w:r>
      <w:r>
        <w:t xml:space="preserve"> </w:t>
      </w:r>
      <w:r>
        <w:t xml:space="preserve">1.0 unit</w:t>
      </w:r>
    </w:p>
    <w:p>
      <w:pPr>
        <w:numPr>
          <w:ilvl w:val="0"/>
          <w:numId w:val="1003"/>
        </w:numPr>
        <w:pStyle w:val="Compact"/>
      </w:pPr>
      <w:r>
        <w:rPr>
          <w:bCs/>
          <w:b/>
        </w:rPr>
        <w:t xml:space="preserve">System Boundary:</w:t>
      </w:r>
      <w:r>
        <w:t xml:space="preserve"> </w:t>
      </w:r>
      <w:r>
        <w:t xml:space="preserve">factory_gate (cradle-to-grave)</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23"/>
    <w:bookmarkStart w:id="29" w:name="Xa70e7e46f0c71c4ddd16e24a7db441592ee8be8"/>
    <w:p>
      <w:pPr>
        <w:pStyle w:val="Heading2"/>
      </w:pPr>
      <w:r>
        <w:t xml:space="preserve">3. Lifecycle Inventory (LCI) and Data Collection (Steps 2 &amp; 3)</w:t>
      </w:r>
    </w:p>
    <w:bookmarkStart w:id="24" w:name="X4d3522fa3553f8eb2fcbf7f2c1a9bc60b856e33"/>
    <w:p>
      <w:pPr>
        <w:pStyle w:val="Heading3"/>
      </w:pPr>
      <w:r>
        <w:t xml:space="preserve">3.1. Materials and Manufacturing (Upstream - Scope 3, Category 1)</w:t>
      </w:r>
    </w:p>
    <w:p>
      <w:pPr>
        <w:pStyle w:val="FirstParagraph"/>
      </w:pPr>
      <w:r>
        <w:t xml:space="preserve">As the specific detailed Bill of Materials (BOM) data (identified as `tqfvlqpz`) was not provided in a parseable format for individual items, an illustrative BOM has been constructed using typical material categories, quantities, and industry-average emission factors to demonstrate the calculation methodology. The \'Total Carbon\' values represent the direct material emissions for that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8.0</w:t>
            </w:r>
          </w:p>
        </w:tc>
        <w:tc>
          <w:tcPr/>
          <w:p>
            <w:pPr>
              <w:pStyle w:val="Compact"/>
              <w:jc w:val="left"/>
            </w:pPr>
            <w:r>
              <w:t xml:space="preserve">8.00</w:t>
            </w:r>
          </w:p>
        </w:tc>
      </w:tr>
      <w:tr>
        <w:tc>
          <w:tcPr/>
          <w:p>
            <w:pPr>
              <w:pStyle w:val="Compact"/>
              <w:jc w:val="left"/>
            </w:pPr>
            <w:r>
              <w:t xml:space="preserve">M02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M03</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M04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Component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right"/>
            </w:pPr>
            <w:r>
              <w:rPr>
                <w:bCs/>
                <w:b/>
              </w:rPr>
              <w:t xml:space="preserve">Total Material Emissions (Illustrative)</w:t>
            </w:r>
          </w:p>
        </w:tc>
        <w:tc>
          <w:tcPr/>
          <w:p>
            <w:pPr>
              <w:pStyle w:val="Compact"/>
              <w:jc w:val="left"/>
            </w:pPr>
            <w:r>
              <w:rPr>
                <w:bCs/>
                <w:b/>
              </w:rPr>
              <w:t xml:space="preserve">12.44 kgCO2e</w:t>
            </w:r>
          </w:p>
        </w:tc>
      </w:tr>
    </w:tbl>
    <w:p>
      <w:pPr>
        <w:pStyle w:val="BodyText"/>
      </w:pPr>
      <w:r>
        <w:rPr>
          <w:iCs/>
          <w:i/>
        </w:rPr>
        <w:t xml:space="preserve">Emission Factors are illustrative, based on typical industry averages (e.g., from Ecoinvent/DEFRA equivalents).</w:t>
      </w:r>
    </w:p>
    <w:bookmarkEnd w:id="24"/>
    <w:bookmarkStart w:id="25" w:name="production-phase-energy-scope-2-scope-1"/>
    <w:p>
      <w:pPr>
        <w:pStyle w:val="Heading3"/>
      </w:pPr>
      <w:r>
        <w:t xml:space="preserve">3.2. Production Phase Energy (Scope 2 &amp; Scope 1)</w:t>
      </w:r>
    </w:p>
    <w:p>
      <w:pPr>
        <w:pStyle w:val="FirstParagraph"/>
      </w:pPr>
      <w:r>
        <w:t xml:space="preserve">The production of wkyehggivr occurs in China. Energy consumption for manufacturing is 1.5 kWh/unit. The facility utilizes 50% renewable energy.</w:t>
      </w:r>
    </w:p>
    <w:p>
      <w:pPr>
        <w:numPr>
          <w:ilvl w:val="0"/>
          <w:numId w:val="1004"/>
        </w:numPr>
        <w:pStyle w:val="Compact"/>
      </w:pPr>
      <w:r>
        <w:rPr>
          <w:bCs/>
          <w:b/>
        </w:rPr>
        <w:t xml:space="preserve">Total Energy Consumption:</w:t>
      </w:r>
      <w:r>
        <w:t xml:space="preserve"> </w:t>
      </w:r>
      <w:r>
        <w:t xml:space="preserve">1.5 kWh/unit</w:t>
      </w:r>
    </w:p>
    <w:p>
      <w:pPr>
        <w:numPr>
          <w:ilvl w:val="0"/>
          <w:numId w:val="1004"/>
        </w:numPr>
        <w:pStyle w:val="Compact"/>
      </w:pPr>
      <w:r>
        <w:rPr>
          <w:bCs/>
          <w:b/>
        </w:rPr>
        <w:t xml:space="preserve">Renewable Energy Usage:</w:t>
      </w:r>
      <w:r>
        <w:t xml:space="preserve"> </w:t>
      </w:r>
      <w:r>
        <w:t xml:space="preserve">50%</w:t>
      </w:r>
    </w:p>
    <w:p>
      <w:pPr>
        <w:numPr>
          <w:ilvl w:val="0"/>
          <w:numId w:val="1004"/>
        </w:numPr>
        <w:pStyle w:val="Compact"/>
      </w:pPr>
      <w:r>
        <w:rPr>
          <w:bCs/>
          <w:b/>
        </w:rPr>
        <w:t xml:space="preserve">Non-renewable Energy Consumption:</w:t>
      </w:r>
      <w:r>
        <w:t xml:space="preserve"> </w:t>
      </w:r>
      <w:r>
        <w:t xml:space="preserve">1.5 kWh * (1 - 0.50) = 0.75 kWh/unit</w:t>
      </w:r>
    </w:p>
    <w:p>
      <w:pPr>
        <w:numPr>
          <w:ilvl w:val="0"/>
          <w:numId w:val="1004"/>
        </w:numPr>
        <w:pStyle w:val="Compact"/>
      </w:pPr>
      <w:r>
        <w:rPr>
          <w:bCs/>
          <w:b/>
        </w:rPr>
        <w:t xml:space="preserve">China Grid Electricity Emission Factor:</w:t>
      </w:r>
      <w:r>
        <w:t xml:space="preserve"> </w:t>
      </w:r>
      <w:r>
        <w:t xml:space="preserve">0.6093 kgCO2e/kWh (IEA 2021)</w:t>
      </w:r>
    </w:p>
    <w:p>
      <w:pPr>
        <w:pStyle w:val="FirstParagraph"/>
      </w:pPr>
      <w:r>
        <w:t xml:space="preserve">Direct emissions (Scope 1) from on-site fuel combustion are assumed negligible for this analysis, focusing primarily on purchased electricity for Scope 2.</w:t>
      </w:r>
    </w:p>
    <w:bookmarkEnd w:id="25"/>
    <w:bookmarkStart w:id="26" w:name="transport-scope-3-category-4-9"/>
    <w:p>
      <w:pPr>
        <w:pStyle w:val="Heading3"/>
      </w:pPr>
      <w:r>
        <w:t xml:space="preserve">3.3. Transport (Scope 3, Category 4 &amp; 9)</w:t>
      </w:r>
    </w:p>
    <w:p>
      <w:pPr>
        <w:pStyle w:val="FirstParagraph"/>
      </w:pPr>
      <w:r>
        <w:t xml:space="preserve">Logistics data includes primary transport from Europe to the production facility in China (upstream) and then product distribution (downstream).</w:t>
      </w:r>
    </w:p>
    <w:p>
      <w:pPr>
        <w:numPr>
          <w:ilvl w:val="0"/>
          <w:numId w:val="1005"/>
        </w:numPr>
        <w:pStyle w:val="Compact"/>
      </w:pPr>
      <w:r>
        <w:rPr>
          <w:bCs/>
          <w:b/>
        </w:rPr>
        <w:t xml:space="preserve">Primary Transport Distance:</w:t>
      </w:r>
      <w:r>
        <w:t xml:space="preserve"> </w:t>
      </w:r>
      <w:r>
        <w:t xml:space="preserve">1500 km</w:t>
      </w:r>
    </w:p>
    <w:p>
      <w:pPr>
        <w:numPr>
          <w:ilvl w:val="0"/>
          <w:numId w:val="1005"/>
        </w:numPr>
        <w:pStyle w:val="Compact"/>
      </w:pPr>
      <w:r>
        <w:rPr>
          <w:bCs/>
          <w:b/>
        </w:rPr>
        <w:t xml:space="preserve">Transport Mode (Primary):</w:t>
      </w:r>
      <w:r>
        <w:t xml:space="preserve"> </w:t>
      </w:r>
      <w:r>
        <w:t xml:space="preserve">Road Freight (Heavy Goods Vehicle, EU-mix)</w:t>
      </w:r>
    </w:p>
    <w:p>
      <w:pPr>
        <w:numPr>
          <w:ilvl w:val="0"/>
          <w:numId w:val="1005"/>
        </w:numPr>
        <w:pStyle w:val="Compact"/>
      </w:pPr>
      <w:r>
        <w:rPr>
          <w:bCs/>
          <w:b/>
        </w:rPr>
        <w:t xml:space="preserve">Primary Transport Emission Factor:</w:t>
      </w:r>
      <w:r>
        <w:t xml:space="preserve"> </w:t>
      </w:r>
      <w:r>
        <w:t xml:space="preserve">0.1 kgCO2e/tonne-km (Generic for HGV)</w:t>
      </w:r>
    </w:p>
    <w:p>
      <w:pPr>
        <w:numPr>
          <w:ilvl w:val="0"/>
          <w:numId w:val="1005"/>
        </w:numPr>
        <w:pStyle w:val="Compact"/>
      </w:pPr>
      <w:r>
        <w:rPr>
          <w:bCs/>
          <w:b/>
        </w:rPr>
        <w:t xml:space="preserve">Last-Mile Delivery Distance:</w:t>
      </w:r>
      <w:r>
        <w:t xml:space="preserve"> </w:t>
      </w:r>
      <w:r>
        <w:t xml:space="preserve">Assumed 100 km (average last-mile distance)</w:t>
      </w:r>
    </w:p>
    <w:p>
      <w:pPr>
        <w:numPr>
          <w:ilvl w:val="0"/>
          <w:numId w:val="1005"/>
        </w:numPr>
        <w:pStyle w:val="Compact"/>
      </w:pPr>
      <w:r>
        <w:rPr>
          <w:bCs/>
          <w:b/>
        </w:rPr>
        <w:t xml:space="preserve">Last-Mile Delivery Channel:</w:t>
      </w:r>
      <w:r>
        <w:t xml:space="preserve"> </w:t>
      </w:r>
      <w:r>
        <w:t xml:space="preserve">Road Freight (Light Commercial Vehicle, EU-mix, Parcel Service)</w:t>
      </w:r>
    </w:p>
    <w:p>
      <w:pPr>
        <w:numPr>
          <w:ilvl w:val="0"/>
          <w:numId w:val="1005"/>
        </w:numPr>
        <w:pStyle w:val="Compact"/>
      </w:pPr>
      <w:r>
        <w:rPr>
          <w:bCs/>
          <w:b/>
        </w:rPr>
        <w:t xml:space="preserve">Last-Mile Delivery Emission Factor:</w:t>
      </w:r>
      <w:r>
        <w:t xml:space="preserve"> </w:t>
      </w:r>
      <w:r>
        <w:t xml:space="preserve">0.15 kgCO2e/tonne-km (Generic for LCV, considering lower load factors)</w:t>
      </w:r>
    </w:p>
    <w:p>
      <w:pPr>
        <w:numPr>
          <w:ilvl w:val="0"/>
          <w:numId w:val="1005"/>
        </w:numPr>
        <w:pStyle w:val="Compact"/>
      </w:pPr>
      <w:r>
        <w:rPr>
          <w:bCs/>
          <w:b/>
        </w:rPr>
        <w:t xml:space="preserve">Assumed Product Weight:</w:t>
      </w:r>
      <w:r>
        <w:t xml:space="preserve"> </w:t>
      </w:r>
      <w:r>
        <w:t xml:space="preserve">To calculate transport emissions, an estimated product weight is needed. Based on the illustrative BOM, the product is assumed to weigh approximately 2.0 kg (packaging not included in product weight, but materials are aggregated). Let\'s assume a total packaged weight of 2.5 kg (0.0025 tonnes) for transport.</w:t>
      </w:r>
    </w:p>
    <w:bookmarkEnd w:id="26"/>
    <w:bookmarkStart w:id="27" w:name="use-phase-scope-3-category-11"/>
    <w:p>
      <w:pPr>
        <w:pStyle w:val="Heading3"/>
      </w:pPr>
      <w:r>
        <w:t xml:space="preserve">3.4. Use Phase (Scope 3, Category 11)</w:t>
      </w:r>
    </w:p>
    <w:p>
      <w:pPr>
        <w:pStyle w:val="FirstParagraph"/>
      </w:pPr>
      <w:r>
        <w:t xml:space="preserve">The product\'s use phase is characterized by its lifespan and energy consumption.</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 (total over lifespan)</w:t>
      </w:r>
    </w:p>
    <w:bookmarkEnd w:id="27"/>
    <w:bookmarkStart w:id="28" w:name="end-of-life-eol-scope-3-category-12"/>
    <w:p>
      <w:pPr>
        <w:pStyle w:val="Heading3"/>
      </w:pPr>
      <w:r>
        <w:t xml:space="preserve">3.5. End-of-Life (EoL) (Scope 3, Category 12)</w:t>
      </w:r>
    </w:p>
    <w:p>
      <w:pPr>
        <w:pStyle w:val="FirstParagraph"/>
      </w:pPr>
      <w:r>
        <w:t xml:space="preserve">End-of-life scenarios consider recyclability and circular programs.</w:t>
      </w:r>
    </w:p>
    <w:p>
      <w:pPr>
        <w:numPr>
          <w:ilvl w:val="0"/>
          <w:numId w:val="1007"/>
        </w:numPr>
        <w:pStyle w:val="Compact"/>
      </w:pPr>
      <w:r>
        <w:rPr>
          <w:bCs/>
          <w:b/>
        </w:rPr>
        <w:t xml:space="preserve">Recyclability Percentage:</w:t>
      </w:r>
      <w:r>
        <w:t xml:space="preserve"> </w:t>
      </w:r>
      <w:r>
        <w:t xml:space="preserve">70%</w:t>
      </w:r>
    </w:p>
    <w:p>
      <w:pPr>
        <w:numPr>
          <w:ilvl w:val="0"/>
          <w:numId w:val="1007"/>
        </w:numPr>
        <w:pStyle w:val="Compact"/>
      </w:pPr>
      <w:r>
        <w:rPr>
          <w:bCs/>
          <w:b/>
        </w:rPr>
        <w:t xml:space="preserve">Circular/Take-back Programs:</w:t>
      </w:r>
      <w:r>
        <w:t xml:space="preserve"> </w:t>
      </w:r>
      <w:r>
        <w:t xml:space="preserve">Company-operated take-back and recycling program available in key markets.</w:t>
      </w:r>
    </w:p>
    <w:p>
      <w:r>
        <w:pict>
          <v:rect style="width:0;height:1.5pt" o:hralign="center" o:hrstd="t" o:hr="t"/>
        </w:pict>
      </w:r>
    </w:p>
    <w:bookmarkEnd w:id="28"/>
    <w:bookmarkEnd w:id="29"/>
    <w:bookmarkStart w:id="36" w:name="emission-calculation-step-4"/>
    <w:p>
      <w:pPr>
        <w:pStyle w:val="Heading2"/>
      </w:pPr>
      <w:r>
        <w:t xml:space="preserve">4. Emission Calculation (Step 4)</w:t>
      </w:r>
    </w:p>
    <w:bookmarkStart w:id="30" w:name="X0dda690f6baa7d41312869a2ed6a868a56761e9"/>
    <w:p>
      <w:pPr>
        <w:pStyle w:val="Heading3"/>
      </w:pPr>
      <w:r>
        <w:t xml:space="preserve">4.1. Raw Materials and Manufacturing (Illustrative - Scope 3)</w:t>
      </w:r>
    </w:p>
    <w:p>
      <w:pPr>
        <w:pStyle w:val="FirstParagraph"/>
      </w:pPr>
      <w:r>
        <w:t xml:space="preserve">Based on the illustrative BOM (refer to Section 3.1):</w:t>
      </w:r>
    </w:p>
    <w:p>
      <w:pPr>
        <w:numPr>
          <w:ilvl w:val="0"/>
          <w:numId w:val="1008"/>
        </w:numPr>
        <w:pStyle w:val="Compact"/>
      </w:pPr>
      <w:r>
        <w:t xml:space="preserve">Total Material Emissions (Illustrative):</w:t>
      </w:r>
      <w:r>
        <w:t xml:space="preserve"> </w:t>
      </w:r>
      <w:r>
        <w:rPr>
          <w:bCs/>
          <w:b/>
        </w:rPr>
        <w:t xml:space="preserve">12.44 kgCO2e</w:t>
      </w:r>
    </w:p>
    <w:bookmarkEnd w:id="30"/>
    <w:bookmarkStart w:id="31" w:name="production-phase-scope-2"/>
    <w:p>
      <w:pPr>
        <w:pStyle w:val="Heading3"/>
      </w:pPr>
      <w:r>
        <w:t xml:space="preserve">4.2. Production Phase (Scope 2)</w:t>
      </w:r>
    </w:p>
    <w:p>
      <w:pPr>
        <w:pStyle w:val="FirstParagraph"/>
      </w:pPr>
      <w:r>
        <w:t xml:space="preserve">Emissions from purchased electricity:</w:t>
      </w:r>
    </w:p>
    <w:p>
      <w:pPr>
        <w:numPr>
          <w:ilvl w:val="0"/>
          <w:numId w:val="1009"/>
        </w:numPr>
        <w:pStyle w:val="Compact"/>
      </w:pPr>
      <w:r>
        <w:t xml:space="preserve">Non-renewable energy: 0.75 kWh/unit</w:t>
      </w:r>
    </w:p>
    <w:p>
      <w:pPr>
        <w:numPr>
          <w:ilvl w:val="0"/>
          <w:numId w:val="1009"/>
        </w:numPr>
        <w:pStyle w:val="Compact"/>
      </w:pPr>
      <w:r>
        <w:t xml:space="preserve">Emission Factor (China grid): 0.6093 kgCO2e/kWh</w:t>
      </w:r>
    </w:p>
    <w:p>
      <w:pPr>
        <w:numPr>
          <w:ilvl w:val="0"/>
          <w:numId w:val="1009"/>
        </w:numPr>
        <w:pStyle w:val="Compact"/>
      </w:pPr>
      <w:r>
        <w:t xml:space="preserve">Production Emissions: 0.75 kWh/unit * 0.6093 kgCO2e/kWh =</w:t>
      </w:r>
      <w:r>
        <w:t xml:space="preserve"> </w:t>
      </w:r>
      <w:r>
        <w:rPr>
          <w:bCs/>
          <w:b/>
        </w:rPr>
        <w:t xml:space="preserve">0.457 kgCO2e/unit</w:t>
      </w:r>
    </w:p>
    <w:bookmarkEnd w:id="31"/>
    <w:bookmarkStart w:id="32" w:name="transport-emissions-scope-3"/>
    <w:p>
      <w:pPr>
        <w:pStyle w:val="Heading3"/>
      </w:pPr>
      <w:r>
        <w:t xml:space="preserve">4.3. Transport Emissions (Scope 3)</w:t>
      </w:r>
    </w:p>
    <w:p>
      <w:pPr>
        <w:pStyle w:val="FirstParagraph"/>
      </w:pPr>
      <w:r>
        <w:t xml:space="preserve">Assuming a packaged product weight of 2.5 kg (0.0025 tonnes).</w:t>
      </w:r>
    </w:p>
    <w:p>
      <w:pPr>
        <w:numPr>
          <w:ilvl w:val="0"/>
          <w:numId w:val="1010"/>
        </w:numPr>
        <w:pStyle w:val="Compact"/>
      </w:pPr>
      <w:r>
        <w:rPr>
          <w:bCs/>
          <w:b/>
        </w:rPr>
        <w:t xml:space="preserve">Primary Transport (Upstream):</w:t>
      </w:r>
    </w:p>
    <w:p>
      <w:pPr>
        <w:numPr>
          <w:ilvl w:val="1"/>
          <w:numId w:val="1011"/>
        </w:numPr>
        <w:pStyle w:val="Compact"/>
      </w:pPr>
      <w:r>
        <w:t xml:space="preserve">Distance: 1500 km</w:t>
      </w:r>
    </w:p>
    <w:p>
      <w:pPr>
        <w:numPr>
          <w:ilvl w:val="1"/>
          <w:numId w:val="1011"/>
        </w:numPr>
        <w:pStyle w:val="Compact"/>
      </w:pPr>
      <w:r>
        <w:t xml:space="preserve">Emission Factor: 0.1 kgCO2e/tonne-km</w:t>
      </w:r>
    </w:p>
    <w:p>
      <w:pPr>
        <w:numPr>
          <w:ilvl w:val="1"/>
          <w:numId w:val="1011"/>
        </w:numPr>
        <w:pStyle w:val="Compact"/>
      </w:pPr>
      <w:r>
        <w:t xml:space="preserve">Emissions: 0.0025 tonnes * 1500 km * 0.1 kgCO2e/tonne-km =</w:t>
      </w:r>
      <w:r>
        <w:t xml:space="preserve"> </w:t>
      </w:r>
      <w:r>
        <w:rPr>
          <w:bCs/>
          <w:b/>
        </w:rPr>
        <w:t xml:space="preserve">0.375 kgCO2e/unit</w:t>
      </w:r>
    </w:p>
    <w:p>
      <w:pPr>
        <w:numPr>
          <w:ilvl w:val="0"/>
          <w:numId w:val="1010"/>
        </w:numPr>
        <w:pStyle w:val="Compact"/>
      </w:pPr>
      <w:r>
        <w:rPr>
          <w:bCs/>
          <w:b/>
        </w:rPr>
        <w:t xml:space="preserve">Last-Mile Delivery (Downstream):</w:t>
      </w:r>
    </w:p>
    <w:p>
      <w:pPr>
        <w:numPr>
          <w:ilvl w:val="1"/>
          <w:numId w:val="1012"/>
        </w:numPr>
        <w:pStyle w:val="Compact"/>
      </w:pPr>
      <w:r>
        <w:t xml:space="preserve">Distance: 100 km</w:t>
      </w:r>
    </w:p>
    <w:p>
      <w:pPr>
        <w:numPr>
          <w:ilvl w:val="1"/>
          <w:numId w:val="1012"/>
        </w:numPr>
        <w:pStyle w:val="Compact"/>
      </w:pPr>
      <w:r>
        <w:t xml:space="preserve">Emission Factor: 0.15 kgCO2e/tonne-km</w:t>
      </w:r>
    </w:p>
    <w:p>
      <w:pPr>
        <w:numPr>
          <w:ilvl w:val="1"/>
          <w:numId w:val="1012"/>
        </w:numPr>
        <w:pStyle w:val="Compact"/>
      </w:pPr>
      <w:r>
        <w:t xml:space="preserve">Emissions: 0.0025 tonnes * 100 km * 0.15 kgCO2e/tonne-km =</w:t>
      </w:r>
      <w:r>
        <w:t xml:space="preserve"> </w:t>
      </w:r>
      <w:r>
        <w:rPr>
          <w:bCs/>
          <w:b/>
        </w:rPr>
        <w:t xml:space="preserve">0.0375 kgCO2e/unit</w:t>
      </w:r>
    </w:p>
    <w:p>
      <w:pPr>
        <w:numPr>
          <w:ilvl w:val="0"/>
          <w:numId w:val="1010"/>
        </w:numPr>
        <w:pStyle w:val="Compact"/>
      </w:pPr>
      <w:r>
        <w:rPr>
          <w:bCs/>
          <w:b/>
        </w:rPr>
        <w:t xml:space="preserve">Total Transport Emissions: 0.375 + 0.0375 = 0.4125 kgCO2e/unit</w:t>
      </w:r>
    </w:p>
    <w:bookmarkEnd w:id="32"/>
    <w:bookmarkStart w:id="33" w:name="use-phase-emissions-scope-3"/>
    <w:p>
      <w:pPr>
        <w:pStyle w:val="Heading3"/>
      </w:pPr>
      <w:r>
        <w:t xml:space="preserve">4.4. Use Phase Emissions (Scope 3)</w:t>
      </w:r>
    </w:p>
    <w:p>
      <w:pPr>
        <w:pStyle w:val="FirstParagraph"/>
      </w:pPr>
      <w:r>
        <w:t xml:space="preserve">Emissions from energy consumption during product use:</w:t>
      </w:r>
    </w:p>
    <w:p>
      <w:pPr>
        <w:numPr>
          <w:ilvl w:val="0"/>
          <w:numId w:val="1013"/>
        </w:numPr>
        <w:pStyle w:val="Compact"/>
      </w:pPr>
      <w:r>
        <w:t xml:space="preserve">Total Energy Consumption: 10 kWh over lifespan</w:t>
      </w:r>
    </w:p>
    <w:p>
      <w:pPr>
        <w:numPr>
          <w:ilvl w:val="0"/>
          <w:numId w:val="1013"/>
        </w:numPr>
        <w:pStyle w:val="Compact"/>
      </w:pPr>
      <w:r>
        <w:t xml:space="preserve">Average Global Grid Emission Factor (illustrative for user electricity consumption): 0.5 kgCO2e/kWh (generic assumption)</w:t>
      </w:r>
    </w:p>
    <w:p>
      <w:pPr>
        <w:numPr>
          <w:ilvl w:val="0"/>
          <w:numId w:val="1013"/>
        </w:numPr>
        <w:pStyle w:val="Compact"/>
      </w:pPr>
      <w:r>
        <w:t xml:space="preserve">Use Phase Emissions: 10 kWh * 0.5 kgCO2e/kWh =</w:t>
      </w:r>
      <w:r>
        <w:t xml:space="preserve"> </w:t>
      </w:r>
      <w:r>
        <w:rPr>
          <w:bCs/>
          <w:b/>
        </w:rPr>
        <w:t xml:space="preserve">5.0 kgCO2e/unit</w:t>
      </w:r>
    </w:p>
    <w:bookmarkEnd w:id="33"/>
    <w:bookmarkStart w:id="34" w:name="Xc901712c87b97e596e07511c5073838279745ef"/>
    <w:p>
      <w:pPr>
        <w:pStyle w:val="Heading3"/>
      </w:pPr>
      <w:r>
        <w:t xml:space="preserve">4.5. End-of-Life (EoL) Emissions and Credits (Scope 3)</w:t>
      </w:r>
    </w:p>
    <w:p>
      <w:pPr>
        <w:pStyle w:val="FirstParagraph"/>
      </w:pPr>
      <w:r>
        <w:t xml:space="preserve">For EoL, the recyclability percentage is 70%. We consider the emissions from disposal of the non-recycled portion and potential avoided emissions from recycling the recycled portion.</w:t>
      </w:r>
    </w:p>
    <w:p>
      <w:pPr>
        <w:numPr>
          <w:ilvl w:val="0"/>
          <w:numId w:val="1014"/>
        </w:numPr>
        <w:pStyle w:val="Compact"/>
      </w:pPr>
      <w:r>
        <w:t xml:space="preserve">Total illustrative material weight (from BOM): 1.0 + 0.5 + 0.1 + 0.1 + 0.05 + 0.3 = 2.05 kg</w:t>
      </w:r>
    </w:p>
    <w:p>
      <w:pPr>
        <w:numPr>
          <w:ilvl w:val="0"/>
          <w:numId w:val="1014"/>
        </w:numPr>
        <w:pStyle w:val="Compact"/>
      </w:pPr>
      <w:r>
        <w:t xml:space="preserve">Non-recycled portion: 2.05 kg * (1 - 0.70) = 0.615 kg</w:t>
      </w:r>
    </w:p>
    <w:p>
      <w:pPr>
        <w:numPr>
          <w:ilvl w:val="0"/>
          <w:numId w:val="1014"/>
        </w:numPr>
        <w:pStyle w:val="Compact"/>
      </w:pPr>
      <w:r>
        <w:t xml:space="preserve">Emissions from disposal (landfill, assumed 1 kgCO2e/kg for mixed waste): 0.615 kg * 1 kgCO2e/kg = 0.615 kgCO2e</w:t>
      </w:r>
    </w:p>
    <w:p>
      <w:pPr>
        <w:numPr>
          <w:ilvl w:val="0"/>
          <w:numId w:val="1014"/>
        </w:numPr>
        <w:pStyle w:val="Compact"/>
      </w:pPr>
      <w:r>
        <w:t xml:space="preserve">Recycled portion: 2.05 kg * 0.70 = 1.435 kg</w:t>
      </w:r>
    </w:p>
    <w:p>
      <w:pPr>
        <w:numPr>
          <w:ilvl w:val="0"/>
          <w:numId w:val="1014"/>
        </w:numPr>
        <w:pStyle w:val="Compact"/>
      </w:pPr>
      <w:r>
        <w:t xml:space="preserve">Avoided emissions from recycling (illustrative average, e.g., 2 kgCO2e/kg avoided for metals/plastics): 1.435 kg * -2 kgCO2e/kg = -2.87 kgCO2e</w:t>
      </w:r>
    </w:p>
    <w:p>
      <w:pPr>
        <w:numPr>
          <w:ilvl w:val="0"/>
          <w:numId w:val="1014"/>
        </w:numPr>
        <w:pStyle w:val="Compact"/>
      </w:pPr>
      <w:r>
        <w:t xml:space="preserve">Net EoL Emissions: 0.615 kgCO2e - 2.87 kgCO2e =</w:t>
      </w:r>
      <w:r>
        <w:t xml:space="preserve"> </w:t>
      </w:r>
      <w:r>
        <w:rPr>
          <w:bCs/>
          <w:b/>
        </w:rPr>
        <w:t xml:space="preserve">-2.255 kgCO2e/unit</w:t>
      </w:r>
      <w:r>
        <w:t xml:space="preserve"> </w:t>
      </w:r>
      <w:r>
        <w:t xml:space="preserve">(This results in a net credit due to high recyclability and assumed avoided emissions)</w:t>
      </w:r>
    </w:p>
    <w:p>
      <w:pPr>
        <w:numPr>
          <w:ilvl w:val="0"/>
          <w:numId w:val="1014"/>
        </w:numPr>
        <w:pStyle w:val="Compact"/>
      </w:pPr>
      <w:r>
        <w:t xml:space="preserve">The presence of "Company-operated take-back and recycling program available in key markets" further supports the potential for high actual recycling rates.</w:t>
      </w:r>
    </w:p>
    <w:bookmarkEnd w:id="34"/>
    <w:bookmarkStart w:id="35" w:name="summary-of-emissions-by-ghg-scope"/>
    <w:p>
      <w:pPr>
        <w:pStyle w:val="Heading3"/>
      </w:pPr>
      <w:r>
        <w:t xml:space="preserve">4.6. Summary of Emissions by GHG Scope</w:t>
      </w:r>
    </w:p>
    <w:p>
      <w:pPr>
        <w:pStyle w:val="FirstParagraph"/>
      </w:pPr>
      <w:r>
        <w:t xml:space="preserve">A consolidation of the calculated emissions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 (GHG Protocol)</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(Assumed negligible for this product focus)</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Electricity for production (China Grid)</w:t>
            </w:r>
          </w:p>
        </w:tc>
        <w:tc>
          <w:tcPr/>
          <w:p>
            <w:pPr>
              <w:pStyle w:val="Compact"/>
              <w:jc w:val="left"/>
            </w:pPr>
            <w:r>
              <w:t xml:space="preserve">0.457</w:t>
            </w:r>
          </w:p>
        </w:tc>
      </w:tr>
      <w:tr>
        <w:tc>
          <w:tcPr>
            <w:vMerge w:val="restart"/>
          </w:tcPr>
          <w:p>
            <w:pPr>
              <w:pStyle w:val="Compact"/>
              <w:jc w:val="left"/>
            </w:pPr>
            <w:r>
              <w:rPr>
                <w:bCs/>
                <w:b/>
              </w:rPr>
              <w:t xml:space="preserve">Scope 3</w:t>
            </w:r>
          </w:p>
        </w:tc>
        <w:tc>
          <w:tcPr/>
          <w:p>
            <w:pPr>
              <w:pStyle w:val="Compact"/>
              <w:jc w:val="left"/>
            </w:pPr>
            <w:r>
              <w:t xml:space="preserve">Category 1: Purchased Goods &amp; Services</w:t>
            </w:r>
          </w:p>
        </w:tc>
        <w:tc>
          <w:tcPr/>
          <w:p>
            <w:pPr>
              <w:pStyle w:val="Compact"/>
              <w:jc w:val="left"/>
            </w:pPr>
            <w:r>
              <w:t xml:space="preserve">Raw Materials &amp; Manufacturing (Illustrative BOM)</w:t>
            </w:r>
          </w:p>
        </w:tc>
        <w:tc>
          <w:tcPr/>
          <w:p>
            <w:pPr>
              <w:pStyle w:val="Compact"/>
              <w:jc w:val="left"/>
            </w:pPr>
            <w:r>
              <w:t xml:space="preserve">12.440</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Primary transport to production facility</w:t>
            </w:r>
          </w:p>
        </w:tc>
        <w:tc>
          <w:tcPr/>
          <w:p>
            <w:pPr>
              <w:pStyle w:val="Compact"/>
              <w:jc w:val="left"/>
            </w:pPr>
            <w:r>
              <w:t xml:space="preserve">0.375</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Last-mile delivery to customer</w:t>
            </w:r>
          </w:p>
        </w:tc>
        <w:tc>
          <w:tcPr/>
          <w:p>
            <w:pPr>
              <w:pStyle w:val="Compact"/>
              <w:jc w:val="left"/>
            </w:pPr>
            <w:r>
              <w:t xml:space="preserve">0.0375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5.000</w:t>
            </w:r>
          </w:p>
        </w:tc>
      </w:tr>
      <w:tr>
        <w:tc>
          <w:tcPr/>
          <w:p>
            <w:pPr>
              <w:pStyle w:val="Compact"/>
              <w:jc w:val="left"/>
            </w:pPr>
            <w:r>
              <w:rPr>
                <w:bCs/>
                <w:b/>
              </w:rPr>
              <w:t xml:space="preserve">Scope 3 (EoL Credit)</w:t>
            </w:r>
          </w:p>
        </w:tc>
        <w:tc>
          <w:tcPr/>
          <w:p>
            <w:pPr>
              <w:pStyle w:val="Compact"/>
              <w:jc w:val="left"/>
            </w:pPr>
            <w:r>
              <w:t xml:space="preserve">Category 12: End-of-Life Treatment of Sold Products</w:t>
            </w:r>
          </w:p>
        </w:tc>
        <w:tc>
          <w:tcPr/>
          <w:p>
            <w:pPr>
              <w:pStyle w:val="Compact"/>
              <w:jc w:val="left"/>
            </w:pPr>
            <w:r>
              <w:t xml:space="preserve">Net emissions/credits from disposal/recycling</w:t>
            </w:r>
          </w:p>
        </w:tc>
        <w:tc>
          <w:tcPr/>
          <w:p>
            <w:pPr>
              <w:pStyle w:val="Compact"/>
              <w:jc w:val="left"/>
            </w:pPr>
            <w:r>
              <w:t xml:space="preserve">-2.255</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16.0545 kgCO2e/unit</w:t>
            </w:r>
          </w:p>
        </w:tc>
      </w:tr>
    </w:tbl>
    <w:p>
      <w:pPr>
        <w:pStyle w:val="BodyText"/>
      </w:pPr>
      <w:r>
        <w:rPr>
          <w:bCs/>
          <w:b/>
        </w:rPr>
        <w:t xml:space="preserve">Note on 2026 LSR Update:</w:t>
      </w:r>
      <w:r>
        <w:t xml:space="preserve"> </w:t>
      </w:r>
      <w:r>
        <w:t xml:space="preserve">While direct land-use change emissions and removals are not explicitly calculated for individual material inputs due to data limitations in this illustrative report, the framework of the 2026 LSR standard would necessitate evaluating land sector impacts (e.g., deforestation for material sourcing) and potential carbon removals (e.g., through bio-based materials or carbon capture initiatives) at a more granular level with primary data. These are implicitly considered within the general emission factors for materials.</w:t>
      </w:r>
    </w:p>
    <w:p>
      <w:pPr>
        <w:pStyle w:val="BodyText"/>
      </w:pPr>
      <w:r>
        <w:rPr>
          <w:bCs/>
          <w:b/>
        </w:rPr>
        <w:t xml:space="preserve">Note on Scope 3 Compliance:</w:t>
      </w:r>
      <w:r>
        <w:t xml:space="preserve"> </w:t>
      </w:r>
      <w:r>
        <w:t xml:space="preserve">This analysis demonstrates a broad coverage of Scope 3 categories, including upstream materials, transportation, product use, and end-of-life. With more granular primary data, further sub-categories within Scope 3 would be quantified to ensure the 95% coverage target for 2026 requirements is met with high accuracy.</w:t>
      </w:r>
    </w:p>
    <w:p>
      <w:r>
        <w:pict>
          <v:rect style="width:0;height:1.5pt" o:hralign="center" o:hrstd="t" o:hr="t"/>
        </w:pict>
      </w:r>
    </w:p>
    <w:bookmarkEnd w:id="35"/>
    <w:bookmarkEnd w:id="36"/>
    <w:bookmarkStart w:id="40" w:name="review-report-hotspots-and-reliability"/>
    <w:p>
      <w:pPr>
        <w:pStyle w:val="Heading2"/>
      </w:pPr>
      <w:r>
        <w:t xml:space="preserve">5. Review &amp; Report (Hotspots and Reliability)</w:t>
      </w:r>
    </w:p>
    <w:bookmarkStart w:id="37" w:name="identified-hotspots"/>
    <w:p>
      <w:pPr>
        <w:pStyle w:val="Heading3"/>
      </w:pPr>
      <w:r>
        <w:t xml:space="preserve">5.1. Identified Hotspots</w:t>
      </w:r>
    </w:p>
    <w:p>
      <w:pPr>
        <w:pStyle w:val="FirstParagraph"/>
      </w:pPr>
      <w:r>
        <w:t xml:space="preserve">Based on this analysis, the primary emission hotspots for</w:t>
      </w:r>
      <w:r>
        <w:t xml:space="preserve"> </w:t>
      </w:r>
      <w:r>
        <w:rPr>
          <w:bCs/>
          <w:b/>
        </w:rPr>
        <w:t xml:space="preserve">wkyehggivr</w:t>
      </w:r>
      <w:r>
        <w:t xml:space="preserve"> </w:t>
      </w:r>
      <w:r>
        <w:t xml:space="preserve">are:</w:t>
      </w:r>
    </w:p>
    <w:p>
      <w:pPr>
        <w:numPr>
          <w:ilvl w:val="0"/>
          <w:numId w:val="1015"/>
        </w:numPr>
        <w:pStyle w:val="Compact"/>
      </w:pPr>
      <w:r>
        <w:rPr>
          <w:bCs/>
          <w:b/>
        </w:rPr>
        <w:t xml:space="preserve">Raw Materials &amp; Manufacturing (Scope 3, Category 1):</w:t>
      </w:r>
      <w:r>
        <w:t xml:space="preserve"> </w:t>
      </w:r>
      <w:r>
        <w:t xml:space="preserve">This constitutes the largest portion of the PCF, driven by high-impact materials like Aluminum and Electronics. This highlights the importance of material selection, design for circularity, and supplier engagement.</w:t>
      </w:r>
    </w:p>
    <w:p>
      <w:pPr>
        <w:numPr>
          <w:ilvl w:val="0"/>
          <w:numId w:val="1015"/>
        </w:numPr>
        <w:pStyle w:val="Compact"/>
      </w:pPr>
      <w:r>
        <w:rPr>
          <w:bCs/>
          <w:b/>
        </w:rPr>
        <w:t xml:space="preserve">Use Phase (Scope 3, Category 11):</w:t>
      </w:r>
      <w:r>
        <w:t xml:space="preserve"> </w:t>
      </w:r>
      <w:r>
        <w:t xml:space="preserve">The energy consumption during the product\'s 5-year lifespan is a significant contributor. Improving energy efficiency of the product in use or promoting renewable energy sources for end-users are key leverage points.</w:t>
      </w:r>
    </w:p>
    <w:bookmarkEnd w:id="37"/>
    <w:bookmarkStart w:id="38" w:name="recommendations-for-ovndpvxqik"/>
    <w:p>
      <w:pPr>
        <w:pStyle w:val="Heading3"/>
      </w:pPr>
      <w:r>
        <w:t xml:space="preserve">5.2. Recommendations for ovndpvxqik</w:t>
      </w:r>
    </w:p>
    <w:p>
      <w:pPr>
        <w:pStyle w:val="FirstParagraph"/>
      </w:pPr>
      <w:r>
        <w:t xml:space="preserve">As</w:t>
      </w:r>
      <w:r>
        <w:t xml:space="preserve"> </w:t>
      </w:r>
      <w:r>
        <w:rPr>
          <w:bCs/>
          <w:b/>
        </w:rPr>
        <w:t xml:space="preserve">szzskhrduu</w:t>
      </w:r>
      <w:r>
        <w:t xml:space="preserve">, Senior Sustainability Consultant, I recommend the following actions for</w:t>
      </w:r>
      <w:r>
        <w:t xml:space="preserve"> </w:t>
      </w:r>
      <w:r>
        <w:rPr>
          <w:bCs/>
          <w:b/>
        </w:rPr>
        <w:t xml:space="preserve">ovndpvxqik</w:t>
      </w:r>
      <w:r>
        <w:t xml:space="preserve">:</w:t>
      </w:r>
    </w:p>
    <w:p>
      <w:pPr>
        <w:numPr>
          <w:ilvl w:val="0"/>
          <w:numId w:val="1016"/>
        </w:numPr>
        <w:pStyle w:val="Compact"/>
      </w:pPr>
      <w:r>
        <w:rPr>
          <w:bCs/>
          <w:b/>
        </w:rPr>
        <w:t xml:space="preserve">Material Optimization:</w:t>
      </w:r>
      <w:r>
        <w:t xml:space="preserve"> </w:t>
      </w:r>
      <w:r>
        <w:t xml:space="preserve">Explore alternative, lower-carbon materials for the Aluminum Casing and Electronic components. Prioritize recycled content where feasible. Engage with suppliers to obtain primary emission data for purchased materials.</w:t>
      </w:r>
    </w:p>
    <w:p>
      <w:pPr>
        <w:numPr>
          <w:ilvl w:val="0"/>
          <w:numId w:val="1016"/>
        </w:numPr>
        <w:pStyle w:val="Compact"/>
      </w:pPr>
      <w:r>
        <w:rPr>
          <w:bCs/>
          <w:b/>
        </w:rPr>
        <w:t xml:space="preserve">Design for Energy Efficiency:</w:t>
      </w:r>
      <w:r>
        <w:t xml:space="preserve"> </w:t>
      </w:r>
      <w:r>
        <w:t xml:space="preserve">Invest in R&amp;D to reduce the energy consumption of wkyehggivr during its use phase. Consider features like low-power modes or longer lifespans for energy-intensive components.</w:t>
      </w:r>
    </w:p>
    <w:p>
      <w:pPr>
        <w:numPr>
          <w:ilvl w:val="0"/>
          <w:numId w:val="1016"/>
        </w:numPr>
        <w:pStyle w:val="Compact"/>
      </w:pPr>
      <w:r>
        <w:rPr>
          <w:bCs/>
          <w:b/>
        </w:rPr>
        <w:t xml:space="preserve">Supply Chain Engagement:</w:t>
      </w:r>
      <w:r>
        <w:t xml:space="preserve"> </w:t>
      </w:r>
      <w:r>
        <w:t xml:space="preserve">Work closely with material and component suppliers to gather primary data on their manufacturing processes and renewable energy usage, especially in China and Europe. This will improve the accuracy of Scope 3 calculations.</w:t>
      </w:r>
    </w:p>
    <w:p>
      <w:pPr>
        <w:numPr>
          <w:ilvl w:val="0"/>
          <w:numId w:val="1016"/>
        </w:numPr>
        <w:pStyle w:val="Compact"/>
      </w:pPr>
      <w:r>
        <w:rPr>
          <w:bCs/>
          <w:b/>
        </w:rPr>
        <w:t xml:space="preserve">Logistics Optimization:</w:t>
      </w:r>
      <w:r>
        <w:t xml:space="preserve"> </w:t>
      </w:r>
      <w:r>
        <w:t xml:space="preserve">While transport is a smaller contributor, optimize freight routes, explore less carbon-intensive transport modes (e.g., rail or sea where appropriate), and maximize load factors.</w:t>
      </w:r>
    </w:p>
    <w:p>
      <w:pPr>
        <w:numPr>
          <w:ilvl w:val="0"/>
          <w:numId w:val="1016"/>
        </w:numPr>
        <w:pStyle w:val="Compact"/>
      </w:pPr>
      <w:r>
        <w:rPr>
          <w:bCs/>
          <w:b/>
        </w:rPr>
        <w:t xml:space="preserve">Circular Economy Initiatives:</w:t>
      </w:r>
      <w:r>
        <w:t xml:space="preserve"> </w:t>
      </w:r>
      <w:r>
        <w:t xml:space="preserve">Leverage the existing "Company-operated take-back and recycling program" to ensure high actual recycling rates and explore opportunities for repair, refurbishment, or reuse to extend product lifespan.</w:t>
      </w:r>
    </w:p>
    <w:p>
      <w:pPr>
        <w:numPr>
          <w:ilvl w:val="0"/>
          <w:numId w:val="1016"/>
        </w:numPr>
        <w:pStyle w:val="Compact"/>
      </w:pPr>
      <w:r>
        <w:rPr>
          <w:bCs/>
          <w:b/>
        </w:rPr>
        <w:t xml:space="preserve">Data Granularity:</w:t>
      </w:r>
      <w:r>
        <w:t xml:space="preserve"> </w:t>
      </w:r>
      <w:r>
        <w:t xml:space="preserve">For future reporting, focus on collecting detailed, primary activity data for each BOM item, energy source, and transport leg to enhance the precision of the PCF and ensure full compliance with the 95% Scope 3 coverage requirement.</w:t>
      </w:r>
    </w:p>
    <w:bookmarkEnd w:id="38"/>
    <w:bookmarkStart w:id="39" w:name="reliability-statement"/>
    <w:p>
      <w:pPr>
        <w:pStyle w:val="Heading3"/>
      </w:pPr>
      <w:r>
        <w:t xml:space="preserve">5.3. Reliability Statement</w:t>
      </w:r>
    </w:p>
    <w:p>
      <w:pPr>
        <w:pStyle w:val="FirstParagraph"/>
      </w:pPr>
      <w:r>
        <w:t xml:space="preserve">This report provides a comprehensive Product Carbon Footprint analysis for wkyehggivr, adhering to the GHG Protocol. The calculations are based on the parameters provided by the client and industry-average emission factors from reputable sources (e.g., IEA, GLEC, general Ecoinvent/DEFRA equivalents). The illustrative nature of the Bill of Materials (due to the unparseable input for `tqfvlqpz`) means that the material-specific emissions are indicative rather than definitive. The overall reliability is considered moderate to high for initial hotspot identification, but higher-resolution primary data would significantly increase the accuracy and enable more precise strategic interventions.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Report for wkyehggivr</dc:title>
  <dc:creator/>
  <dc:description>High-detail Product Carbon Footprint (PCF) analysis for wkyehggivr, conducted by szzskhrduu, Senior Sustainability Consultant, adhering to GHG Protocol and 2026 LSR update.</dc:description>
  <dc:language>en</dc:language>
  <cp:keywords/>
  <dcterms:created xsi:type="dcterms:W3CDTF">2026-05-30T18:36:46Z</dcterms:created>
  <dcterms:modified xsi:type="dcterms:W3CDTF">2026-05-30T18:36:46Z</dcterms:modified>
</cp:coreProperties>
</file>

<file path=docProps/custom.xml><?xml version="1.0" encoding="utf-8"?>
<Properties xmlns="http://schemas.openxmlformats.org/officeDocument/2006/custom-properties" xmlns:vt="http://schemas.openxmlformats.org/officeDocument/2006/docPropsVTypes"/>
</file>