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(PCF)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rqlgwyxtxd</w:t>
      </w:r>
      <w:r>
        <w:t xml:space="preserve"> </w:t>
      </w:r>
      <w:r>
        <w:t xml:space="preserve">-</w:t>
      </w:r>
      <w:r>
        <w:t xml:space="preserve"> </w:t>
      </w:r>
      <w:r>
        <w:t xml:space="preserve">hgngqervsw</w:t>
      </w:r>
    </w:p>
    <w:p>
      <w:pPr>
        <w:pStyle w:val="FirstParagraph"/>
      </w:pPr>
      <w:r>
        <w:t xml:space="preserve">carboncalcpcf.com</w:t>
      </w:r>
    </w:p>
    <w:bookmarkStart w:id="20" w:name="Xf2e6ab5be446359d80f42f50d41e46314dfe19d"/>
    <w:p>
      <w:pPr>
        <w:pStyle w:val="Heading1"/>
      </w:pPr>
      <w:r>
        <w:t xml:space="preserve">Product Carbon Footprint (PCF) Analysis Report</w:t>
      </w:r>
    </w:p>
    <w:p>
      <w:pPr>
        <w:pStyle w:val="FirstParagraph"/>
      </w:pPr>
      <w:r>
        <w:rPr>
          <w:bCs/>
          <w:b/>
        </w:rPr>
        <w:t xml:space="preserve">Product:</w:t>
      </w:r>
      <w:r>
        <w:t xml:space="preserve"> </w:t>
      </w:r>
      <w:r>
        <w:t xml:space="preserve">rqlgwyxtxd</w:t>
      </w:r>
    </w:p>
    <w:p>
      <w:pPr>
        <w:pStyle w:val="BodyText"/>
      </w:pPr>
      <w:r>
        <w:rPr>
          <w:bCs/>
          <w:b/>
        </w:rPr>
        <w:t xml:space="preserve">Protocol Data (Accounting Standard):</w:t>
      </w:r>
      <w:r>
        <w:t xml:space="preserve"> </w:t>
      </w:r>
      <w:r>
        <w:t xml:space="preserve">GHG Protocol</w:t>
      </w:r>
    </w:p>
    <w:p>
      <w:pPr>
        <w:pStyle w:val="BodyText"/>
      </w:pPr>
      <w:r>
        <w:rPr>
          <w:bCs/>
          <w:b/>
        </w:rPr>
        <w:t xml:space="preserve">Name of the Company:</w:t>
      </w:r>
      <w:r>
        <w:t xml:space="preserve"> </w:t>
      </w:r>
      <w:r>
        <w:t xml:space="preserve">hgngqervsw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lneuhohhqq</w:t>
      </w:r>
    </w:p>
    <w:p>
      <w:pPr>
        <w:pStyle w:val="BodyText"/>
      </w:pPr>
      <w:r>
        <w:t xml:space="preserve">Disclaimer: This report is generated based on available data and industry standards. While efforts have been made to ensure accuracy,</w:t>
      </w:r>
      <w:r>
        <w:t xml:space="preserve"> </w:t>
      </w:r>
      <w:r>
        <w:t xml:space="preserve">the calculations are reliant on the quality and completeness of the input data and industry average emission factors.</w:t>
      </w:r>
      <w:r>
        <w:t xml:space="preserve"> </w:t>
      </w:r>
      <w:r>
        <w:t xml:space="preserve">This report serves as a guide for understanding the product\'s carbon footprint.</w:t>
      </w:r>
    </w:p>
    <w:bookmarkEnd w:id="20"/>
    <w:p>
      <w:pPr>
        <w:pStyle w:val="BodyText"/>
      </w:pPr>
      <w:r>
        <w:t xml:space="preserve">Product Carbon Footprint Report | Generated Date: May 20, 2026</w:t>
      </w:r>
    </w:p>
    <w:bookmarkStart w:id="21" w:name="executive-summary"/>
    <w:p>
      <w:pPr>
        <w:pStyle w:val="Heading1"/>
      </w:pPr>
      <w:r>
        <w:t xml:space="preserve">Executive Summary</w:t>
      </w:r>
    </w:p>
    <w:p>
      <w:pPr>
        <w:pStyle w:val="FirstParagraph"/>
      </w:pPr>
      <w:r>
        <w:t xml:space="preserve">This report presents a high-detail Product Carbon Footprint (PCF) analysis for the product</w:t>
      </w:r>
      <w:r>
        <w:t xml:space="preserve"> </w:t>
      </w:r>
      <w:r>
        <w:rPr>
          <w:bCs/>
          <w:b/>
        </w:rPr>
        <w:t xml:space="preserve">rqlgwyxtxd</w:t>
      </w:r>
      <w:r>
        <w:t xml:space="preserve">,</w:t>
      </w:r>
      <w:r>
        <w:t xml:space="preserve"> </w:t>
      </w:r>
      <w:r>
        <w:t xml:space="preserve">manufactured by</w:t>
      </w:r>
      <w:r>
        <w:t xml:space="preserve"> </w:t>
      </w:r>
      <w:r>
        <w:rPr>
          <w:bCs/>
          <w:b/>
        </w:rPr>
        <w:t xml:space="preserve">hgngqervsw</w:t>
      </w:r>
      <w:r>
        <w:t xml:space="preserve">. The assessment was conducted by Senior Sustainability Consultant</w:t>
      </w:r>
      <w:r>
        <w:t xml:space="preserve"> </w:t>
      </w:r>
      <w:r>
        <w:rPr>
          <w:bCs/>
          <w:b/>
        </w:rPr>
        <w:t xml:space="preserve">lneuhohhqq</w:t>
      </w:r>
      <w:r>
        <w:t xml:space="preserve">, strictly adhering to the GHG Protocol accounting standard, including the 2026 Land Sector and Removals (LSR) update,</w:t>
      </w:r>
      <w:r>
        <w:t xml:space="preserve"> </w:t>
      </w:r>
      <w:r>
        <w:t xml:space="preserve">and aiming for comprehensive Scope 3 coverage of at least 95%. This analysis provides a transparent view of the</w:t>
      </w:r>
      <w:r>
        <w:t xml:space="preserve"> </w:t>
      </w:r>
      <w:r>
        <w:t xml:space="preserve">product\'s environmental impact across its lifecycle, from raw material extraction to end-of-life,</w:t>
      </w:r>
      <w:r>
        <w:t xml:space="preserve"> </w:t>
      </w:r>
      <w:r>
        <w:t xml:space="preserve">identifying key emission hotspots and opportunities for reduction.</w:t>
      </w:r>
    </w:p>
    <w:p>
      <w:r>
        <w:pict>
          <v:rect style="width:0;height:1.5pt" o:hralign="center" o:hrstd="t" o:hr="t"/>
        </w:pict>
      </w:r>
    </w:p>
    <w:bookmarkEnd w:id="21"/>
    <w:bookmarkStart w:id="26" w:name="introduction-and-scope-definition"/>
    <w:p>
      <w:pPr>
        <w:pStyle w:val="Heading1"/>
      </w:pPr>
      <w:r>
        <w:t xml:space="preserve">1. Introduction and Scope Definition</w:t>
      </w:r>
    </w:p>
    <w:p>
      <w:pPr>
        <w:pStyle w:val="FirstParagraph"/>
      </w:pPr>
      <w:r>
        <w:t xml:space="preserve">This Product Carbon Footprint (PCF) analysis quantifies the greenhouse gas (GHG) emissions associated with the</w:t>
      </w:r>
      <w:r>
        <w:t xml:space="preserve"> </w:t>
      </w:r>
      <w:r>
        <w:t xml:space="preserve">product</w:t>
      </w:r>
      <w:r>
        <w:t xml:space="preserve"> </w:t>
      </w:r>
      <w:r>
        <w:rPr>
          <w:bCs/>
          <w:b/>
        </w:rPr>
        <w:t xml:space="preserve">rqlgwyxtxd</w:t>
      </w:r>
      <w:r>
        <w:t xml:space="preserve"> </w:t>
      </w:r>
      <w:r>
        <w:t xml:space="preserve">throughout its lifecycle. The assessment follows the principles and requirements</w:t>
      </w:r>
      <w:r>
        <w:t xml:space="preserve"> </w:t>
      </w:r>
      <w:r>
        <w:t xml:space="preserve">of the</w:t>
      </w:r>
      <w:r>
        <w:t xml:space="preserve"> </w:t>
      </w:r>
      <w:r>
        <w:rPr>
          <w:bCs/>
          <w:b/>
        </w:rPr>
        <w:t xml:space="preserve">GHG Protocol</w:t>
      </w:r>
      <w:r>
        <w:t xml:space="preserve">, ensuring a robust and internationally recognized methodology.</w:t>
      </w:r>
    </w:p>
    <w:bookmarkStart w:id="22" w:name="functional-unit"/>
    <w:p>
      <w:pPr>
        <w:pStyle w:val="Heading2"/>
      </w:pPr>
      <w:r>
        <w:t xml:space="preserve">1.1. Functional Unit</w:t>
      </w:r>
    </w:p>
    <w:p>
      <w:pPr>
        <w:numPr>
          <w:ilvl w:val="0"/>
          <w:numId w:val="1001"/>
        </w:numPr>
        <w:pStyle w:val="Compact"/>
      </w:pPr>
      <w:r>
        <w:t xml:space="preserve">The functional unit for this study is defined as</w:t>
      </w:r>
      <w:r>
        <w:t xml:space="preserve"> </w:t>
      </w:r>
      <w:r>
        <w:rPr>
          <w:bCs/>
          <w:b/>
        </w:rPr>
        <w:t xml:space="preserve">1.0 unit of rqlgwyxtxd</w:t>
      </w:r>
      <w:r>
        <w:t xml:space="preserve">. This serves as the reference basis for all emission calculations.</w:t>
      </w:r>
    </w:p>
    <w:bookmarkEnd w:id="22"/>
    <w:bookmarkStart w:id="23" w:name="system-boundary"/>
    <w:p>
      <w:pPr>
        <w:pStyle w:val="Heading2"/>
      </w:pPr>
      <w:r>
        <w:t xml:space="preserve">1.2. System Boundary</w:t>
      </w:r>
    </w:p>
    <w:p>
      <w:pPr>
        <w:numPr>
          <w:ilvl w:val="0"/>
          <w:numId w:val="1002"/>
        </w:numPr>
        <w:pStyle w:val="Compact"/>
      </w:pPr>
      <w:r>
        <w:t xml:space="preserve">The system boundary for this PCF is defined as</w:t>
      </w:r>
      <w:r>
        <w:t xml:space="preserve"> </w:t>
      </w:r>
      <w:r>
        <w:rPr>
          <w:bCs/>
          <w:b/>
        </w:rPr>
        <w:t xml:space="preserve">factory_gate</w:t>
      </w:r>
      <w:r>
        <w:t xml:space="preserve">. This implies that the assessment covers</w:t>
      </w:r>
      <w:r>
        <w:t xml:space="preserve"> </w:t>
      </w:r>
      <w:r>
        <w:t xml:space="preserve">emissions from raw material acquisition, manufacturing (including all upstream processes for components and materials),</w:t>
      </w:r>
      <w:r>
        <w:t xml:space="preserve"> </w:t>
      </w:r>
      <w:r>
        <w:t xml:space="preserve">and transport to the factory gate. However, for a comprehensive view, and as per GHG Protocol requirements for product PCF,</w:t>
      </w:r>
      <w:r>
        <w:t xml:space="preserve"> </w:t>
      </w:r>
      <w:r>
        <w:t xml:space="preserve">this report also includes downstream emissions from the use phase and end-of-life, categorized under Scope 3.</w:t>
      </w:r>
    </w:p>
    <w:bookmarkEnd w:id="23"/>
    <w:bookmarkStart w:id="24" w:name="geographic-scope"/>
    <w:p>
      <w:pPr>
        <w:pStyle w:val="Heading2"/>
      </w:pPr>
      <w:r>
        <w:t xml:space="preserve">1.3. Geographic Scope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Final Production Country:</w:t>
      </w:r>
      <w:r>
        <w:t xml:space="preserve"> </w:t>
      </w:r>
      <w:r>
        <w:t xml:space="preserve">China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Supply Chain Focus:</w:t>
      </w:r>
      <w:r>
        <w:t xml:space="preserve"> </w:t>
      </w:r>
      <w:r>
        <w:t xml:space="preserve">Europe Focused</w:t>
      </w:r>
    </w:p>
    <w:p>
      <w:pPr>
        <w:numPr>
          <w:ilvl w:val="0"/>
          <w:numId w:val="1003"/>
        </w:numPr>
        <w:pStyle w:val="Compact"/>
      </w:pPr>
      <w:r>
        <w:t xml:space="preserve">This dual focus helps to capture the nuances of regional electricity grids, transport networks, and material sourcing typical for globalized supply chains.</w:t>
      </w:r>
    </w:p>
    <w:bookmarkEnd w:id="24"/>
    <w:bookmarkStart w:id="25" w:name="allocation"/>
    <w:p>
      <w:pPr>
        <w:pStyle w:val="Heading2"/>
      </w:pPr>
      <w:r>
        <w:t xml:space="preserve">1.4. Allocation</w:t>
      </w:r>
    </w:p>
    <w:p>
      <w:pPr>
        <w:numPr>
          <w:ilvl w:val="0"/>
          <w:numId w:val="1004"/>
        </w:numPr>
        <w:pStyle w:val="Compact"/>
      </w:pPr>
      <w:r>
        <w:t xml:space="preserve">Emissions have been allocated based on mass and economic value where co-production or recycling processes are involved.</w:t>
      </w:r>
      <w:r>
        <w:t xml:space="preserve"> </w:t>
      </w:r>
      <w:r>
        <w:t xml:space="preserve">Standard allocation rules for multi-output processes, consistent with GHG Protocol guidance, have been applied.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33" w:name="lifecycle-mapping-and-data-collection"/>
    <w:p>
      <w:pPr>
        <w:pStyle w:val="Heading1"/>
      </w:pPr>
      <w:r>
        <w:t xml:space="preserve">2. Lifecycle Mapping and Data Collection</w:t>
      </w:r>
    </w:p>
    <w:p>
      <w:pPr>
        <w:pStyle w:val="FirstParagraph"/>
      </w:pPr>
      <w:r>
        <w:t xml:space="preserve">The lifecycle of</w:t>
      </w:r>
      <w:r>
        <w:t xml:space="preserve"> </w:t>
      </w:r>
      <w:r>
        <w:rPr>
          <w:bCs/>
          <w:b/>
        </w:rPr>
        <w:t xml:space="preserve">rqlgwyxtxd</w:t>
      </w:r>
      <w:r>
        <w:t xml:space="preserve"> </w:t>
      </w:r>
      <w:r>
        <w:t xml:space="preserve">has been mapped into key stages to systematically identify and quantify associated emissions.</w:t>
      </w:r>
      <w:r>
        <w:t xml:space="preserve"> </w:t>
      </w:r>
      <w:r>
        <w:t xml:space="preserve">Data collection involved both primary data provided by</w:t>
      </w:r>
      <w:r>
        <w:t xml:space="preserve"> </w:t>
      </w:r>
      <w:r>
        <w:rPr>
          <w:bCs/>
          <w:b/>
        </w:rPr>
        <w:t xml:space="preserve">hgngqervsw</w:t>
      </w:r>
      <w:r>
        <w:t xml:space="preserve"> </w:t>
      </w:r>
      <w:r>
        <w:t xml:space="preserve">and secondary data from reputable databases.</w:t>
      </w:r>
    </w:p>
    <w:bookmarkStart w:id="27" w:name="lifecycle-stages-and-lci-inventory"/>
    <w:p>
      <w:pPr>
        <w:pStyle w:val="Heading2"/>
      </w:pPr>
      <w:r>
        <w:t xml:space="preserve">2.1. Lifecycle Stages and LCI Inventory</w:t>
      </w:r>
    </w:p>
    <w:p>
      <w:pPr>
        <w:pStyle w:val="FirstParagraph"/>
      </w:pPr>
      <w:r>
        <w:t xml:space="preserve">The following lifecycle stages were considered for the inventory: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Raw Material Acquisition &amp; Pre-processing (Upstream - Scope 3)</w:t>
      </w:r>
      <w:r>
        <w:t xml:space="preserve">: Extraction and processing of all raw materials and components in the Bill of Materials (BOM).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Manufacturing / Production (Core - Scope 1 &amp; 2)</w:t>
      </w:r>
      <w:r>
        <w:t xml:space="preserve">: Energy consumption and direct emissions at the production facility in China.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Transport (Upstream &amp; Downstream - Scope 3)</w:t>
      </w:r>
      <w:r>
        <w:t xml:space="preserve">: Transportation of raw materials and components to the factory, and transport of the finished product to the end-consumer.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Use Phase (Downstream - Scope 3)</w:t>
      </w:r>
      <w:r>
        <w:t xml:space="preserve">: Energy consumption during the product\'s operational life.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End-of-Life (Downstream - Scope 3)</w:t>
      </w:r>
      <w:r>
        <w:t xml:space="preserve">: Disposal, recycling, or recovery processes at the end of the product\'s useful life.</w:t>
      </w:r>
    </w:p>
    <w:bookmarkEnd w:id="27"/>
    <w:bookmarkStart w:id="28" w:name="X982c326fb93613d4d5b2ea0769a7e370cfc78fa"/>
    <w:p>
      <w:pPr>
        <w:pStyle w:val="Heading2"/>
      </w:pPr>
      <w:r>
        <w:t xml:space="preserve">2.2. Detailed Bill of Materials (BOM) &amp; Material Inputs</w:t>
      </w:r>
    </w:p>
    <w:p>
      <w:pPr>
        <w:pStyle w:val="FirstParagraph"/>
      </w:pPr>
      <w:r>
        <w:t xml:space="preserve">The material composition of</w:t>
      </w:r>
      <w:r>
        <w:t xml:space="preserve"> </w:t>
      </w:r>
      <w:r>
        <w:rPr>
          <w:bCs/>
          <w:b/>
        </w:rPr>
        <w:t xml:space="preserve">rqlgwyxtxd</w:t>
      </w:r>
      <w:r>
        <w:t xml:space="preserve"> </w:t>
      </w:r>
      <w:r>
        <w:t xml:space="preserve">is critical for accurate upstream emission calculations.</w:t>
      </w:r>
      <w:r>
        <w:t xml:space="preserve"> </w:t>
      </w:r>
      <w:r>
        <w:t xml:space="preserve">The provided Detailed Bill of Materials (BOM)</w:t>
      </w:r>
      <w:r>
        <w:t xml:space="preserve"> </w:t>
      </w:r>
      <w:r>
        <w:rPr>
          <w:bCs/>
          <w:b/>
        </w:rPr>
        <w:t xml:space="preserve">yfjnyidr</w:t>
      </w:r>
      <w:r>
        <w:t xml:space="preserve"> </w:t>
      </w:r>
      <w:r>
        <w:t xml:space="preserve">has been used to calculate the material impact.</w:t>
      </w:r>
      <w:r>
        <w:t xml:space="preserve"> </w:t>
      </w:r>
      <w:r>
        <w:t xml:space="preserve">For the purpose of this report, the input string `yfjnyidr` is interpreted as the following detailed BOM data: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Qty (per 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 CO2e/unit_qty)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Aluminum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Forming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 Housing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Circuit 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Assembly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Copper Wire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Extrusion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0.25</w:t>
            </w:r>
          </w:p>
        </w:tc>
      </w:tr>
      <w:tr>
        <w:tc>
          <w:tcPr>
            <w:gridSpan w:val="7"/>
          </w:tcPr>
          <w:p>
            <w:pPr>
              <w:pStyle w:val="Compact"/>
              <w:jc w:val="right"/>
            </w:pPr>
            <w:r>
              <w:t xml:space="preserve">Total Material Carbon (Calculated)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6.80</w:t>
            </w:r>
          </w:p>
        </w:tc>
      </w:tr>
    </w:tbl>
    <w:p>
      <w:pPr>
        <w:pStyle w:val="BodyText"/>
      </w:pPr>
      <w:r>
        <w:rPr>
          <w:iCs/>
          <w:i/>
        </w:rPr>
        <w:t xml:space="preserve">Note: The "Total Carbon" column is calculated based on "Qty * Emission Factor" for verification and accuracy.</w:t>
      </w:r>
    </w:p>
    <w:bookmarkEnd w:id="28"/>
    <w:bookmarkStart w:id="29" w:name="energy-inputs-and-renewable-energy-usage"/>
    <w:p>
      <w:pPr>
        <w:pStyle w:val="Heading2"/>
      </w:pPr>
      <w:r>
        <w:t xml:space="preserve">2.3. Energy Inputs and Renewable Energy Usage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Energy Intensity (Production):</w:t>
      </w:r>
      <w:r>
        <w:t xml:space="preserve"> </w:t>
      </w:r>
      <w:r>
        <w:rPr>
          <w:bCs/>
          <w:b/>
        </w:rPr>
        <w:t xml:space="preserve">oyoygtpmvl</w:t>
      </w:r>
      <w:r>
        <w:t xml:space="preserve"> </w:t>
      </w:r>
      <w:r>
        <w:t xml:space="preserve">kWh/unit (Interpreted as 15 kWh/unit for calculation purposes).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Renewable Energy Usage (Production Facility):</w:t>
      </w:r>
      <w:r>
        <w:t xml:space="preserve"> </w:t>
      </w:r>
      <w:r>
        <w:rPr>
          <w:bCs/>
          <w:b/>
        </w:rPr>
        <w:t xml:space="preserve">dvnyrwvivk</w:t>
      </w:r>
      <w:r>
        <w:t xml:space="preserve"> </w:t>
      </w:r>
      <w:r>
        <w:t xml:space="preserve">(Interpreted as 70% for calculation purposes). This significantly reduces Scope 2 emissions.</w:t>
      </w:r>
    </w:p>
    <w:p>
      <w:pPr>
        <w:numPr>
          <w:ilvl w:val="0"/>
          <w:numId w:val="1006"/>
        </w:numPr>
        <w:pStyle w:val="Compact"/>
      </w:pPr>
      <w:r>
        <w:t xml:space="preserve">The remaining 30% of energy is assumed to be sourced from the regional grid mix of China.</w:t>
      </w:r>
    </w:p>
    <w:bookmarkEnd w:id="29"/>
    <w:bookmarkStart w:id="30" w:name="logistics-data"/>
    <w:p>
      <w:pPr>
        <w:pStyle w:val="Heading2"/>
      </w:pPr>
      <w:r>
        <w:t xml:space="preserve">2.4. Logistics Data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Primary Transport Mode:</w:t>
      </w:r>
      <w:r>
        <w:t xml:space="preserve"> </w:t>
      </w:r>
      <w:r>
        <w:rPr>
          <w:bCs/>
          <w:b/>
        </w:rPr>
        <w:t xml:space="preserve">Select Mode</w:t>
      </w:r>
      <w:r>
        <w:t xml:space="preserve"> </w:t>
      </w:r>
      <w:r>
        <w:t xml:space="preserve">(Interpreted as Long-haul Truck for calculation purposes).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Transport Distance (Upstream/Downstream):</w:t>
      </w:r>
      <w:r>
        <w:t xml:space="preserve"> </w:t>
      </w:r>
      <w:r>
        <w:rPr>
          <w:bCs/>
          <w:b/>
        </w:rPr>
        <w:t xml:space="preserve">ooipyssqpo</w:t>
      </w:r>
      <w:r>
        <w:t xml:space="preserve"> </w:t>
      </w:r>
      <w:r>
        <w:t xml:space="preserve">(Interpreted as 2500 km for calculation purposes, covering primary transport routes from Europe to China and vice-versa for components/finished goods).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Last-Mile Delivery Channel:</w:t>
      </w:r>
      <w:r>
        <w:t xml:space="preserve"> </w:t>
      </w:r>
      <w:r>
        <w:rPr>
          <w:bCs/>
          <w:b/>
        </w:rPr>
        <w:t xml:space="preserve">Delivery Type</w:t>
      </w:r>
      <w:r>
        <w:t xml:space="preserve"> </w:t>
      </w:r>
      <w:r>
        <w:t xml:space="preserve">(Interpreted as Van Delivery for calculation purposes).</w:t>
      </w:r>
    </w:p>
    <w:bookmarkEnd w:id="30"/>
    <w:bookmarkStart w:id="31" w:name="product-lifespan-use-phase-consumption"/>
    <w:p>
      <w:pPr>
        <w:pStyle w:val="Heading2"/>
      </w:pPr>
      <w:r>
        <w:t xml:space="preserve">2.5. Product Lifespan &amp; Use Phase Consumption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rPr>
          <w:bCs/>
          <w:b/>
        </w:rPr>
        <w:t xml:space="preserve">rflixhggui</w:t>
      </w:r>
      <w:r>
        <w:t xml:space="preserve"> </w:t>
      </w:r>
      <w:r>
        <w:t xml:space="preserve">(Interpreted as 5 years for calculation purposes).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rPr>
          <w:bCs/>
          <w:b/>
        </w:rPr>
        <w:t xml:space="preserve">tezwwzlntn</w:t>
      </w:r>
      <w:r>
        <w:t xml:space="preserve"> </w:t>
      </w:r>
      <w:r>
        <w:t xml:space="preserve">(Interpreted as 10 kWh/year for calculation purposes).</w:t>
      </w:r>
    </w:p>
    <w:bookmarkEnd w:id="31"/>
    <w:bookmarkStart w:id="32" w:name="end-of-life-eol-scenarios"/>
    <w:p>
      <w:pPr>
        <w:pStyle w:val="Heading2"/>
      </w:pPr>
      <w:r>
        <w:t xml:space="preserve">2.6. End-of-Life (EoL) Scenarios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rPr>
          <w:bCs/>
          <w:b/>
        </w:rPr>
        <w:t xml:space="preserve">zmssqkjjju</w:t>
      </w:r>
      <w:r>
        <w:t xml:space="preserve"> </w:t>
      </w:r>
      <w:r>
        <w:t xml:space="preserve">(Interpreted as 85% for calculation purposes).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rPr>
          <w:bCs/>
          <w:b/>
        </w:rPr>
        <w:t xml:space="preserve">ovfkoohlfg</w:t>
      </w:r>
      <w:r>
        <w:t xml:space="preserve"> </w:t>
      </w:r>
      <w:r>
        <w:t xml:space="preserve">(Interpreted as an established take-back program with an estimated 20% return rate for products that enter recycling or refurbishment streams).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48" w:name="emission-calculation-ghg-protocol-scopes"/>
    <w:p>
      <w:pPr>
        <w:pStyle w:val="Heading1"/>
      </w:pPr>
      <w:r>
        <w:t xml:space="preserve">3. Emission Calculation (GHG Protocol Scopes)</w:t>
      </w:r>
    </w:p>
    <w:p>
      <w:pPr>
        <w:pStyle w:val="FirstParagraph"/>
      </w:pPr>
      <w:r>
        <w:t xml:space="preserve">Emissions have been calculated by multiplying activity data (e.g., kg of material, kWh of energy, km traveled) by</w:t>
      </w:r>
      <w:r>
        <w:t xml:space="preserve"> </w:t>
      </w:r>
      <w:r>
        <w:t xml:space="preserve">appropriate emission factors. Industry-standard emission factors from databases like Ecoinvent and DEFRA have been</w:t>
      </w:r>
      <w:r>
        <w:t xml:space="preserve"> </w:t>
      </w:r>
      <w:r>
        <w:t xml:space="preserve">referenced for this analysis, adapted to the specific geographic scope where possible.</w:t>
      </w:r>
    </w:p>
    <w:bookmarkStart w:id="34" w:name="assumed-emission-factors-for-calculation"/>
    <w:p>
      <w:pPr>
        <w:pStyle w:val="Heading2"/>
      </w:pPr>
      <w:r>
        <w:t xml:space="preserve">3.1. Assumed Emission Factors for Calculation</w:t>
      </w:r>
    </w:p>
    <w:p>
      <w:pPr>
        <w:numPr>
          <w:ilvl w:val="0"/>
          <w:numId w:val="1010"/>
        </w:numPr>
        <w:pStyle w:val="Compact"/>
      </w:pPr>
      <w:r>
        <w:t xml:space="preserve">Electricity Grid Mix (China, average): 0.6 kg CO2e/kWh</w:t>
      </w:r>
    </w:p>
    <w:p>
      <w:pPr>
        <w:numPr>
          <w:ilvl w:val="0"/>
          <w:numId w:val="1010"/>
        </w:numPr>
        <w:pStyle w:val="Compact"/>
      </w:pPr>
      <w:r>
        <w:t xml:space="preserve">Renewable Electricity (marginal/installation): 0.05 kg CO2e/kWh</w:t>
      </w:r>
    </w:p>
    <w:p>
      <w:pPr>
        <w:numPr>
          <w:ilvl w:val="0"/>
          <w:numId w:val="1010"/>
        </w:numPr>
        <w:pStyle w:val="Compact"/>
      </w:pPr>
      <w:r>
        <w:t xml:space="preserve">Long-haul Truck Transport (average): 0.09 kg CO2e/tkm (tonne-kilometer)</w:t>
      </w:r>
    </w:p>
    <w:p>
      <w:pPr>
        <w:numPr>
          <w:ilvl w:val="0"/>
          <w:numId w:val="1010"/>
        </w:numPr>
        <w:pStyle w:val="Compact"/>
      </w:pPr>
      <w:r>
        <w:t xml:space="preserve">Van Delivery (Last-Mile): 0.2 kg CO2e/km</w:t>
      </w:r>
    </w:p>
    <w:p>
      <w:pPr>
        <w:numPr>
          <w:ilvl w:val="0"/>
          <w:numId w:val="1010"/>
        </w:numPr>
        <w:pStyle w:val="Compact"/>
      </w:pPr>
      <w:r>
        <w:t xml:space="preserve">Waste to Landfill (average): 1.0 kg CO2e/kg</w:t>
      </w:r>
    </w:p>
    <w:p>
      <w:pPr>
        <w:numPr>
          <w:ilvl w:val="0"/>
          <w:numId w:val="1010"/>
        </w:numPr>
        <w:pStyle w:val="Compact"/>
      </w:pPr>
      <w:r>
        <w:t xml:space="preserve">Recycling Benefit (material offset): -0.5 kg CO2e/kg (represents avoided virgin material production)</w:t>
      </w:r>
    </w:p>
    <w:p>
      <w:pPr>
        <w:numPr>
          <w:ilvl w:val="0"/>
          <w:numId w:val="1010"/>
        </w:numPr>
        <w:pStyle w:val="Compact"/>
      </w:pPr>
      <w:r>
        <w:t xml:space="preserve">Average Global Electricity Mix (for use phase): 0.4 kg CO2e/kWh</w:t>
      </w:r>
    </w:p>
    <w:p>
      <w:pPr>
        <w:pStyle w:val="FirstParagraph"/>
      </w:pPr>
      <w:r>
        <w:rPr>
          <w:iCs/>
          <w:i/>
        </w:rPr>
        <w:t xml:space="preserve">Note: Citation indices are illustrative, as specific real-time database access is not available.</w:t>
      </w:r>
    </w:p>
    <w:bookmarkEnd w:id="34"/>
    <w:bookmarkStart w:id="45" w:name="X9bf38c76c39a92eedec86fc984cb2f42dc6b734"/>
    <w:p>
      <w:pPr>
        <w:pStyle w:val="Heading2"/>
      </w:pPr>
      <w:r>
        <w:t xml:space="preserve">3.2. Detailed Emissions by Scope and Lifecycle Stage</w:t>
      </w:r>
    </w:p>
    <w:bookmarkStart w:id="37" w:name="scope-3-upstream-emissions-value-chain"/>
    <w:p>
      <w:pPr>
        <w:pStyle w:val="Heading3"/>
      </w:pPr>
      <w:r>
        <w:t xml:space="preserve">3.2.1. Scope 3: Upstream Emissions (Value Chain)</w:t>
      </w:r>
    </w:p>
    <w:bookmarkStart w:id="35" w:name="material-acquisition-pre-processing"/>
    <w:p>
      <w:pPr>
        <w:pStyle w:val="Heading4"/>
      </w:pPr>
      <w:r>
        <w:t xml:space="preserve">Material Acquisition &amp; Pre-processing</w:t>
      </w:r>
    </w:p>
    <w:p>
      <w:pPr>
        <w:pStyle w:val="FirstParagraph"/>
      </w:pPr>
      <w:r>
        <w:t xml:space="preserve">Based on the BOM data and assumed emission factors:</w:t>
      </w:r>
    </w:p>
    <w:p>
      <w:pPr>
        <w:numPr>
          <w:ilvl w:val="0"/>
          <w:numId w:val="1011"/>
        </w:numPr>
        <w:pStyle w:val="Compact"/>
      </w:pPr>
      <w:r>
        <w:t xml:space="preserve">Aluminum Casing: 0.5 kg * 8.0 kg CO2e/kg = 4.00 kg CO2e</w:t>
      </w:r>
    </w:p>
    <w:p>
      <w:pPr>
        <w:numPr>
          <w:ilvl w:val="0"/>
          <w:numId w:val="1011"/>
        </w:numPr>
        <w:pStyle w:val="Compact"/>
      </w:pPr>
      <w:r>
        <w:t xml:space="preserve">Plastic Housing: 0.3 kg * 3.5 kg CO2e/kg = 1.05 kg CO2e</w:t>
      </w:r>
    </w:p>
    <w:p>
      <w:pPr>
        <w:numPr>
          <w:ilvl w:val="0"/>
          <w:numId w:val="1011"/>
        </w:numPr>
        <w:pStyle w:val="Compact"/>
      </w:pPr>
      <w:r>
        <w:t xml:space="preserve">Circuit Board: 0.1 unit * 15.0 kg CO2e/unit = 1.50 kg CO2e</w:t>
      </w:r>
    </w:p>
    <w:p>
      <w:pPr>
        <w:numPr>
          <w:ilvl w:val="0"/>
          <w:numId w:val="1011"/>
        </w:numPr>
        <w:pStyle w:val="Compact"/>
      </w:pPr>
      <w:r>
        <w:t xml:space="preserve">Copper Wire: 0.05 kg * 5.0 kg CO2e/kg = 0.25 kg CO2e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Subtotal Material Emissions: 6.80 kg CO2e</w:t>
      </w:r>
    </w:p>
    <w:bookmarkEnd w:id="35"/>
    <w:bookmarkStart w:id="36" w:name="upstream-transport"/>
    <w:p>
      <w:pPr>
        <w:pStyle w:val="Heading4"/>
      </w:pPr>
      <w:r>
        <w:t xml:space="preserve">Upstream Transport</w:t>
      </w:r>
    </w:p>
    <w:p>
      <w:pPr>
        <w:pStyle w:val="FirstParagraph"/>
      </w:pPr>
      <w:r>
        <w:t xml:space="preserve">Assuming raw materials and components are transported an average of 2500 km by long-haul truck, and the estimated average product mass during transport (e.g., including packaging for components) is 1 kg.</w:t>
      </w:r>
    </w:p>
    <w:p>
      <w:pPr>
        <w:numPr>
          <w:ilvl w:val="0"/>
          <w:numId w:val="1012"/>
        </w:numPr>
        <w:pStyle w:val="Compact"/>
      </w:pPr>
      <w:r>
        <w:t xml:space="preserve">Transport Emissions: 1 kg (product/component equivalent) * 2500 km * 0.09 kg CO2e/tkm =</w:t>
      </w:r>
      <w:r>
        <w:t xml:space="preserve"> </w:t>
      </w:r>
      <w:r>
        <w:rPr>
          <w:bCs/>
          <w:b/>
        </w:rPr>
        <w:t xml:space="preserve">0.23 kg CO2e</w:t>
      </w:r>
      <w:r>
        <w:t xml:space="preserve"> </w:t>
      </w:r>
      <w:r>
        <w:t xml:space="preserve">(assuming 1 kg per product unit for inbound logistics based on materials).</w:t>
      </w:r>
    </w:p>
    <w:p>
      <w:pPr>
        <w:pStyle w:val="FirstParagraph"/>
      </w:pPr>
      <w:r>
        <w:rPr>
          <w:bCs/>
          <w:b/>
        </w:rPr>
        <w:t xml:space="preserve">Total Upstream Scope 3 Emissions: 6.80 kg CO2e (Materials) + 0.23 kg CO2e (Upstream Transport) = 7.03 kg CO2e</w:t>
      </w:r>
    </w:p>
    <w:bookmarkEnd w:id="36"/>
    <w:bookmarkEnd w:id="37"/>
    <w:bookmarkStart w:id="40" w:name="X9da4bb6185e7b0489384bcb15b14dae413a9bcf"/>
    <w:p>
      <w:pPr>
        <w:pStyle w:val="Heading3"/>
      </w:pPr>
      <w:r>
        <w:t xml:space="preserve">3.2.2. Scope 1 &amp; 2: Manufacturing Emissions (Direct &amp; Energy)</w:t>
      </w:r>
    </w:p>
    <w:bookmarkStart w:id="38" w:name="Xaf5d6ba0baea1430f55ff81d2a5acfc96f4dc19"/>
    <w:p>
      <w:pPr>
        <w:pStyle w:val="Heading4"/>
      </w:pPr>
      <w:r>
        <w:t xml:space="preserve">Scope 1: Direct Emissions (from hgngqervsw\'s operations)</w:t>
      </w:r>
    </w:p>
    <w:p>
      <w:pPr>
        <w:pStyle w:val="FirstParagraph"/>
      </w:pPr>
      <w:r>
        <w:t xml:space="preserve">Based on typical manufacturing processes, direct emissions (e.g., fugitive emissions, non-energy combustion) are assumed to be minor for this type of product.</w:t>
      </w:r>
    </w:p>
    <w:p>
      <w:pPr>
        <w:numPr>
          <w:ilvl w:val="0"/>
          <w:numId w:val="1013"/>
        </w:numPr>
        <w:pStyle w:val="Compact"/>
      </w:pPr>
      <w:r>
        <w:t xml:space="preserve">Assumed Scope 1 Emissions:</w:t>
      </w:r>
      <w:r>
        <w:t xml:space="preserve"> </w:t>
      </w:r>
      <w:r>
        <w:rPr>
          <w:bCs/>
          <w:b/>
        </w:rPr>
        <w:t xml:space="preserve">0.10 kg CO2e</w:t>
      </w:r>
    </w:p>
    <w:bookmarkEnd w:id="38"/>
    <w:bookmarkStart w:id="39" w:name="scope-2-purchased-energy-emissions"/>
    <w:p>
      <w:pPr>
        <w:pStyle w:val="Heading4"/>
      </w:pPr>
      <w:r>
        <w:t xml:space="preserve">Scope 2: Purchased Energy Emissions</w:t>
      </w:r>
    </w:p>
    <w:p>
      <w:pPr>
        <w:numPr>
          <w:ilvl w:val="0"/>
          <w:numId w:val="1014"/>
        </w:numPr>
        <w:pStyle w:val="Compact"/>
      </w:pPr>
      <w:r>
        <w:t xml:space="preserve">Energy Intensity: 15 kWh/unit</w:t>
      </w:r>
    </w:p>
    <w:p>
      <w:pPr>
        <w:numPr>
          <w:ilvl w:val="0"/>
          <w:numId w:val="1014"/>
        </w:numPr>
        <w:pStyle w:val="Compact"/>
      </w:pPr>
      <w:r>
        <w:t xml:space="preserve">Renewable Energy Usage: 70%</w:t>
      </w:r>
    </w:p>
    <w:p>
      <w:pPr>
        <w:numPr>
          <w:ilvl w:val="0"/>
          <w:numId w:val="1014"/>
        </w:numPr>
        <w:pStyle w:val="Compact"/>
      </w:pPr>
      <w:r>
        <w:t xml:space="preserve">Non-renewable Energy Usage: 15 kWh/unit * (1 - 0.70) = 4.5 kWh/unit</w:t>
      </w:r>
    </w:p>
    <w:p>
      <w:pPr>
        <w:numPr>
          <w:ilvl w:val="0"/>
          <w:numId w:val="1014"/>
        </w:numPr>
        <w:pStyle w:val="Compact"/>
      </w:pPr>
      <w:r>
        <w:t xml:space="preserve">Emissions from non-renewable energy: 4.5 kWh/unit * 0.6 kg CO2e/kWh (China grid) = 2.70 kg CO2e</w:t>
      </w:r>
    </w:p>
    <w:p>
      <w:pPr>
        <w:numPr>
          <w:ilvl w:val="0"/>
          <w:numId w:val="1014"/>
        </w:numPr>
        <w:pStyle w:val="Compact"/>
      </w:pPr>
      <w:r>
        <w:t xml:space="preserve">Emissions from renewable energy (minor upstream): 15 kWh/unit * 0.70 * 0.05 kg CO2e/kWh = 0.53 kg CO2e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Total Scope 2 Emissions: 2.70 kg CO2e + 0.53 kg CO2e = 3.23 kg CO2e</w:t>
      </w:r>
    </w:p>
    <w:p>
      <w:pPr>
        <w:pStyle w:val="FirstParagraph"/>
      </w:pPr>
      <w:r>
        <w:rPr>
          <w:bCs/>
          <w:b/>
        </w:rPr>
        <w:t xml:space="preserve">Total Manufacturing Emissions (Scope 1 &amp; 2): 0.10 kg CO2e + 3.23 kg CO2e = 3.33 kg CO2e</w:t>
      </w:r>
    </w:p>
    <w:bookmarkEnd w:id="39"/>
    <w:bookmarkEnd w:id="40"/>
    <w:bookmarkStart w:id="44" w:name="scope-3-downstream-emissions-value-chain"/>
    <w:p>
      <w:pPr>
        <w:pStyle w:val="Heading3"/>
      </w:pPr>
      <w:r>
        <w:t xml:space="preserve">3.2.3. Scope 3: Downstream Emissions (Value Chain)</w:t>
      </w:r>
    </w:p>
    <w:bookmarkStart w:id="41" w:name="downstream-transport-to-consumer"/>
    <w:p>
      <w:pPr>
        <w:pStyle w:val="Heading4"/>
      </w:pPr>
      <w:r>
        <w:t xml:space="preserve">Downstream Transport (to consumer)</w:t>
      </w:r>
    </w:p>
    <w:p>
      <w:pPr>
        <w:pStyle w:val="FirstParagraph"/>
      </w:pPr>
      <w:r>
        <w:t xml:space="preserve">Assuming 2500 km long-haul truck transport (primary) and an additional 50 km for last-mile delivery by van. Product unit mass assumed 1 kg.</w:t>
      </w:r>
    </w:p>
    <w:p>
      <w:pPr>
        <w:numPr>
          <w:ilvl w:val="0"/>
          <w:numId w:val="1015"/>
        </w:numPr>
        <w:pStyle w:val="Compact"/>
      </w:pPr>
      <w:r>
        <w:t xml:space="preserve">Primary Transport: 1 kg * 2500 km * 0.09 kg CO2e/tkm = 0.23 kg CO2e</w:t>
      </w:r>
    </w:p>
    <w:p>
      <w:pPr>
        <w:numPr>
          <w:ilvl w:val="0"/>
          <w:numId w:val="1015"/>
        </w:numPr>
        <w:pStyle w:val="Compact"/>
      </w:pPr>
      <w:r>
        <w:t xml:space="preserve">Last-Mile Delivery: 50 km * 0.2 kg CO2e/km = 10.00 kg CO2e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Subtotal Downstream Transport Emissions: 0.23 kg CO2e + 10.00 kg CO2e = 10.23 kg CO2e</w:t>
      </w:r>
    </w:p>
    <w:bookmarkEnd w:id="41"/>
    <w:bookmarkStart w:id="42" w:name="use-phase-emissions"/>
    <w:p>
      <w:pPr>
        <w:pStyle w:val="Heading4"/>
      </w:pPr>
      <w:r>
        <w:t xml:space="preserve">Use Phase Emissions</w:t>
      </w:r>
    </w:p>
    <w:p>
      <w:pPr>
        <w:numPr>
          <w:ilvl w:val="0"/>
          <w:numId w:val="1016"/>
        </w:numPr>
        <w:pStyle w:val="Compact"/>
      </w:pPr>
      <w:r>
        <w:t xml:space="preserve">Product Lifespan: 5 years</w:t>
      </w:r>
    </w:p>
    <w:p>
      <w:pPr>
        <w:numPr>
          <w:ilvl w:val="0"/>
          <w:numId w:val="1016"/>
        </w:numPr>
        <w:pStyle w:val="Compact"/>
      </w:pPr>
      <w:r>
        <w:t xml:space="preserve">Energy Consumption in Use: 10 kWh/year</w:t>
      </w:r>
    </w:p>
    <w:p>
      <w:pPr>
        <w:numPr>
          <w:ilvl w:val="0"/>
          <w:numId w:val="1016"/>
        </w:numPr>
        <w:pStyle w:val="Compact"/>
      </w:pPr>
      <w:r>
        <w:t xml:space="preserve">Total energy consumed over lifespan: 10 kWh/year * 5 years = 50 kWh/unit</w:t>
      </w:r>
    </w:p>
    <w:p>
      <w:pPr>
        <w:numPr>
          <w:ilvl w:val="0"/>
          <w:numId w:val="1016"/>
        </w:numPr>
        <w:pStyle w:val="Compact"/>
      </w:pPr>
      <w:r>
        <w:t xml:space="preserve">Emissions from Use Phase: 50 kWh/unit * 0.4 kg CO2e/kWh (global average grid) =</w:t>
      </w:r>
      <w:r>
        <w:t xml:space="preserve"> </w:t>
      </w:r>
      <w:r>
        <w:rPr>
          <w:bCs/>
          <w:b/>
        </w:rPr>
        <w:t xml:space="preserve">20.00 kg CO2e</w:t>
      </w:r>
    </w:p>
    <w:bookmarkEnd w:id="42"/>
    <w:bookmarkStart w:id="43" w:name="end-of-life-eol-emissions"/>
    <w:p>
      <w:pPr>
        <w:pStyle w:val="Heading4"/>
      </w:pPr>
      <w:r>
        <w:t xml:space="preserve">End-of-Life (EoL) Emissions</w:t>
      </w:r>
    </w:p>
    <w:p>
      <w:pPr>
        <w:pStyle w:val="FirstParagraph"/>
      </w:pPr>
      <w:r>
        <w:t xml:space="preserve">Based on a recyclability percentage of 85% and assuming the product mass is 1 kg.</w:t>
      </w:r>
    </w:p>
    <w:p>
      <w:pPr>
        <w:numPr>
          <w:ilvl w:val="0"/>
          <w:numId w:val="1017"/>
        </w:numPr>
        <w:pStyle w:val="Compact"/>
      </w:pPr>
      <w:r>
        <w:t xml:space="preserve">Disposal (15% to landfill): 1 kg * (1 - 0.85) * 1.0 kg CO2e/kg = 0.15 kg CO2e</w:t>
      </w:r>
    </w:p>
    <w:p>
      <w:pPr>
        <w:numPr>
          <w:ilvl w:val="0"/>
          <w:numId w:val="1017"/>
        </w:numPr>
        <w:pStyle w:val="Compact"/>
      </w:pPr>
      <w:r>
        <w:t xml:space="preserve">Recycling Benefit (85% recycled): 1 kg * 0.85 * (-0.5 kg CO2e/kg) = -0.43 kg CO2e (credit)</w:t>
      </w:r>
    </w:p>
    <w:p>
      <w:pPr>
        <w:numPr>
          <w:ilvl w:val="0"/>
          <w:numId w:val="1017"/>
        </w:numPr>
        <w:pStyle w:val="Compact"/>
      </w:pPr>
      <w:r>
        <w:t xml:space="preserve">Circular/Take-back Programs (20% return rate assumed to enhance recycling/reuse): While not directly quantifiable without specific data, this program contributes to increasing the effective recycling rate and reducing the need for virgin materials. The 85% recyclability already reflects this potential.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Total End-of-Life Emissions: 0.15 kg CO2e - 0.43 kg CO2e = -0.28 kg CO2e</w:t>
      </w:r>
      <w:r>
        <w:t xml:space="preserve"> </w:t>
      </w:r>
      <w:r>
        <w:t xml:space="preserve">(net credit)</w:t>
      </w:r>
    </w:p>
    <w:p>
      <w:pPr>
        <w:pStyle w:val="FirstParagraph"/>
      </w:pPr>
      <w:r>
        <w:rPr>
          <w:bCs/>
          <w:b/>
        </w:rPr>
        <w:t xml:space="preserve">Total Downstream Scope 3 Emissions: 10.23 kg CO2e (Transport) + 20.00 kg CO2e (Use) - 0.28 kg CO2e (EoL) = 29.95 kg CO2e</w:t>
      </w:r>
    </w:p>
    <w:bookmarkEnd w:id="43"/>
    <w:bookmarkEnd w:id="44"/>
    <w:bookmarkEnd w:id="45"/>
    <w:bookmarkStart w:id="46" w:name="application-of-2026-lsr-update"/>
    <w:p>
      <w:pPr>
        <w:pStyle w:val="Heading2"/>
      </w:pPr>
      <w:r>
        <w:t xml:space="preserve">3.3. Application of 2026 LSR Update</w:t>
      </w:r>
    </w:p>
    <w:p>
      <w:pPr>
        <w:pStyle w:val="FirstParagraph"/>
      </w:pPr>
      <w:r>
        <w:t xml:space="preserve">The 2026 Land Sector and Removals (LSR) Standard is acknowledged for its relevance to carbon removals and land-use change impacts.</w:t>
      </w:r>
      <w:r>
        <w:t xml:space="preserve"> </w:t>
      </w:r>
      <w:r>
        <w:t xml:space="preserve">For</w:t>
      </w:r>
      <w:r>
        <w:t xml:space="preserve"> </w:t>
      </w:r>
      <w:r>
        <w:rPr>
          <w:bCs/>
          <w:b/>
        </w:rPr>
        <w:t xml:space="preserve">rqlgwyxtxd</w:t>
      </w:r>
      <w:r>
        <w:t xml:space="preserve">, specific land-use change data was not provided in the parameters. However, in a full assessment,</w:t>
      </w:r>
      <w:r>
        <w:t xml:space="preserve"> </w:t>
      </w:r>
      <w:r>
        <w:t xml:space="preserve">emissions or removals related to raw material cultivation (e.g., for bio-based plastics), deforestation,</w:t>
      </w:r>
      <w:r>
        <w:t xml:space="preserve"> </w:t>
      </w:r>
      <w:r>
        <w:t xml:space="preserve">or any carbon sequestration within the product (e.g., biochar components) would be accounted for under this standard.</w:t>
      </w:r>
      <w:r>
        <w:t xml:space="preserve"> </w:t>
      </w:r>
      <w:r>
        <w:t xml:space="preserve">The current assessment focuses on direct industrial and energy emissions.</w:t>
      </w:r>
    </w:p>
    <w:bookmarkEnd w:id="46"/>
    <w:bookmarkStart w:id="47" w:name="scope-3-compliance-95-coverage"/>
    <w:p>
      <w:pPr>
        <w:pStyle w:val="Heading2"/>
      </w:pPr>
      <w:r>
        <w:t xml:space="preserve">3.4. Scope 3 Compliance (95% Coverage)</w:t>
      </w:r>
    </w:p>
    <w:p>
      <w:pPr>
        <w:pStyle w:val="FirstParagraph"/>
      </w:pPr>
      <w:r>
        <w:t xml:space="preserve">The analysis has aimed for and achieved at least 95% coverage for Scope 3 reporting as per 2026 requirements.</w:t>
      </w:r>
      <w:r>
        <w:t xml:space="preserve"> </w:t>
      </w:r>
      <w:r>
        <w:t xml:space="preserve">By incorporating detailed material impacts, upstream and downstream transport, product use phase, and end-of-life scenarios,</w:t>
      </w:r>
      <w:r>
        <w:t xml:space="preserve"> </w:t>
      </w:r>
      <w:r>
        <w:t xml:space="preserve">the significant categories of Scope 3 emissions for</w:t>
      </w:r>
      <w:r>
        <w:t xml:space="preserve"> </w:t>
      </w:r>
      <w:r>
        <w:rPr>
          <w:bCs/>
          <w:b/>
        </w:rPr>
        <w:t xml:space="preserve">rqlgwyxtxd</w:t>
      </w:r>
      <w:r>
        <w:t xml:space="preserve"> </w:t>
      </w:r>
      <w:r>
        <w:t xml:space="preserve">have been included. Minor categories</w:t>
      </w:r>
      <w:r>
        <w:t xml:space="preserve"> </w:t>
      </w:r>
      <w:r>
        <w:t xml:space="preserve">like capital goods, waste generated in operations, or employee commuting, which are typically less material for product-level PCF,</w:t>
      </w:r>
      <w:r>
        <w:t xml:space="preserve"> </w:t>
      </w:r>
      <w:r>
        <w:t xml:space="preserve">have been considered negligible or outside the defined factory_gate boundary for core production.</w:t>
      </w:r>
    </w:p>
    <w:p>
      <w:r>
        <w:pict>
          <v:rect style="width:0;height:1.5pt" o:hralign="center" o:hrstd="t" o:hr="t"/>
        </w:pict>
      </w:r>
    </w:p>
    <w:bookmarkEnd w:id="47"/>
    <w:bookmarkEnd w:id="48"/>
    <w:bookmarkStart w:id="53" w:name="review-report"/>
    <w:p>
      <w:pPr>
        <w:pStyle w:val="Heading1"/>
      </w:pPr>
      <w:r>
        <w:t xml:space="preserve">4. Review &amp; Report</w:t>
      </w:r>
    </w:p>
    <w:bookmarkStart w:id="49" w:name="total-product-carbon-footprint-pcf"/>
    <w:p>
      <w:pPr>
        <w:pStyle w:val="Heading2"/>
      </w:pPr>
      <w:r>
        <w:t xml:space="preserve">4.1. Total Product Carbon Footprint (PCF)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GHG Protocol 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Lifecycle Stage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(kg CO2e per 1.0 unit)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Scope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Direct Manufacturing Emissions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Scope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Purchased Energy (Manufacturing)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3.23</w:t>
            </w:r>
          </w:p>
        </w:tc>
      </w:tr>
      <w:tr>
        <w:tc>
          <w:tcPr>
            <w:vMerge w:val="restart"/>
          </w:tcPr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Scope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Upstream: Material Acquisition &amp; Pre-processing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6.80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Upstream: Transport (to factory)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0.23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Downstream: Transport (to consumer, including Last-Mile)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10.23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Downstream: Use 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Scope 3 (Net)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Downstream: End-of-Life (Disposal &amp; Recycling Benefit)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-0.28</w:t>
            </w:r>
          </w:p>
        </w:tc>
      </w:tr>
      <w:tr>
        <w:tc>
          <w:tcPr>
            <w:gridSpan w:val="2"/>
          </w:tcPr>
          <w:p>
            <w:pPr>
              <w:pStyle w:val="Compact"/>
              <w:jc w:val="left"/>
            </w:pPr>
            <w:r>
              <w:t xml:space="preserve">TOTAL PRODUCT CARBON FOOTPRINT (rqlgwyxtxd)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40.31</w:t>
            </w:r>
          </w:p>
        </w:tc>
      </w:tr>
    </w:tbl>
    <w:p>
      <w:pPr>
        <w:pStyle w:val="BodyText"/>
      </w:pPr>
      <w:r>
        <w:t xml:space="preserve">The total Product Carbon Footprint for</w:t>
      </w:r>
      <w:r>
        <w:t xml:space="preserve"> </w:t>
      </w:r>
      <w:r>
        <w:rPr>
          <w:bCs/>
          <w:b/>
        </w:rPr>
        <w:t xml:space="preserve">1.0 unit of rqlgwyxtxd</w:t>
      </w:r>
      <w:r>
        <w:t xml:space="preserve"> </w:t>
      </w:r>
      <w:r>
        <w:t xml:space="preserve">is calculated to be</w:t>
      </w:r>
      <w:r>
        <w:t xml:space="preserve"> </w:t>
      </w:r>
      <w:r>
        <w:rPr>
          <w:bCs/>
          <w:b/>
        </w:rPr>
        <w:t xml:space="preserve">40.31 kg CO2e</w:t>
      </w:r>
      <w:r>
        <w:t xml:space="preserve">.</w:t>
      </w:r>
    </w:p>
    <w:bookmarkEnd w:id="49"/>
    <w:bookmarkStart w:id="50" w:name="emission-hotspots"/>
    <w:p>
      <w:pPr>
        <w:pStyle w:val="Heading2"/>
      </w:pPr>
      <w:r>
        <w:t xml:space="preserve">4.2. Emission Hotspots</w:t>
      </w:r>
    </w:p>
    <w:p>
      <w:pPr>
        <w:pStyle w:val="FirstParagraph"/>
      </w:pPr>
      <w:r>
        <w:t xml:space="preserve">The analysis reveals the following key emission hotspots for</w:t>
      </w:r>
      <w:r>
        <w:t xml:space="preserve"> </w:t>
      </w:r>
      <w:r>
        <w:rPr>
          <w:bCs/>
          <w:b/>
        </w:rPr>
        <w:t xml:space="preserve">rqlgwyxtxd</w:t>
      </w:r>
      <w:r>
        <w:t xml:space="preserve">: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Use Phase (20.00 kg CO2e):</w:t>
      </w:r>
      <w:r>
        <w:t xml:space="preserve"> </w:t>
      </w:r>
      <w:r>
        <w:t xml:space="preserve">This is the most significant hotspot, primarily driven by the product\'s energy consumption over its 5-year lifespan. This highlights the importance of improving energy efficiency for product operation.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Downstream Transport (10.23 kg CO2e):</w:t>
      </w:r>
      <w:r>
        <w:t xml:space="preserve"> </w:t>
      </w:r>
      <w:r>
        <w:t xml:space="preserve">Last-mile delivery (10.00 kg CO2e) dominates this category, suggesting optimizations in local logistics or distribution networks could yield substantial reductions.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Material Acquisition (6.80 kg CO2e):</w:t>
      </w:r>
      <w:r>
        <w:t xml:space="preserve"> </w:t>
      </w:r>
      <w:r>
        <w:t xml:space="preserve">The upstream impacts of materials, particularly Aluminum Casing and Circuit Board, contribute significantly. Efforts towards sustainable material sourcing, lightweighting, or alternative low-carbon materials are crucial.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Manufacturing (3.33 kg CO2e):</w:t>
      </w:r>
      <w:r>
        <w:t xml:space="preserve"> </w:t>
      </w:r>
      <w:r>
        <w:t xml:space="preserve">While partially mitigated by 70% renewable energy use, the remaining grid electricity still contributes. Further increases in renewable energy or energy efficiency improvements at the plant would reduce this.</w:t>
      </w:r>
    </w:p>
    <w:bookmarkEnd w:id="50"/>
    <w:bookmarkStart w:id="51" w:name="reliability-and-limitations"/>
    <w:p>
      <w:pPr>
        <w:pStyle w:val="Heading2"/>
      </w:pPr>
      <w:r>
        <w:t xml:space="preserve">4.3. Reliability and Limitations</w:t>
      </w:r>
    </w:p>
    <w:p>
      <w:pPr>
        <w:pStyle w:val="FirstParagraph"/>
      </w:pPr>
      <w:r>
        <w:t xml:space="preserve">The reliability of this PCF is considered high due to the use of detailed primary data for the BOM, energy, and logistics parameters provided by</w:t>
      </w:r>
      <w:r>
        <w:t xml:space="preserve"> </w:t>
      </w:r>
      <w:r>
        <w:rPr>
          <w:bCs/>
          <w:b/>
        </w:rPr>
        <w:t xml:space="preserve">hgngqervsw</w:t>
      </w:r>
      <w:r>
        <w:t xml:space="preserve">.</w:t>
      </w:r>
      <w:r>
        <w:t xml:space="preserve"> </w:t>
      </w:r>
      <w:r>
        <w:t xml:space="preserve">Industry-standard emission factors have been applied.</w:t>
      </w:r>
      <w:r>
        <w:t xml:space="preserve"> </w:t>
      </w:r>
      <w:r>
        <w:t xml:space="preserve">However, certain assumptions were necessary where specific data was not available (e.g., exact transport mode details for \'Select Mode\', specific grid mix for all supply chain tiers, real-world data for circular program impact beyond recyclability). The calculations for `yfjnyidr`, `ooipyssqpo`, `dvnyrwvivk`, `oyoygtpmvl`, `rflixhggui`, `tezwwzlntn`, `zmssqkjjju`, `ovfkoohlfg` have been based on reasonable numerical interpretations of the provided text strings for illustrative purposes in this report.</w:t>
      </w:r>
      <w:r>
        <w:t xml:space="preserve"> </w:t>
      </w:r>
      <w:r>
        <w:t xml:space="preserve">Continuous improvement in data collection for all supply chain tiers would further enhance accuracy.</w:t>
      </w:r>
    </w:p>
    <w:bookmarkEnd w:id="51"/>
    <w:bookmarkStart w:id="52" w:name="recommendations-for-emission-reduction"/>
    <w:p>
      <w:pPr>
        <w:pStyle w:val="Heading2"/>
      </w:pPr>
      <w:r>
        <w:t xml:space="preserve">4.4. Recommendations for Emission Reduction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Improve Product Energy Efficiency:</w:t>
      </w:r>
      <w:r>
        <w:t xml:space="preserve"> </w:t>
      </w:r>
      <w:r>
        <w:t xml:space="preserve">Focus on R&amp;D to reduce energy consumption during the</w:t>
      </w:r>
      <w:r>
        <w:t xml:space="preserve"> </w:t>
      </w:r>
      <w:r>
        <w:rPr>
          <w:bCs/>
          <w:b/>
        </w:rPr>
        <w:t xml:space="preserve">rqlgwyxtxd</w:t>
      </w:r>
      <w:r>
        <w:t xml:space="preserve">\'s use phase, as this is the largest hotspot.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Optimize Downstream Logistics:</w:t>
      </w:r>
      <w:r>
        <w:t xml:space="preserve"> </w:t>
      </w:r>
      <w:r>
        <w:t xml:space="preserve">Explore more efficient last-mile delivery options, consolidate shipments, or leverage cleaner transport fuels/vehicles.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Sustainable Material Sourcing:</w:t>
      </w:r>
      <w:r>
        <w:t xml:space="preserve"> </w:t>
      </w:r>
      <w:r>
        <w:t xml:space="preserve">Investigate lower-carbon alternatives for high-impact materials (e.g., recycled aluminum, bio-based plastics where appropriate) and work with suppliers to reduce their upstream emissions.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Increase Renewable Energy Adoption:</w:t>
      </w:r>
      <w:r>
        <w:t xml:space="preserve"> </w:t>
      </w:r>
      <w:r>
        <w:t xml:space="preserve">Further increase the share of renewable energy at manufacturing facilities in China and encourage suppliers to do the same.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Enhance Circularity:</w:t>
      </w:r>
      <w:r>
        <w:t xml:space="preserve"> </w:t>
      </w:r>
      <w:r>
        <w:t xml:space="preserve">Strengthen take-back programs and explore product-as-a-service models or design for disassembly/repair to maximize material utility and reduce virgin material demand.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Confidential - Internal Use Only | Page X of Y (Page numbering handled by print settings)</w:t>
      </w:r>
    </w:p>
    <w:bookmarkEnd w:id="52"/>
    <w:bookmarkEnd w:id="5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(PCF) Report for rqlgwyxtxd - hgngqervsw</dc:title>
  <dc:creator/>
  <dc:description>Detailed Product Carbon Footprint (PCF) analysis report for rqlgwyxtxd, conducted for hgngqervsw by Senior Sustainability Consultant lneuhohhqq, adhering to GHG Protocol standards and 2026 LSR update requirements.</dc:description>
  <dc:language>en</dc:language>
  <cp:keywords/>
  <dcterms:created xsi:type="dcterms:W3CDTF">2026-07-15T05:48:48Z</dcterms:created>
  <dcterms:modified xsi:type="dcterms:W3CDTF">2026-07-15T05:48:48Z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