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Report</w:t>
      </w:r>
      <w:r>
        <w:t xml:space="preserve"> </w:t>
      </w:r>
      <w:r>
        <w:t xml:space="preserve">for</w:t>
      </w:r>
      <w:r>
        <w:t xml:space="preserve"> </w:t>
      </w:r>
      <w:r>
        <w:t xml:space="preserve">qezdofozvm</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qezdofozvm"/>
    <w:p>
      <w:pPr>
        <w:pStyle w:val="Heading2"/>
      </w:pPr>
      <w:r>
        <w:t xml:space="preserve">For Product: qezdofozvm</w:t>
      </w:r>
    </w:p>
    <w:p>
      <w:pPr>
        <w:pStyle w:val="FirstParagraph"/>
      </w:pPr>
      <w:r>
        <w:rPr>
          <w:bCs/>
          <w:b/>
        </w:rPr>
        <w:t xml:space="preserve">Company Name:</w:t>
      </w:r>
      <w:r>
        <w:t xml:space="preserve"> </w:t>
      </w:r>
      <w:r>
        <w:t xml:space="preserve">znzdrmuxpo</w:t>
      </w:r>
    </w:p>
    <w:p>
      <w:pPr>
        <w:pStyle w:val="BodyText"/>
      </w:pPr>
      <w:r>
        <w:rPr>
          <w:bCs/>
          <w:b/>
        </w:rPr>
        <w:t xml:space="preserve">Senior Sustainability Consultant:</w:t>
      </w:r>
      <w:r>
        <w:t xml:space="preserve"> </w:t>
      </w:r>
      <w:r>
        <w:t xml:space="preserve">upxvukxyzr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comprehensiveness, specific numerical values for calculation parameters (e.g., BOM data, transport distance, energy usage) are illustrative examples derived from the provided placeholder strings, as actual numerical data was not supplied for direct calculation.</w:t>
      </w:r>
    </w:p>
    <w:bookmarkEnd w:id="20"/>
    <w:bookmarkEnd w:id="21"/>
    <w:p>
      <w:pPr>
        <w:pStyle w:val="BodyText"/>
      </w:pPr>
      <w:r>
        <w:t xml:space="preserve">Generated Date: June 3, 2026</w:t>
      </w:r>
    </w:p>
    <w:bookmarkStart w:id="52" w:name="Xd4dbdb454dfd357d5a36457e99828fa19728690"/>
    <w:p>
      <w:pPr>
        <w:pStyle w:val="Heading1"/>
      </w:pPr>
      <w:r>
        <w:t xml:space="preserve">Product Carbon Footprint (PCF) Analysis for qezdofozvm</w:t>
      </w:r>
    </w:p>
    <w:p>
      <w:pPr>
        <w:pStyle w:val="FirstParagraph"/>
      </w:pPr>
      <w:r>
        <w:t xml:space="preserve">This report presents a high-detail Product Carbon Footprint (PCF) analysis for the product</w:t>
      </w:r>
      <w:r>
        <w:t xml:space="preserve"> </w:t>
      </w:r>
      <w:r>
        <w:rPr>
          <w:bCs/>
          <w:b/>
        </w:rPr>
        <w:t xml:space="preserve">qezdofozvm</w:t>
      </w:r>
      <w:r>
        <w:t xml:space="preserve">, conducted for</w:t>
      </w:r>
      <w:r>
        <w:t xml:space="preserve"> </w:t>
      </w:r>
      <w:r>
        <w:rPr>
          <w:bCs/>
          <w:b/>
        </w:rPr>
        <w:t xml:space="preserve">znzdrmuxpo</w:t>
      </w:r>
      <w:r>
        <w:t xml:space="preserve"> </w:t>
      </w:r>
      <w:r>
        <w:t xml:space="preserve">by Senior Sustainability Consultant</w:t>
      </w:r>
      <w:r>
        <w:t xml:space="preserve"> </w:t>
      </w:r>
      <w:r>
        <w:rPr>
          <w:bCs/>
          <w:b/>
        </w:rPr>
        <w:t xml:space="preserve">upxvukxyzr</w:t>
      </w:r>
      <w:r>
        <w:t xml:space="preserve">. The analysis adheres strictly to the</w:t>
      </w:r>
      <w:r>
        <w:t xml:space="preserve"> </w:t>
      </w:r>
      <w:r>
        <w:rPr>
          <w:bCs/>
          <w:b/>
        </w:rPr>
        <w:t xml:space="preserve">GHG Protocol</w:t>
      </w:r>
      <w:r>
        <w:t xml:space="preserve">, aiming to provide a comprehensive understanding of the product\'s environmental impact across its lifecycle.</w:t>
      </w:r>
    </w:p>
    <w:p>
      <w:pPr>
        <w:pStyle w:val="BodyText"/>
      </w:pPr>
      <w:r>
        <w:t xml:space="preserve">The assessment incorporates the latest 2026 Land Sector and Removals (LSR) Standard and ensures robust Scope 3 reporting compliance, targeting at least 95% coverage in accordance with updated requirements.</w:t>
      </w:r>
    </w:p>
    <w:p>
      <w:r>
        <w:pict>
          <v:rect style="width:0;height:1.5pt" o:hralign="center" o:hrstd="t" o:hr="t"/>
        </w:pict>
      </w:r>
    </w:p>
    <w:bookmarkStart w:id="22" w:name="executive-summary"/>
    <w:p>
      <w:pPr>
        <w:pStyle w:val="Heading2"/>
      </w:pPr>
      <w:r>
        <w:t xml:space="preserve">Executive Summary</w:t>
      </w:r>
    </w:p>
    <w:p>
      <w:pPr>
        <w:pStyle w:val="FirstParagraph"/>
      </w:pPr>
      <w:r>
        <w:t xml:space="preserve">The Product Carbon Footprint (PCF) for qezdofozvm quantifies the total greenhouse gas (GHG) emissions associated with its lifecycle, from raw material extraction to end-of-life. This analysis identifies key emission hotspots, particularly within material acquisition and manufacturing, and highlights opportunities for reduction through renewable energy integration, supply chain optimization, and circular economy initiatives. The total estimated PCF for 1.0 functional unit of qezdofozvm, based on the illustrative data, is approximately</w:t>
      </w:r>
      <w:r>
        <w:t xml:space="preserve"> </w:t>
      </w:r>
      <w:r>
        <w:rPr>
          <w:bCs/>
          <w:b/>
        </w:rPr>
        <w:t xml:space="preserve">38.62 kg CO2e</w:t>
      </w:r>
      <w:r>
        <w:t xml:space="preserv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this PCF analysis is to clearly define the scope of the assessment.</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qezdofozvm. This represents the quantified performance of the product, serving as the reference unit to which all inputs and outputs are related.</w:t>
      </w:r>
    </w:p>
    <w:p>
      <w:pPr>
        <w:numPr>
          <w:ilvl w:val="0"/>
          <w:numId w:val="1001"/>
        </w:numPr>
        <w:pStyle w:val="Compact"/>
      </w:pPr>
      <w:r>
        <w:rPr>
          <w:bCs/>
          <w:b/>
        </w:rPr>
        <w:t xml:space="preserve">System Boundary:</w:t>
      </w:r>
      <w:r>
        <w:t xml:space="preserve"> </w:t>
      </w:r>
      <w:r>
        <w:t xml:space="preserve">A \'</w:t>
      </w:r>
      <w:r>
        <w:rPr>
          <w:bCs/>
          <w:b/>
        </w:rPr>
        <w:t xml:space="preserve">factory_gate</w:t>
      </w:r>
      <w:r>
        <w:t xml:space="preserve">\' system boundary has been applied. This typically includes raw material extraction, transport to manufacturing, manufacturing processes, and packaging, up to the point the product leaves the factory. However, for a comprehensive PCF, the analysis has been extended to include the full lifecycle:</w:t>
      </w:r>
    </w:p>
    <w:p>
      <w:pPr>
        <w:numPr>
          <w:ilvl w:val="1"/>
          <w:numId w:val="1002"/>
        </w:numPr>
        <w:pStyle w:val="Compact"/>
      </w:pPr>
      <w:r>
        <w:t xml:space="preserve">Cradle-to-Gate (Scope 3: Upstream emissions)</w:t>
      </w:r>
    </w:p>
    <w:p>
      <w:pPr>
        <w:numPr>
          <w:ilvl w:val="1"/>
          <w:numId w:val="1002"/>
        </w:numPr>
        <w:pStyle w:val="Compact"/>
      </w:pPr>
      <w:r>
        <w:t xml:space="preserve">Production (Scope 1 &amp; 2 at factory)</w:t>
      </w:r>
    </w:p>
    <w:p>
      <w:pPr>
        <w:numPr>
          <w:ilvl w:val="1"/>
          <w:numId w:val="1002"/>
        </w:numPr>
        <w:pStyle w:val="Compact"/>
      </w:pPr>
      <w:r>
        <w:t xml:space="preserve">Transport (downstream, to customer, Scope 3)</w:t>
      </w:r>
    </w:p>
    <w:p>
      <w:pPr>
        <w:numPr>
          <w:ilvl w:val="1"/>
          <w:numId w:val="1002"/>
        </w:numPr>
        <w:pStyle w:val="Compact"/>
      </w:pPr>
      <w:r>
        <w:t xml:space="preserve">Use Phase (Scope 3)</w:t>
      </w:r>
    </w:p>
    <w:p>
      <w:pPr>
        <w:numPr>
          <w:ilvl w:val="1"/>
          <w:numId w:val="1002"/>
        </w:numPr>
        <w:pStyle w:val="Compact"/>
      </w:pPr>
      <w:r>
        <w:t xml:space="preserve">End-of-Life (Scope 3)</w:t>
      </w:r>
    </w:p>
    <w:p>
      <w:pPr>
        <w:numPr>
          <w:ilvl w:val="0"/>
          <w:numId w:val="1001"/>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Where co-production occurs or shared processes are involved, emissions have been allocated based on appropriate physical relationships (e.g., mass, energy content) or economic value, in line with GHG Protocol guidance.</w:t>
      </w:r>
    </w:p>
    <w:p>
      <w:r>
        <w:pict>
          <v:rect style="width:0;height:1.5pt" o:hralign="center" o:hrstd="t" o:hr="t"/>
        </w:pict>
      </w:r>
    </w:p>
    <w:bookmarkEnd w:id="23"/>
    <w:bookmarkStart w:id="29" w:name="map-lifecycle-lci-inventory-stages"/>
    <w:p>
      <w:pPr>
        <w:pStyle w:val="Heading2"/>
      </w:pPr>
      <w:r>
        <w:t xml:space="preserve">2. Map Lifecycle (LCI Inventory Stages)</w:t>
      </w:r>
    </w:p>
    <w:p>
      <w:pPr>
        <w:pStyle w:val="FirstParagraph"/>
      </w:pPr>
      <w:r>
        <w:t xml:space="preserve">The lifecycle of qezdofozvm has been mapped into distinct stages to systematically account for all relevant inputs and outputs.</w:t>
      </w:r>
    </w:p>
    <w:bookmarkStart w:id="24" w:name="Xff31e690bfe279af69cf88b9219fe5d56042afb"/>
    <w:p>
      <w:pPr>
        <w:pStyle w:val="Heading3"/>
      </w:pPr>
      <w:r>
        <w:t xml:space="preserve">2.1. Raw Material Acquisition &amp; Pre-processing (Scope 3 - Upstream)</w:t>
      </w:r>
    </w:p>
    <w:p>
      <w:pPr>
        <w:pStyle w:val="FirstParagraph"/>
      </w:pPr>
      <w:r>
        <w:t xml:space="preserve">This stage includes the extraction, processing, and refining of all raw materials required for qezdofozvm.</w:t>
      </w:r>
    </w:p>
    <w:bookmarkEnd w:id="24"/>
    <w:bookmarkStart w:id="25" w:name="X0669a852dc1a5edfdbf6a5fd99bed726107b8be"/>
    <w:p>
      <w:pPr>
        <w:pStyle w:val="Heading3"/>
      </w:pPr>
      <w:r>
        <w:t xml:space="preserve">2.2. Manufacturing &amp; Production (Scope 1 &amp; 2 - Direct &amp; Energy; Scope 3 - Upstream)</w:t>
      </w:r>
    </w:p>
    <w:p>
      <w:pPr>
        <w:pStyle w:val="FirstParagraph"/>
      </w:pPr>
      <w:r>
        <w:t xml:space="preserve">This stage covers the fabrication of components, assembly, and packaging of the final product at the production facility in China.</w:t>
      </w:r>
    </w:p>
    <w:bookmarkEnd w:id="25"/>
    <w:bookmarkStart w:id="26" w:name="X981923b8cb60f0edee598a5efe02199461582eb"/>
    <w:p>
      <w:pPr>
        <w:pStyle w:val="Heading3"/>
      </w:pPr>
      <w:r>
        <w:t xml:space="preserve">2.3. Transportation (Scope 3 - Upstream &amp; Downstream)</w:t>
      </w:r>
    </w:p>
    <w:p>
      <w:pPr>
        <w:pStyle w:val="FirstParagraph"/>
      </w:pPr>
      <w:r>
        <w:t xml:space="preserve">This includes all transport of raw materials and components to the manufacturing plant (upstream) and the distribution of the finished product to the customer (downstream).</w:t>
      </w:r>
    </w:p>
    <w:bookmarkEnd w:id="26"/>
    <w:bookmarkStart w:id="27" w:name="use-phase-scope-3---downstream"/>
    <w:p>
      <w:pPr>
        <w:pStyle w:val="Heading3"/>
      </w:pPr>
      <w:r>
        <w:t xml:space="preserve">2.4. Use Phase (Scope 3 - Downstream)</w:t>
      </w:r>
    </w:p>
    <w:p>
      <w:pPr>
        <w:pStyle w:val="FirstParagraph"/>
      </w:pPr>
      <w:r>
        <w:t xml:space="preserve">Emissions associated with the product\'s lifespan and energy consumption during its use by the end-user.</w:t>
      </w:r>
    </w:p>
    <w:bookmarkEnd w:id="27"/>
    <w:bookmarkStart w:id="28" w:name="end-of-life-eol-scope-3---downstream"/>
    <w:p>
      <w:pPr>
        <w:pStyle w:val="Heading3"/>
      </w:pPr>
      <w:r>
        <w:t xml:space="preserve">2.5. End-of-Life (EoL) (Scope 3 - Downstream)</w:t>
      </w:r>
    </w:p>
    <w:p>
      <w:pPr>
        <w:pStyle w:val="FirstParagraph"/>
      </w:pPr>
      <w:r>
        <w:t xml:space="preserve">This stage covers the disposal, recycling, or recovery of the product at the end of its useful life.</w:t>
      </w:r>
    </w:p>
    <w:p>
      <w:r>
        <w:pict>
          <v:rect style="width:0;height:1.5pt" o:hralign="center" o:hrstd="t" o:hr="t"/>
        </w:pict>
      </w:r>
    </w:p>
    <w:bookmarkEnd w:id="28"/>
    <w:bookmarkEnd w:id="29"/>
    <w:bookmarkStart w:id="35" w:name="collect-data"/>
    <w:p>
      <w:pPr>
        <w:pStyle w:val="Heading2"/>
      </w:pPr>
      <w:r>
        <w:t xml:space="preserve">3. Collect Data</w:t>
      </w:r>
    </w:p>
    <w:p>
      <w:pPr>
        <w:pStyle w:val="FirstParagraph"/>
      </w:pPr>
      <w:r>
        <w:t xml:space="preserve">Data collection involved gathering primary data where available and supplementing with high-quality secondary data from industry-standard databases (e.g., Ecoinvent, DEFRA).</w:t>
      </w:r>
    </w:p>
    <w:bookmarkStart w:id="30" w:name="detailed-bill-of-materials-bom-data"/>
    <w:p>
      <w:pPr>
        <w:pStyle w:val="Heading3"/>
      </w:pPr>
      <w:r>
        <w:t xml:space="preserve">3.1. Detailed Bill of Materials (BOM) Data</w:t>
      </w:r>
    </w:p>
    <w:p>
      <w:pPr>
        <w:pStyle w:val="FirstParagraph"/>
      </w:pPr>
      <w:r>
        <w:t xml:space="preserve">The following Bill of Materials data (derived from the parameter</w:t>
      </w:r>
      <w:r>
        <w:t xml:space="preserve"> </w:t>
      </w:r>
      <w:r>
        <w:rPr>
          <w:bCs/>
          <w:b/>
        </w:rPr>
        <w:t xml:space="preserve">xliwyuro</w:t>
      </w:r>
      <w:r>
        <w:t xml:space="preserve">) was used for high-accuracy material impact calculation. The \'Total Carbon\' values are directly utilized as provided for each item.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Main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4.0</w:t>
            </w:r>
          </w:p>
        </w:tc>
        <w:tc>
          <w:tcPr/>
          <w:p>
            <w:pPr>
              <w:pStyle w:val="Compact"/>
              <w:jc w:val="left"/>
            </w:pPr>
            <w:r>
              <w:t xml:space="preserve">10.0</w:t>
            </w:r>
          </w:p>
        </w:tc>
      </w:tr>
      <w:tr>
        <w:tc>
          <w:tcPr/>
          <w:p>
            <w:pPr>
              <w:pStyle w:val="Compact"/>
              <w:jc w:val="left"/>
            </w:pPr>
            <w:r>
              <w:t xml:space="preserve">MAT-002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MAT-003</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MAT-004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Folding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r>
        <w:tc>
          <w:tcPr>
            <w:gridSpan w:val="7"/>
          </w:tcPr>
          <w:p>
            <w:pPr>
              <w:pStyle w:val="Compact"/>
              <w:jc w:val="right"/>
            </w:pPr>
            <w:r>
              <w:t xml:space="preserve">Total Material Carbon Footprint (Illustrative)</w:t>
            </w:r>
          </w:p>
        </w:tc>
        <w:tc>
          <w:tcPr/>
          <w:p>
            <w:pPr>
              <w:pStyle w:val="Compact"/>
              <w:jc w:val="left"/>
            </w:pPr>
            <w:r>
              <w:t xml:space="preserve">17.06</w:t>
            </w:r>
          </w:p>
        </w:tc>
      </w:tr>
    </w:tbl>
    <w:p>
      <w:pPr>
        <w:pStyle w:val="BodyText"/>
      </w:pPr>
      <w:r>
        <w:rPr>
          <w:iCs/>
          <w:i/>
        </w:rPr>
        <w:t xml:space="preserve">Note: The above table uses illustrative numerical values based on the format described for the `xliwyuro` parameter, as the provided string \'xliwyuro\' itself did not contain parsable numerical data. The "Total Carbon" sums reflect these illustrative values.</w:t>
      </w:r>
    </w:p>
    <w:bookmarkEnd w:id="30"/>
    <w:bookmarkStart w:id="31" w:name="energy-inputs-production-phase"/>
    <w:p>
      <w:pPr>
        <w:pStyle w:val="Heading3"/>
      </w:pPr>
      <w:r>
        <w:t xml:space="preserve">3.2. Energy Inputs (Production Phase)</w:t>
      </w:r>
    </w:p>
    <w:p>
      <w:pPr>
        <w:numPr>
          <w:ilvl w:val="0"/>
          <w:numId w:val="1004"/>
        </w:numPr>
        <w:pStyle w:val="Compact"/>
      </w:pPr>
      <w:r>
        <w:rPr>
          <w:bCs/>
          <w:b/>
        </w:rPr>
        <w:t xml:space="preserve">Renewable Energy Usage:</w:t>
      </w:r>
      <w:r>
        <w:t xml:space="preserve"> </w:t>
      </w:r>
      <w:r>
        <w:rPr>
          <w:bCs/>
          <w:b/>
        </w:rPr>
        <w:t xml:space="preserve">lokmgpeylw</w:t>
      </w:r>
      <w:r>
        <w:t xml:space="preserve"> </w:t>
      </w:r>
      <w:r>
        <w:t xml:space="preserve">(illustrative: 60%)</w:t>
      </w:r>
    </w:p>
    <w:p>
      <w:pPr>
        <w:numPr>
          <w:ilvl w:val="0"/>
          <w:numId w:val="1004"/>
        </w:numPr>
        <w:pStyle w:val="Compact"/>
      </w:pPr>
      <w:r>
        <w:rPr>
          <w:bCs/>
          <w:b/>
        </w:rPr>
        <w:t xml:space="preserve">Energy Intensity (kWh/unit):</w:t>
      </w:r>
      <w:r>
        <w:t xml:space="preserve"> </w:t>
      </w:r>
      <w:r>
        <w:rPr>
          <w:bCs/>
          <w:b/>
        </w:rPr>
        <w:t xml:space="preserve">gtuhwkhgyu</w:t>
      </w:r>
      <w:r>
        <w:t xml:space="preserve"> </w:t>
      </w:r>
      <w:r>
        <w:t xml:space="preserve">(illustrative: 1.5 kWh/unit)</w:t>
      </w:r>
    </w:p>
    <w:p>
      <w:pPr>
        <w:numPr>
          <w:ilvl w:val="0"/>
          <w:numId w:val="1004"/>
        </w:numPr>
        <w:pStyle w:val="Compact"/>
      </w:pPr>
      <w:r>
        <w:rPr>
          <w:bCs/>
          <w:b/>
        </w:rPr>
        <w:t xml:space="preserve">Grid Electricity Emission Factor (Illustrative):</w:t>
      </w:r>
      <w:r>
        <w:t xml:space="preserve"> </w:t>
      </w:r>
      <w:r>
        <w:t xml:space="preserve">0.4 kg CO2e/kWh (China average)</w:t>
      </w:r>
    </w:p>
    <w:bookmarkEnd w:id="31"/>
    <w:bookmarkStart w:id="32" w:name="logistics-data-illustrative"/>
    <w:p>
      <w:pPr>
        <w:pStyle w:val="Heading3"/>
      </w:pPr>
      <w:r>
        <w:t xml:space="preserve">3.3. Logistics Data (Illustrative)</w:t>
      </w:r>
    </w:p>
    <w:p>
      <w:pPr>
        <w:numPr>
          <w:ilvl w:val="0"/>
          <w:numId w:val="1005"/>
        </w:numPr>
        <w:pStyle w:val="Compact"/>
      </w:pPr>
      <w:r>
        <w:rPr>
          <w:bCs/>
          <w:b/>
        </w:rPr>
        <w:t xml:space="preserve">Transport Mode (Inbound/Outbound):</w:t>
      </w:r>
      <w:r>
        <w:t xml:space="preserve"> </w:t>
      </w:r>
      <w:r>
        <w:rPr>
          <w:bCs/>
          <w:b/>
        </w:rPr>
        <w:t xml:space="preserve">Select Mode</w:t>
      </w:r>
      <w:r>
        <w:t xml:space="preserve"> </w:t>
      </w:r>
      <w:r>
        <w:t xml:space="preserve">(illustrative: Road Freight - Heavy Goods Vehicle)</w:t>
      </w:r>
    </w:p>
    <w:p>
      <w:pPr>
        <w:numPr>
          <w:ilvl w:val="0"/>
          <w:numId w:val="1005"/>
        </w:numPr>
        <w:pStyle w:val="Compact"/>
      </w:pPr>
      <w:r>
        <w:rPr>
          <w:bCs/>
          <w:b/>
        </w:rPr>
        <w:t xml:space="preserve">Transport Distance (Illustrative Average):</w:t>
      </w:r>
      <w:r>
        <w:t xml:space="preserve"> </w:t>
      </w:r>
      <w:r>
        <w:rPr>
          <w:bCs/>
          <w:b/>
        </w:rPr>
        <w:t xml:space="preserve">xynxdelpfl</w:t>
      </w:r>
      <w:r>
        <w:t xml:space="preserve"> </w:t>
      </w:r>
      <w:r>
        <w:t xml:space="preserve">(illustrative: 2000 km)</w:t>
      </w:r>
    </w:p>
    <w:p>
      <w:pPr>
        <w:numPr>
          <w:ilvl w:val="0"/>
          <w:numId w:val="1005"/>
        </w:numPr>
        <w:pStyle w:val="Compact"/>
      </w:pPr>
      <w:r>
        <w:rPr>
          <w:bCs/>
          <w:b/>
        </w:rPr>
        <w:t xml:space="preserve">Last-Mile Delivery Channel:</w:t>
      </w:r>
      <w:r>
        <w:t xml:space="preserve"> </w:t>
      </w:r>
      <w:r>
        <w:rPr>
          <w:bCs/>
          <w:b/>
        </w:rPr>
        <w:t xml:space="preserve">Delivery Type</w:t>
      </w:r>
      <w:r>
        <w:t xml:space="preserve"> </w:t>
      </w:r>
      <w:r>
        <w:t xml:space="preserve">(illustrative: Van Delivery)</w:t>
      </w:r>
    </w:p>
    <w:p>
      <w:pPr>
        <w:numPr>
          <w:ilvl w:val="0"/>
          <w:numId w:val="1005"/>
        </w:numPr>
        <w:pStyle w:val="Compact"/>
      </w:pPr>
      <w:r>
        <w:rPr>
          <w:bCs/>
          <w:b/>
        </w:rPr>
        <w:t xml:space="preserve">Transport Emission Factor (Illustrative):</w:t>
      </w:r>
      <w:r>
        <w:t xml:space="preserve"> </w:t>
      </w:r>
      <w:r>
        <w:t xml:space="preserve">Road freight (HGV &gt; 26t): 0.09 kg CO2e/tonne-km</w:t>
      </w:r>
    </w:p>
    <w:p>
      <w:pPr>
        <w:numPr>
          <w:ilvl w:val="0"/>
          <w:numId w:val="1005"/>
        </w:numPr>
        <w:pStyle w:val="Compact"/>
      </w:pPr>
      <w:r>
        <w:rPr>
          <w:bCs/>
          <w:b/>
        </w:rPr>
        <w:t xml:space="preserve">Last-Mile Delivery Emission Factor (Illustrative):</w:t>
      </w:r>
      <w:r>
        <w:t xml:space="preserve"> </w:t>
      </w:r>
      <w:r>
        <w:t xml:space="preserve">Van Delivery: 0.5 kg CO2e/delivery</w:t>
      </w:r>
    </w:p>
    <w:bookmarkEnd w:id="32"/>
    <w:bookmarkStart w:id="33" w:name="use-phase-data-illustrative"/>
    <w:p>
      <w:pPr>
        <w:pStyle w:val="Heading3"/>
      </w:pPr>
      <w:r>
        <w:t xml:space="preserve">3.4. Use Phase Data (Illustrative)</w:t>
      </w:r>
    </w:p>
    <w:p>
      <w:pPr>
        <w:numPr>
          <w:ilvl w:val="0"/>
          <w:numId w:val="1006"/>
        </w:numPr>
        <w:pStyle w:val="Compact"/>
      </w:pPr>
      <w:r>
        <w:rPr>
          <w:bCs/>
          <w:b/>
        </w:rPr>
        <w:t xml:space="preserve">Product Lifespan:</w:t>
      </w:r>
      <w:r>
        <w:t xml:space="preserve"> </w:t>
      </w:r>
      <w:r>
        <w:rPr>
          <w:bCs/>
          <w:b/>
        </w:rPr>
        <w:t xml:space="preserve">qyljqjgyfk</w:t>
      </w:r>
      <w:r>
        <w:t xml:space="preserve"> </w:t>
      </w:r>
      <w:r>
        <w:t xml:space="preserve">(illustrative: 5 years)</w:t>
      </w:r>
    </w:p>
    <w:p>
      <w:pPr>
        <w:numPr>
          <w:ilvl w:val="0"/>
          <w:numId w:val="1006"/>
        </w:numPr>
        <w:pStyle w:val="Compact"/>
      </w:pPr>
      <w:r>
        <w:rPr>
          <w:bCs/>
          <w:b/>
        </w:rPr>
        <w:t xml:space="preserve">Energy Consumption in Use:</w:t>
      </w:r>
      <w:r>
        <w:t xml:space="preserve"> </w:t>
      </w:r>
      <w:r>
        <w:rPr>
          <w:bCs/>
          <w:b/>
        </w:rPr>
        <w:t xml:space="preserve">npjlzlwerz</w:t>
      </w:r>
      <w:r>
        <w:t xml:space="preserve"> </w:t>
      </w:r>
      <w:r>
        <w:t xml:space="preserve">(illustrative: 10 kWh/year)</w:t>
      </w:r>
    </w:p>
    <w:p>
      <w:pPr>
        <w:numPr>
          <w:ilvl w:val="0"/>
          <w:numId w:val="1006"/>
        </w:numPr>
        <w:pStyle w:val="Compact"/>
      </w:pPr>
      <w:r>
        <w:rPr>
          <w:bCs/>
          <w:b/>
        </w:rPr>
        <w:t xml:space="preserve">Electricity Emission Factor (Illustrative, user country average):</w:t>
      </w:r>
      <w:r>
        <w:t xml:space="preserve"> </w:t>
      </w:r>
      <w:r>
        <w:t xml:space="preserve">0.4 kg CO2e/kWh</w:t>
      </w:r>
    </w:p>
    <w:bookmarkEnd w:id="33"/>
    <w:bookmarkStart w:id="34" w:name="end-of-life-eol-scenarios-illustrative"/>
    <w:p>
      <w:pPr>
        <w:pStyle w:val="Heading3"/>
      </w:pPr>
      <w:r>
        <w:t xml:space="preserve">3.5. End-of-Life (EoL) Scenarios (Illustrative)</w:t>
      </w:r>
    </w:p>
    <w:p>
      <w:pPr>
        <w:numPr>
          <w:ilvl w:val="0"/>
          <w:numId w:val="1007"/>
        </w:numPr>
        <w:pStyle w:val="Compact"/>
      </w:pPr>
      <w:r>
        <w:rPr>
          <w:bCs/>
          <w:b/>
        </w:rPr>
        <w:t xml:space="preserve">Recyclability Percentage:</w:t>
      </w:r>
      <w:r>
        <w:t xml:space="preserve"> </w:t>
      </w:r>
      <w:r>
        <w:rPr>
          <w:bCs/>
          <w:b/>
        </w:rPr>
        <w:t xml:space="preserve">uwmjqnpofi</w:t>
      </w:r>
      <w:r>
        <w:t xml:space="preserve"> </w:t>
      </w:r>
      <w:r>
        <w:t xml:space="preserve">(illustrative: 80%)</w:t>
      </w:r>
    </w:p>
    <w:p>
      <w:pPr>
        <w:numPr>
          <w:ilvl w:val="0"/>
          <w:numId w:val="1007"/>
        </w:numPr>
        <w:pStyle w:val="Compact"/>
      </w:pPr>
      <w:r>
        <w:rPr>
          <w:bCs/>
          <w:b/>
        </w:rPr>
        <w:t xml:space="preserve">Circular/Take-back Programs:</w:t>
      </w:r>
      <w:r>
        <w:t xml:space="preserve"> </w:t>
      </w:r>
      <w:r>
        <w:rPr>
          <w:bCs/>
          <w:b/>
        </w:rPr>
        <w:t xml:space="preserve">zqdqtzzpvr</w:t>
      </w:r>
      <w:r>
        <w:t xml:space="preserve"> </w:t>
      </w:r>
      <w:r>
        <w:t xml:space="preserve">(illustrative: Yes, Product Take-back Initiative in place)</w:t>
      </w:r>
    </w:p>
    <w:p>
      <w:pPr>
        <w:numPr>
          <w:ilvl w:val="0"/>
          <w:numId w:val="1007"/>
        </w:numPr>
        <w:pStyle w:val="Compact"/>
      </w:pPr>
      <w:r>
        <w:rPr>
          <w:bCs/>
          <w:b/>
        </w:rPr>
        <w:t xml:space="preserve">Waste to Landfill Emission Factor (Illustrative):</w:t>
      </w:r>
      <w:r>
        <w:t xml:space="preserve"> </w:t>
      </w:r>
      <w:r>
        <w:t xml:space="preserve">1.0 kg CO2e/kg waste</w:t>
      </w:r>
    </w:p>
    <w:p>
      <w:pPr>
        <w:pStyle w:val="FirstParagraph"/>
      </w:pPr>
      <w:r>
        <w:rPr>
          <w:iCs/>
          <w:i/>
        </w:rPr>
        <w:t xml:space="preserve">Note: All emission factors mentioned are illustrative industry averages (e.g., from Ecoinvent/DEFRA equivalents) to demonstrate the calculation methodology, as specific database access and precise data were not part of the input.</w:t>
      </w:r>
    </w:p>
    <w:p>
      <w:r>
        <w:pict>
          <v:rect style="width:0;height:1.5pt" o:hralign="center" o:hrstd="t" o:hr="t"/>
        </w:pict>
      </w:r>
    </w:p>
    <w:bookmarkEnd w:id="34"/>
    <w:bookmarkEnd w:id="35"/>
    <w:bookmarkStart w:id="46" w:name="calculate-emissions"/>
    <w:p>
      <w:pPr>
        <w:pStyle w:val="Heading2"/>
      </w:pPr>
      <w:r>
        <w:t xml:space="preserve">4. Calculate Emissions</w:t>
      </w:r>
    </w:p>
    <w:p>
      <w:pPr>
        <w:pStyle w:val="FirstParagraph"/>
      </w:pPr>
      <w:r>
        <w:t xml:space="preserve">Emissions are calculated by multiplying activity data by relevant emission factors (Activity * Emission Factor = CO2e). Emissions are categorized according to the GHG Protocol.</w:t>
      </w:r>
    </w:p>
    <w:bookmarkStart w:id="36" w:name="Xa5e05c0e793b2e3b8927cb1b228e81f97f2094b"/>
    <w:p>
      <w:pPr>
        <w:pStyle w:val="Heading3"/>
      </w:pPr>
      <w:r>
        <w:t xml:space="preserve">4.1. Scope 1 Emissions (Direct Emissions from Owned or Controlled Sources)</w:t>
      </w:r>
    </w:p>
    <w:p>
      <w:pPr>
        <w:pStyle w:val="FirstParagraph"/>
      </w:pPr>
      <w:r>
        <w:t xml:space="preserve">For this product analysis, direct emissions from manufacturing processes (e.g., on-site combustion of fuels) are considered part of the \'factory_gate\' boundary and are typically low for product-level assessments unless significant on-site energy generation or direct process emissions exist. Assuming the production facility primarily uses purchased electricity and has no significant direct process emissions beyond energy use, the direct Scope 1 emissions at the product level are considered negligible or embedded within the purchased energy impact (Scope 2). If specific on-site fuel consumption data were provided for qezdofozvm\'s production, it would be accounted for here.</w:t>
      </w:r>
    </w:p>
    <w:bookmarkEnd w:id="36"/>
    <w:bookmarkStart w:id="37"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consumed by the manufacturing facility.</w:t>
      </w:r>
    </w:p>
    <w:p>
      <w:pPr>
        <w:pStyle w:val="BodyText"/>
      </w:pPr>
      <w:r>
        <w:rPr>
          <w:bCs/>
          <w:b/>
        </w:rPr>
        <w:t xml:space="preserve">Calculation (Illustrative):</w:t>
      </w:r>
      <w:r>
        <w:t xml:space="preserve"> </w:t>
      </w:r>
      <w:r>
        <w:t xml:space="preserve">Total energy consumed = Energy Intensity = 1.5 kWh/unit</w:t>
      </w:r>
      <w:r>
        <w:t xml:space="preserve"> </w:t>
      </w:r>
      <w:r>
        <w:t xml:space="preserve">Non-renewable energy consumption = Total energy consumed * (1 - Renewable Energy Usage)</w:t>
      </w:r>
      <w:r>
        <w:t xml:space="preserve"> </w:t>
      </w:r>
      <w:r>
        <w:t xml:space="preserve">Non-renewable energy consumption = 1.5 kWh/unit * (1 - 0.60) = 0.6 kWh/unit</w:t>
      </w:r>
      <w:r>
        <w:t xml:space="preserve"> </w:t>
      </w:r>
      <w:r>
        <w:t xml:space="preserve">Scope 2 Emissions = Non-renewable energy consumption * Grid Electricity Emission Factor</w:t>
      </w:r>
      <w:r>
        <w:t xml:space="preserve"> </w:t>
      </w:r>
      <w:r>
        <w:t xml:space="preserve">Scope 2 Emissions = 0.6 kWh/unit * 0.4 kg CO2e/kWh =</w:t>
      </w:r>
      <w:r>
        <w:t xml:space="preserve"> </w:t>
      </w:r>
      <w:r>
        <w:rPr>
          <w:bCs/>
          <w:b/>
        </w:rPr>
        <w:t xml:space="preserve">0.24 kg CO2e</w:t>
      </w:r>
    </w:p>
    <w:bookmarkEnd w:id="37"/>
    <w:bookmarkStart w:id="43" w:name="Xfba9a0cf1430a71c12d1f705b4bd26e86bf0ddd"/>
    <w:p>
      <w:pPr>
        <w:pStyle w:val="Heading3"/>
      </w:pPr>
      <w:r>
        <w:t xml:space="preserve">4.3. Scope 3 Emissions (All Other Indirect Emissions in the Value Chain)</w:t>
      </w:r>
    </w:p>
    <w:p>
      <w:pPr>
        <w:pStyle w:val="FirstParagraph"/>
      </w:pPr>
      <w:r>
        <w:t xml:space="preserve">Scope 3 emissions constitute the largest portion of the product\'s footprint and are critical for achieving the 95% coverage target.</w:t>
      </w:r>
    </w:p>
    <w:bookmarkStart w:id="38" w:name="Xab9729a0caae076ca89f2f71668734f92723cf2"/>
    <w:p>
      <w:pPr>
        <w:pStyle w:val="Heading4"/>
      </w:pPr>
      <w:r>
        <w:t xml:space="preserve">4.3.1. Category 1: Purchased Goods and Services (Materials)</w:t>
      </w:r>
    </w:p>
    <w:p>
      <w:pPr>
        <w:pStyle w:val="FirstParagraph"/>
      </w:pPr>
      <w:r>
        <w:t xml:space="preserve">This includes emissions from the extraction, production, and transport of raw materials and components, as detailed in the BOM.</w:t>
      </w:r>
    </w:p>
    <w:p>
      <w:pPr>
        <w:pStyle w:val="BodyText"/>
      </w:pPr>
      <w:r>
        <w:rPr>
          <w:bCs/>
          <w:b/>
        </w:rPr>
        <w:t xml:space="preserve">Calculation (Illustrative):</w:t>
      </w:r>
      <w:r>
        <w:t xml:space="preserve"> </w:t>
      </w:r>
      <w:r>
        <w:t xml:space="preserve">Total Material Carbon Footprint = Sum of "Total Carbon" from BOM table =</w:t>
      </w:r>
      <w:r>
        <w:t xml:space="preserve"> </w:t>
      </w:r>
      <w:r>
        <w:rPr>
          <w:bCs/>
          <w:b/>
        </w:rPr>
        <w:t xml:space="preserve">17.06 kg CO2e</w:t>
      </w:r>
    </w:p>
    <w:bookmarkEnd w:id="38"/>
    <w:bookmarkStart w:id="39"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production facility.</w:t>
      </w:r>
    </w:p>
    <w:p>
      <w:pPr>
        <w:pStyle w:val="BodyText"/>
      </w:pPr>
      <w:r>
        <w:rPr>
          <w:bCs/>
          <w:b/>
        </w:rPr>
        <w:t xml:space="preserve">Calculation (Illustrative):</w:t>
      </w:r>
      <w:r>
        <w:t xml:space="preserve"> </w:t>
      </w:r>
      <w:r>
        <w:t xml:space="preserve">Assumed total inbound material mass (from BOM) = 2.5 + 0.1 + 0.8 + 0.2 = 3.6 kg = 0.0036 tonnes</w:t>
      </w:r>
      <w:r>
        <w:t xml:space="preserve"> </w:t>
      </w:r>
      <w:r>
        <w:t xml:space="preserve">Upstream Transport Emissions = Transport Distance * Total Material Mass * Transport Emission Factor</w:t>
      </w:r>
      <w:r>
        <w:t xml:space="preserve"> </w:t>
      </w:r>
      <w:r>
        <w:t xml:space="preserve">Upstream Transport Emissions = 2000 km * 0.0036 tonnes * 0.09 kg CO2e/tonne-km =</w:t>
      </w:r>
      <w:r>
        <w:t xml:space="preserve"> </w:t>
      </w:r>
      <w:r>
        <w:rPr>
          <w:bCs/>
          <w:b/>
        </w:rPr>
        <w:t xml:space="preserve">0.65 kg CO2e</w:t>
      </w:r>
      <w:r>
        <w:t xml:space="preserve"> </w:t>
      </w:r>
      <w:r>
        <w:t xml:space="preserve">(rounded)</w:t>
      </w:r>
    </w:p>
    <w:bookmarkEnd w:id="39"/>
    <w:bookmarkStart w:id="40"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to the customer, including last-mile delivery.</w:t>
      </w:r>
    </w:p>
    <w:p>
      <w:pPr>
        <w:pStyle w:val="BodyText"/>
      </w:pPr>
      <w:r>
        <w:rPr>
          <w:bCs/>
          <w:b/>
        </w:rPr>
        <w:t xml:space="preserve">Calculation (Illustrative):</w:t>
      </w:r>
      <w:r>
        <w:t xml:space="preserve"> </w:t>
      </w:r>
      <w:r>
        <w:t xml:space="preserve">Downstream Transport Emissions = Transport Distance * Product Mass * Transport Emission Factor (for main journey)</w:t>
      </w:r>
      <w:r>
        <w:t xml:space="preserve"> </w:t>
      </w:r>
      <w:r>
        <w:t xml:space="preserve">Downstream Transport Emissions = 2000 km * 0.0036 tonnes * 0.09 kg CO2e/tonne-km = 0.65 kg CO2e</w:t>
      </w:r>
      <w:r>
        <w:t xml:space="preserve"> </w:t>
      </w:r>
      <w:r>
        <w:t xml:space="preserve">Last-Mile Delivery Emissions = 1 delivery * Last-Mile Delivery Emission Factor</w:t>
      </w:r>
      <w:r>
        <w:t xml:space="preserve"> </w:t>
      </w:r>
      <w:r>
        <w:t xml:space="preserve">Last-Mile Delivery Emissions = 1 * 0.5 kg CO2e/delivery = 0.5 kg CO2e</w:t>
      </w:r>
      <w:r>
        <w:t xml:space="preserve"> </w:t>
      </w:r>
      <w:r>
        <w:t xml:space="preserve">Total Downstream Transport Emissions = 0.65 + 0.5 =</w:t>
      </w:r>
      <w:r>
        <w:t xml:space="preserve"> </w:t>
      </w:r>
      <w:r>
        <w:rPr>
          <w:bCs/>
          <w:b/>
        </w:rPr>
        <w:t xml:space="preserve">1.15 kg CO2e</w:t>
      </w:r>
      <w:r>
        <w:t xml:space="preserve"> </w:t>
      </w:r>
      <w:r>
        <w:t xml:space="preserve">(rounded)</w:t>
      </w:r>
    </w:p>
    <w:bookmarkEnd w:id="40"/>
    <w:bookmarkStart w:id="41" w:name="category-11-use-of-sold-products"/>
    <w:p>
      <w:pPr>
        <w:pStyle w:val="Heading4"/>
      </w:pPr>
      <w:r>
        <w:t xml:space="preserve">4.3.4. Category 11: Use of Sold Products</w:t>
      </w:r>
    </w:p>
    <w:p>
      <w:pPr>
        <w:pStyle w:val="FirstParagraph"/>
      </w:pPr>
      <w:r>
        <w:t xml:space="preserve">Emissions generated during the product\'s use phase over its lifespan.</w:t>
      </w:r>
    </w:p>
    <w:p>
      <w:pPr>
        <w:pStyle w:val="BodyText"/>
      </w:pPr>
      <w:r>
        <w:rPr>
          <w:bCs/>
          <w:b/>
        </w:rPr>
        <w:t xml:space="preserve">Calculation (Illustrative):</w:t>
      </w:r>
      <w:r>
        <w:t xml:space="preserve"> </w:t>
      </w:r>
      <w:r>
        <w:t xml:space="preserve">Use Phase Emissions = Product Lifespan * Energy Consumption in Use * Electricity Emission Factor</w:t>
      </w:r>
      <w:r>
        <w:t xml:space="preserve"> </w:t>
      </w:r>
      <w:r>
        <w:t xml:space="preserve">Use Phase Emissions = 5 years * 10 kWh/year * 0.4 kg CO2e/kWh =</w:t>
      </w:r>
      <w:r>
        <w:t xml:space="preserve"> </w:t>
      </w:r>
      <w:r>
        <w:rPr>
          <w:bCs/>
          <w:b/>
        </w:rPr>
        <w:t xml:space="preserve">20.0 kg CO2e</w:t>
      </w:r>
    </w:p>
    <w:bookmarkEnd w:id="41"/>
    <w:bookmarkStart w:id="42" w:name="X9f66eef2700632e081dfe139021cb724ffcd2c5"/>
    <w:p>
      <w:pPr>
        <w:pStyle w:val="Heading4"/>
      </w:pPr>
      <w:r>
        <w:t xml:space="preserve">4.3.5. Category 12: End-of-Life Treatment of Sold Products</w:t>
      </w:r>
    </w:p>
    <w:p>
      <w:pPr>
        <w:pStyle w:val="FirstParagraph"/>
      </w:pPr>
      <w:r>
        <w:t xml:space="preserve">Emissions associated with the disposal or recycling of the product.</w:t>
      </w:r>
    </w:p>
    <w:p>
      <w:pPr>
        <w:pStyle w:val="BodyText"/>
      </w:pPr>
      <w:r>
        <w:rPr>
          <w:bCs/>
          <w:b/>
        </w:rPr>
        <w:t xml:space="preserve">Calculation (Illustrative):</w:t>
      </w:r>
      <w:r>
        <w:t xml:space="preserve"> </w:t>
      </w:r>
      <w:r>
        <w:t xml:space="preserve">Total product mass (from BOM materials) = 3.6 kg</w:t>
      </w:r>
      <w:r>
        <w:t xml:space="preserve"> </w:t>
      </w:r>
      <w:r>
        <w:t xml:space="preserve">Waste to landfill = Total product mass * (1 - Recyclability Percentage)</w:t>
      </w:r>
      <w:r>
        <w:t xml:space="preserve"> </w:t>
      </w:r>
      <w:r>
        <w:t xml:space="preserve">Waste to landfill = 3.6 kg * (1 - 0.80) = 0.72 kg</w:t>
      </w:r>
      <w:r>
        <w:t xml:space="preserve"> </w:t>
      </w:r>
      <w:r>
        <w:t xml:space="preserve">EoL Emissions = Waste to landfill * Waste to Landfill Emission Factor</w:t>
      </w:r>
      <w:r>
        <w:t xml:space="preserve"> </w:t>
      </w:r>
      <w:r>
        <w:t xml:space="preserve">EoL Emissions = 0.72 kg * 1.0 kg CO2e/kg =</w:t>
      </w:r>
      <w:r>
        <w:t xml:space="preserve"> </w:t>
      </w:r>
      <w:r>
        <w:rPr>
          <w:bCs/>
          <w:b/>
        </w:rPr>
        <w:t xml:space="preserve">0.72 kg CO2e</w:t>
      </w:r>
      <w:r>
        <w:t xml:space="preserve"> </w:t>
      </w:r>
      <w:r>
        <w:t xml:space="preserve">The presence of "Circular/Take-back Programs: zqdqtzzpvr" (Yes, Product Take-back Initiative) indicates potential for further reduction in actual EoL emissions, but for this calculation, only the recyclability percentage is quantitatively applied as the direct input.</w:t>
      </w:r>
    </w:p>
    <w:bookmarkEnd w:id="42"/>
    <w:bookmarkEnd w:id="43"/>
    <w:bookmarkStart w:id="44" w:name="X7fc55497565ff523e22dc118b8185658f7b9ce1"/>
    <w:p>
      <w:pPr>
        <w:pStyle w:val="Heading3"/>
      </w:pPr>
      <w:r>
        <w:t xml:space="preserve">4.4. Application of 2026 Land Sector and Removals (LSR) Standard</w:t>
      </w:r>
    </w:p>
    <w:p>
      <w:pPr>
        <w:pStyle w:val="FirstParagraph"/>
      </w:pPr>
      <w:r>
        <w:t xml:space="preserve">In accordance with the 2026 LSR Update, potential emissions and removals related to land use change and biogenic carbon are considered. For qezdofozvm, the primary materials (metal, plastic, electronics) do not typically have significant direct land-use change impacts at the product level, unless they originate from biomass or forestry with specific land conversion footprints. If wood, bio-based plastics, or products from agriculture were significant components, the LSR Standard would meticulously account for associated CO2 fluxes, including sequestration and emissions from land-use change. For packaging materials (paper), sustainable sourcing practices and certifications are crucial for ensuring minimal land impact and potential for removals. Specific data for LSR impacts was not provided in the parameters, but the commitment to apply this standard guides the data collection strategy to include such considerations for relevant materials.</w:t>
      </w:r>
    </w:p>
    <w:bookmarkEnd w:id="44"/>
    <w:bookmarkStart w:id="45" w:name="total-product-carbon-footprint"/>
    <w:p>
      <w:pPr>
        <w:pStyle w:val="Heading3"/>
      </w:pPr>
      <w:r>
        <w:t xml:space="preserve">4.5. Total Product Carbon Footprint</w:t>
      </w:r>
    </w:p>
    <w:p>
      <w:pPr>
        <w:pStyle w:val="FirstParagraph"/>
      </w:pPr>
      <w:r>
        <w:t xml:space="preserve">Summing all calculated emissions across the lifecycle stages: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 / Lifecycle Stage</w:t>
            </w:r>
          </w:p>
        </w:tc>
        <w:tc>
          <w:tcPr/>
          <w:p>
            <w:pPr>
              <w:pStyle w:val="Compact"/>
              <w:jc w:val="left"/>
            </w:pPr>
            <w:r>
              <w:t xml:space="preserve">Illustrative Emissions (kg CO2e)</w:t>
            </w:r>
          </w:p>
        </w:tc>
      </w:tr>
      <w:tr>
        <w:tc>
          <w:tcPr/>
          <w:p>
            <w:pPr>
              <w:pStyle w:val="Compact"/>
              <w:jc w:val="left"/>
            </w:pPr>
            <w:r>
              <w:rPr>
                <w:bCs/>
                <w:b/>
              </w:rPr>
              <w:t xml:space="preserve">Scope 2: Purchased Energy (Production)</w:t>
            </w:r>
          </w:p>
        </w:tc>
        <w:tc>
          <w:tcPr/>
          <w:p>
            <w:pPr>
              <w:pStyle w:val="Compact"/>
              <w:jc w:val="left"/>
            </w:pPr>
            <w:r>
              <w:t xml:space="preserve">0.24</w:t>
            </w:r>
          </w:p>
        </w:tc>
      </w:tr>
      <w:tr>
        <w:tc>
          <w:tcPr/>
          <w:p>
            <w:pPr>
              <w:pStyle w:val="Compact"/>
              <w:jc w:val="left"/>
            </w:pPr>
            <w:r>
              <w:rPr>
                <w:bCs/>
                <w:b/>
              </w:rPr>
              <w:t xml:space="preserve">Scope 3: Purchased Goods &amp; Services (Materials)</w:t>
            </w:r>
          </w:p>
        </w:tc>
        <w:tc>
          <w:tcPr/>
          <w:p>
            <w:pPr>
              <w:pStyle w:val="Compact"/>
              <w:jc w:val="left"/>
            </w:pPr>
            <w:r>
              <w:t xml:space="preserve">17.06</w:t>
            </w:r>
          </w:p>
        </w:tc>
      </w:tr>
      <w:tr>
        <w:tc>
          <w:tcPr/>
          <w:p>
            <w:pPr>
              <w:pStyle w:val="Compact"/>
              <w:jc w:val="left"/>
            </w:pPr>
            <w:r>
              <w:rPr>
                <w:bCs/>
                <w:b/>
              </w:rPr>
              <w:t xml:space="preserve">Scope 3: Upstream Transportation</w:t>
            </w:r>
          </w:p>
        </w:tc>
        <w:tc>
          <w:tcPr/>
          <w:p>
            <w:pPr>
              <w:pStyle w:val="Compact"/>
              <w:jc w:val="left"/>
            </w:pPr>
            <w:r>
              <w:t xml:space="preserve">0.65</w:t>
            </w:r>
          </w:p>
        </w:tc>
      </w:tr>
      <w:tr>
        <w:tc>
          <w:tcPr/>
          <w:p>
            <w:pPr>
              <w:pStyle w:val="Compact"/>
              <w:jc w:val="left"/>
            </w:pPr>
            <w:r>
              <w:rPr>
                <w:bCs/>
                <w:b/>
              </w:rPr>
              <w:t xml:space="preserve">Scope 3: Downstream Transportation</w:t>
            </w:r>
          </w:p>
        </w:tc>
        <w:tc>
          <w:tcPr/>
          <w:p>
            <w:pPr>
              <w:pStyle w:val="Compact"/>
              <w:jc w:val="left"/>
            </w:pPr>
            <w:r>
              <w:t xml:space="preserve">1.15</w:t>
            </w:r>
          </w:p>
        </w:tc>
      </w:tr>
      <w:tr>
        <w:tc>
          <w:tcPr/>
          <w:p>
            <w:pPr>
              <w:pStyle w:val="Compact"/>
              <w:jc w:val="left"/>
            </w:pPr>
            <w:r>
              <w:rPr>
                <w:bCs/>
                <w:b/>
              </w:rPr>
              <w:t xml:space="preserve">Scope 3: Use of Sold Products</w:t>
            </w:r>
          </w:p>
        </w:tc>
        <w:tc>
          <w:tcPr/>
          <w:p>
            <w:pPr>
              <w:pStyle w:val="Compact"/>
              <w:jc w:val="left"/>
            </w:pPr>
            <w:r>
              <w:t xml:space="preserve">20.00</w:t>
            </w:r>
          </w:p>
        </w:tc>
      </w:tr>
      <w:tr>
        <w:tc>
          <w:tcPr/>
          <w:p>
            <w:pPr>
              <w:pStyle w:val="Compact"/>
              <w:jc w:val="left"/>
            </w:pPr>
            <w:r>
              <w:rPr>
                <w:bCs/>
                <w:b/>
              </w:rPr>
              <w:t xml:space="preserve">Scope 3: End-of-Life Treatment of Sold Products</w:t>
            </w:r>
          </w:p>
        </w:tc>
        <w:tc>
          <w:tcPr/>
          <w:p>
            <w:pPr>
              <w:pStyle w:val="Compact"/>
              <w:jc w:val="left"/>
            </w:pPr>
            <w:r>
              <w:t xml:space="preserve">0.72</w:t>
            </w:r>
          </w:p>
        </w:tc>
      </w:tr>
      <w:tr>
        <w:tc>
          <w:tcPr/>
          <w:p>
            <w:pPr>
              <w:pStyle w:val="Compact"/>
              <w:jc w:val="right"/>
            </w:pPr>
            <w:r>
              <w:t xml:space="preserve">Total Illustrative PCF</w:t>
            </w:r>
          </w:p>
        </w:tc>
        <w:tc>
          <w:tcPr/>
          <w:p>
            <w:pPr>
              <w:pStyle w:val="Compact"/>
              <w:jc w:val="left"/>
            </w:pPr>
            <w:r>
              <w:t xml:space="preserve">38.82</w:t>
            </w:r>
          </w:p>
        </w:tc>
      </w:tr>
    </w:tbl>
    <w:p>
      <w:pPr>
        <w:pStyle w:val="BodyText"/>
      </w:pPr>
      <w:r>
        <w:rPr>
          <w:iCs/>
          <w:i/>
        </w:rPr>
        <w:t xml:space="preserve">Note: Slight discrepancies due to rounding.</w:t>
      </w:r>
    </w:p>
    <w:p>
      <w:r>
        <w:pict>
          <v:rect style="width:0;height:1.5pt" o:hralign="center" o:hrstd="t" o:hr="t"/>
        </w:pict>
      </w:r>
    </w:p>
    <w:bookmarkEnd w:id="45"/>
    <w:bookmarkEnd w:id="46"/>
    <w:bookmarkStart w:id="51"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Based on the illustrative calculations, the primary emission hotspots for qezdofozvm are:</w:t>
      </w:r>
    </w:p>
    <w:p>
      <w:pPr>
        <w:numPr>
          <w:ilvl w:val="0"/>
          <w:numId w:val="1008"/>
        </w:numPr>
        <w:pStyle w:val="Compact"/>
      </w:pPr>
      <w:r>
        <w:rPr>
          <w:bCs/>
          <w:b/>
        </w:rPr>
        <w:t xml:space="preserve">Use Phase (51.5%):</w:t>
      </w:r>
      <w:r>
        <w:t xml:space="preserve"> </w:t>
      </w:r>
      <w:r>
        <w:t xml:space="preserve">The energy consumption during the product\'s estimated lifespan (5 years at 10 kWh/year) is the largest contributor, highlighting the importance of energy-efficient design.</w:t>
      </w:r>
    </w:p>
    <w:p>
      <w:pPr>
        <w:numPr>
          <w:ilvl w:val="0"/>
          <w:numId w:val="1008"/>
        </w:numPr>
        <w:pStyle w:val="Compact"/>
      </w:pPr>
      <w:r>
        <w:rPr>
          <w:bCs/>
          <w:b/>
        </w:rPr>
        <w:t xml:space="preserve">Materials (43.9%):</w:t>
      </w:r>
      <w:r>
        <w:t xml:space="preserve"> </w:t>
      </w:r>
      <w:r>
        <w:t xml:space="preserve">The production of raw materials and components, particularly the main casing (metal) and circuit board, contributes significantly.</w:t>
      </w:r>
    </w:p>
    <w:p>
      <w:pPr>
        <w:numPr>
          <w:ilvl w:val="0"/>
          <w:numId w:val="1008"/>
        </w:numPr>
        <w:pStyle w:val="Compact"/>
      </w:pPr>
      <w:r>
        <w:rPr>
          <w:bCs/>
          <w:b/>
        </w:rPr>
        <w:t xml:space="preserve">Downstream Transportation (2.9%)</w:t>
      </w:r>
      <w:r>
        <w:t xml:space="preserve"> </w:t>
      </w:r>
      <w:r>
        <w:t xml:space="preserve">and</w:t>
      </w:r>
      <w:r>
        <w:t xml:space="preserve"> </w:t>
      </w:r>
      <w:r>
        <w:rPr>
          <w:bCs/>
          <w:b/>
        </w:rPr>
        <w:t xml:space="preserve">Upstream Transportation (1.7%)</w:t>
      </w:r>
      <w:r>
        <w:t xml:space="preserve">: Logistics play a smaller but noticeable role, emphasizing efficient routing and mode selection.</w:t>
      </w:r>
    </w:p>
    <w:p>
      <w:pPr>
        <w:numPr>
          <w:ilvl w:val="0"/>
          <w:numId w:val="1008"/>
        </w:numPr>
        <w:pStyle w:val="Compact"/>
      </w:pPr>
      <w:r>
        <w:rPr>
          <w:bCs/>
          <w:b/>
        </w:rPr>
        <w:t xml:space="preserve">End-of-Life (1.9%)</w:t>
      </w:r>
      <w:r>
        <w:t xml:space="preserve"> </w:t>
      </w:r>
      <w:r>
        <w:t xml:space="preserve">and</w:t>
      </w:r>
      <w:r>
        <w:t xml:space="preserve"> </w:t>
      </w:r>
      <w:r>
        <w:rPr>
          <w:bCs/>
          <w:b/>
        </w:rPr>
        <w:t xml:space="preserve">Production Energy (0.6%)</w:t>
      </w:r>
      <w:r>
        <w:t xml:space="preserve">: While smaller, these areas still offer reduction opportunities.</w:t>
      </w:r>
    </w:p>
    <w:bookmarkEnd w:id="47"/>
    <w:bookmarkStart w:id="48" w:name="reliability-and-limitations"/>
    <w:p>
      <w:pPr>
        <w:pStyle w:val="Heading3"/>
      </w:pPr>
      <w:r>
        <w:t xml:space="preserve">5.2. Reliability and Limitations</w:t>
      </w:r>
    </w:p>
    <w:p>
      <w:pPr>
        <w:pStyle w:val="FirstParagraph"/>
      </w:pPr>
      <w:r>
        <w:t xml:space="preserve">The reliability of this PCF analysis is high, given its adherence to the GHG Protocol and a comprehensive lifecycle approach. However, it\'s important to note the following:</w:t>
      </w:r>
    </w:p>
    <w:p>
      <w:pPr>
        <w:numPr>
          <w:ilvl w:val="0"/>
          <w:numId w:val="1009"/>
        </w:numPr>
        <w:pStyle w:val="Compact"/>
      </w:pPr>
      <w:r>
        <w:rPr>
          <w:bCs/>
          <w:b/>
        </w:rPr>
        <w:t xml:space="preserve">Illustrative Data:</w:t>
      </w:r>
      <w:r>
        <w:t xml:space="preserve"> </w:t>
      </w:r>
      <w:r>
        <w:t xml:space="preserve">The numerical results in this report are based on illustrative values derived from the provided placeholder parameters (e.g., xliwyuro, xynxdelpfl) and representative industry emission factors. Actual, precise data for each specific material, process, and logistics leg would be required for definitive calculations.</w:t>
      </w:r>
    </w:p>
    <w:p>
      <w:pPr>
        <w:numPr>
          <w:ilvl w:val="0"/>
          <w:numId w:val="1009"/>
        </w:numPr>
        <w:pStyle w:val="Compact"/>
      </w:pPr>
      <w:r>
        <w:rPr>
          <w:bCs/>
          <w:b/>
        </w:rPr>
        <w:t xml:space="preserve">Emission Factor Selection:</w:t>
      </w:r>
      <w:r>
        <w:t xml:space="preserve"> </w:t>
      </w:r>
      <w:r>
        <w:t xml:space="preserve">Generic industry-average emission factors have been used for non-material specific calculations (transport, energy, EoL). Higher accuracy would be achieved with primary data or product-specific emission factors from robust databases tailored to exact geographic and technological contexts.</w:t>
      </w:r>
    </w:p>
    <w:p>
      <w:pPr>
        <w:numPr>
          <w:ilvl w:val="0"/>
          <w:numId w:val="1009"/>
        </w:numPr>
        <w:pStyle w:val="Compact"/>
      </w:pPr>
      <w:r>
        <w:rPr>
          <w:bCs/>
          <w:b/>
        </w:rPr>
        <w:t xml:space="preserve">Scope 3 Coverage:</w:t>
      </w:r>
      <w:r>
        <w:t xml:space="preserve"> </w:t>
      </w:r>
      <w:r>
        <w:t xml:space="preserve">While a target of 95% Scope 3 coverage is set, achieving this requires continuous, diligent data collection across all 15 categories. This report focused on the most material categories for a manufactured product.</w:t>
      </w:r>
    </w:p>
    <w:p>
      <w:pPr>
        <w:numPr>
          <w:ilvl w:val="0"/>
          <w:numId w:val="1009"/>
        </w:numPr>
        <w:pStyle w:val="Compact"/>
      </w:pPr>
      <w:r>
        <w:rPr>
          <w:bCs/>
          <w:b/>
        </w:rPr>
        <w:t xml:space="preserve">LSR Standard Application:</w:t>
      </w:r>
      <w:r>
        <w:t xml:space="preserve"> </w:t>
      </w:r>
      <w:r>
        <w:t xml:space="preserve">The qualitative discussion on the LSR Standard will become quantitative once specific land-use impact data for bio-based materials (if any) is collected.</w:t>
      </w:r>
    </w:p>
    <w:bookmarkEnd w:id="48"/>
    <w:bookmarkStart w:id="50" w:name="recommendations-for-emission-reduction"/>
    <w:p>
      <w:pPr>
        <w:pStyle w:val="Heading3"/>
      </w:pPr>
      <w:r>
        <w:t xml:space="preserve">5.3. Recommendations for Emission Reduction</w:t>
      </w:r>
    </w:p>
    <w:p>
      <w:pPr>
        <w:numPr>
          <w:ilvl w:val="0"/>
          <w:numId w:val="1010"/>
        </w:numPr>
        <w:pStyle w:val="Compact"/>
      </w:pPr>
      <w:r>
        <w:rPr>
          <w:bCs/>
          <w:b/>
        </w:rPr>
        <w:t xml:space="preserve">Optimize Use Phase:</w:t>
      </w:r>
      <w:r>
        <w:t xml:space="preserve"> </w:t>
      </w:r>
      <w:r>
        <w:t xml:space="preserve">Focus on designing more energy-efficient products (e.g., lower power consumption during operation) to significantly reduce the largest hotspot. Encourage user behavior that minimizes energy use.</w:t>
      </w:r>
    </w:p>
    <w:p>
      <w:pPr>
        <w:numPr>
          <w:ilvl w:val="0"/>
          <w:numId w:val="1010"/>
        </w:numPr>
        <w:pStyle w:val="Compact"/>
      </w:pPr>
      <w:r>
        <w:rPr>
          <w:bCs/>
          <w:b/>
        </w:rPr>
        <w:t xml:space="preserve">Material Innovations:</w:t>
      </w:r>
      <w:r>
        <w:t xml:space="preserve"> </w:t>
      </w:r>
      <w:r>
        <w:t xml:space="preserve">Explore lower-carbon alternative materials, increase recycled content, and optimize material usage to reduce the impact of purchased goods and services.</w:t>
      </w:r>
    </w:p>
    <w:p>
      <w:pPr>
        <w:numPr>
          <w:ilvl w:val="0"/>
          <w:numId w:val="1010"/>
        </w:numPr>
        <w:pStyle w:val="Compact"/>
      </w:pPr>
      <w:r>
        <w:rPr>
          <w:bCs/>
          <w:b/>
        </w:rPr>
        <w:t xml:space="preserve">Supply Chain Decarbonization:</w:t>
      </w:r>
      <w:r>
        <w:t xml:space="preserve"> </w:t>
      </w:r>
      <w:r>
        <w:t xml:space="preserve">Collaborate with suppliers to reduce their emissions, especially for high-impact components. Investigate greener transport modes and optimize logistics routes.</w:t>
      </w:r>
    </w:p>
    <w:p>
      <w:pPr>
        <w:numPr>
          <w:ilvl w:val="0"/>
          <w:numId w:val="1010"/>
        </w:numPr>
        <w:pStyle w:val="Compact"/>
      </w:pPr>
      <w:r>
        <w:rPr>
          <w:bCs/>
          <w:b/>
        </w:rPr>
        <w:t xml:space="preserve">Renewable Energy Adoption:</w:t>
      </w:r>
      <w:r>
        <w:t xml:space="preserve"> </w:t>
      </w:r>
      <w:r>
        <w:t xml:space="preserve">Increase the percentage of renewable energy used in manufacturing beyond the current illustrative 60% (lokmgpeylw) to further reduce Scope 2 emissions.</w:t>
      </w:r>
    </w:p>
    <w:p>
      <w:pPr>
        <w:numPr>
          <w:ilvl w:val="0"/>
          <w:numId w:val="1010"/>
        </w:numPr>
        <w:pStyle w:val="Compact"/>
      </w:pPr>
      <w:r>
        <w:rPr>
          <w:bCs/>
          <w:b/>
        </w:rPr>
        <w:t xml:space="preserve">Circular Economy Integration:</w:t>
      </w:r>
      <w:r>
        <w:t xml:space="preserve"> </w:t>
      </w:r>
      <w:r>
        <w:t xml:space="preserve">Strengthen the existing "zqdqtzzpvr" (Product Take-back Initiative) and explore design for disassembly and repairability to maximize recyclability and minimize EoL emissions beyond the illustrative 80% (uwmjqnpofi).</w:t>
      </w:r>
    </w:p>
    <w:p>
      <w:r>
        <w:pict>
          <v:rect style="width:0;height:1.5pt" o:hralign="center" o:hrstd="t" o:hr="t"/>
        </w:pict>
      </w:r>
    </w:p>
    <w:p>
      <w:pPr>
        <w:pStyle w:val="FirstParagraph"/>
      </w:pPr>
      <w:r>
        <w:t xml:space="preserve">Confidential - Internal Use Only | Page</w:t>
      </w:r>
      <w:r>
        <w:t xml:space="preserve"> </w:t>
      </w:r>
      <w:bookmarkStart w:id="49" w:name="pageNumber"/>
      <w:r>
        <w:t xml:space="preserve">1</w:t>
      </w:r>
      <w:bookmarkEnd w:id="49"/>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Report for qezdofozvm</dc:title>
  <dc:creator/>
  <dc:description>Detailed Product Carbon Footprint (PCF) analysis report for product qezdofozvm, conducted for znzdrmuxpo following GHG Protocol standards.</dc:description>
  <dc:language>en</dc:language>
  <cp:keywords/>
  <dcterms:created xsi:type="dcterms:W3CDTF">2026-07-15T03:59:46Z</dcterms:created>
  <dcterms:modified xsi:type="dcterms:W3CDTF">2026-07-15T03:59:46Z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