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mxpfklnhed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mxpfklnhed</w:t>
      </w:r>
    </w:p>
    <w:p>
      <w:pPr>
        <w:pStyle w:val="BodyText"/>
      </w:pPr>
      <w:r>
        <w:rPr>
          <w:bCs/>
          <w:b/>
        </w:rPr>
        <w:t xml:space="preserve">Company:</w:t>
      </w:r>
      <w:r>
        <w:t xml:space="preserve"> </w:t>
      </w:r>
      <w:r>
        <w:t xml:space="preserve">trzmhidojz</w:t>
      </w:r>
    </w:p>
    <w:p>
      <w:pPr>
        <w:pStyle w:val="BodyText"/>
      </w:pPr>
      <w:r>
        <w:rPr>
          <w:bCs/>
          <w:b/>
        </w:rPr>
        <w:t xml:space="preserve">Senior Sustainability Consultant:</w:t>
      </w:r>
      <w:r>
        <w:t xml:space="preserve"> </w:t>
      </w:r>
      <w:r>
        <w:t xml:space="preserve">txpodulsfy</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actual emissions may vary depending on specific operational conditions and data availability.</w:t>
      </w:r>
    </w:p>
    <w:bookmarkEnd w:id="20"/>
    <w:bookmarkStart w:id="21" w:name="X6f51fff305fbb499c5872a76e505350efb865e6"/>
    <w:p>
      <w:pPr>
        <w:pStyle w:val="Heading1"/>
      </w:pPr>
      <w:r>
        <w:t xml:space="preserve">Product Carbon Footprint (PCF) Report for mxpfklnhed</w:t>
      </w:r>
    </w:p>
    <w:p>
      <w:pPr>
        <w:pStyle w:val="FirstParagraph"/>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mxpfklnhed, manufactured by trzmhidojz. The analysis adheres strictly to the GHG Protocol standards, incorporating the latest 2026 Land Sector and Removals (LSR) update and ensuring comprehensive Scope 3 coverage. Conducted by Senior Sustainability Consultant txpodulsfy, this assessment covers the product\'s lifecycle from material extraction to end-of-life, with a specific focus on the supply chain from Europe to the final production country in China. The aim is to identify key emission hotspots and provide actionable insights for decarbonization efforts. Illustrative numerical values have been used for emission factors and quantitative parameters where specific values were not provided, to demonstrate the methodology effectively.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this PCF analysis for mxpfklnhed is to clearly define the scope of the assessment.</w:t>
      </w:r>
    </w:p>
    <w:p>
      <w:pPr>
        <w:numPr>
          <w:ilvl w:val="0"/>
          <w:numId w:val="1001"/>
        </w:numPr>
        <w:pStyle w:val="Compact"/>
      </w:pPr>
      <w:r>
        <w:rPr>
          <w:bCs/>
          <w:b/>
        </w:rPr>
        <w:t xml:space="preserve">Functional Unit:</w:t>
      </w:r>
      <w:r>
        <w:t xml:space="preserve"> </w:t>
      </w:r>
      <w:r>
        <w:t xml:space="preserve">1.0 unit of mxpfklnhed.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boundary encompasses all processes from raw material acquisition and pre-processing, through manufacturing, up to the point the finished product leaves the factory gate. For this report, specific data for transport to the customer, use phase, and end-of-life are also included to provide a holistic view beyond the strict \'factory_gate\' definition, in line with GHG Protocol\'s comprehensive approach to product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raw materials and components are sourced from Europe and transported to China for final assembly.</w:t>
      </w:r>
    </w:p>
    <w:p>
      <w:pPr>
        <w:numPr>
          <w:ilvl w:val="0"/>
          <w:numId w:val="1001"/>
        </w:numPr>
        <w:pStyle w:val="Compact"/>
      </w:pPr>
      <w:r>
        <w:rPr>
          <w:bCs/>
          <w:b/>
        </w:rPr>
        <w:t xml:space="preserve">Allocation:</w:t>
      </w:r>
      <w:r>
        <w:t xml:space="preserve"> </w:t>
      </w:r>
      <w:r>
        <w:t xml:space="preserve">Where co-products or by-products occur, allocation will be based on physical properties (e.g., mass) or economic value, following GHG Protocol guidance. For this analysis, direct attribution is prioritized where possible.</w:t>
      </w:r>
    </w:p>
    <w:p>
      <w:pPr>
        <w:numPr>
          <w:ilvl w:val="0"/>
          <w:numId w:val="1001"/>
        </w:numPr>
        <w:pStyle w:val="Compact"/>
      </w:pPr>
      <w:r>
        <w:rPr>
          <w:bCs/>
          <w:b/>
        </w:rPr>
        <w:t xml:space="preserve">Accounting Standard:</w:t>
      </w:r>
      <w:r>
        <w:t xml:space="preserve"> </w:t>
      </w:r>
      <w:r>
        <w:t xml:space="preserve">This Product Carbon Footprint analysis strictly adheres to the GHG Protocol Product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2026 LSR Update:</w:t>
      </w:r>
      <w:r>
        <w:t xml:space="preserve"> </w:t>
      </w:r>
      <w:r>
        <w:t xml:space="preserve">The Land Sector and Removals (LSR) Standard has been applied to account for any land-use change emissions or carbon removals associated with the product\'s lifecycle, particularly relevant for bio-based materials or any direct land-use impacts.</w:t>
      </w:r>
    </w:p>
    <w:p>
      <w:pPr>
        <w:numPr>
          <w:ilvl w:val="0"/>
          <w:numId w:val="1001"/>
        </w:numPr>
        <w:pStyle w:val="Compact"/>
      </w:pPr>
      <w:r>
        <w:rPr>
          <w:bCs/>
          <w:b/>
        </w:rPr>
        <w:t xml:space="preserve">Scope 3 Compliance:</w:t>
      </w:r>
      <w:r>
        <w:t xml:space="preserve"> </w:t>
      </w:r>
      <w:r>
        <w:t xml:space="preserve">A rigorous effort has been made to ensure at least 95% coverage for Scope 3 reporting, in line with the ambitious 2026 requirements, to provide a comprehensive view of value chain emissions.</w:t>
      </w:r>
    </w:p>
    <w:p>
      <w:r>
        <w:pict>
          <v:rect style="width:0;height:1.5pt" o:hralign="center" o:hrstd="t" o:hr="t"/>
        </w:pict>
      </w:r>
    </w:p>
    <w:bookmarkEnd w:id="23"/>
    <w:bookmarkStart w:id="30"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for mxpfklnhed and the data collected for each, including a breakdown of materials and energy inputs. Given that the provided BOM `dnexwggi` is a string, illustrative data following the specified format has been generated to demonstrate the calculation methodology. Similarly, specific logistical and energy parameters are used as provided by the user.</w:t>
      </w:r>
    </w:p>
    <w:bookmarkStart w:id="25" w:name="X1198c8af25dd1a2ebffa686809674f976343a37"/>
    <w:p>
      <w:pPr>
        <w:pStyle w:val="Heading3"/>
      </w:pPr>
      <w:r>
        <w:t xml:space="preserve">2.1. Material Acquisition &amp; Pre-processing (Scope 3 - Upstream)</w:t>
      </w:r>
    </w:p>
    <w:p>
      <w:pPr>
        <w:pStyle w:val="FirstParagraph"/>
      </w:pPr>
      <w:r>
        <w:t xml:space="preserve">This stage includes the extraction, processing, and manufacturing of all raw materials and components used in mxpfklnhed.</w:t>
      </w:r>
    </w:p>
    <w:bookmarkStart w:id="24" w:name="X1af05919f7c17cebbc56c541a22f866a9b6b1b0"/>
    <w:p>
      <w:pPr>
        <w:pStyle w:val="Heading4"/>
      </w:pPr>
      <w:r>
        <w:t xml:space="preserve">Detailed Bill of Materials (BOM) for mxpfklnhed (Based on dnexwggi format)</w:t>
      </w:r>
    </w:p>
    <w:p>
      <w:pPr>
        <w:pStyle w:val="FirstParagraph"/>
      </w:pPr>
      <w:r>
        <w:t xml:space="preserve">The following table presents the illustrative Bill of Materials (BOM) used for calculating the embodied emissions of mxpfklnhed. Emission factors are representative industry values (e.g., from Ecoinvent/DEFRA) for demonstration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C001</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B001</w:t>
            </w:r>
          </w:p>
        </w:tc>
        <w:tc>
          <w:tcPr/>
          <w:p>
            <w:pPr>
              <w:pStyle w:val="Compact"/>
              <w:jc w:val="left"/>
            </w:pPr>
            <w:r>
              <w:t xml:space="preserve">Internal Battery</w:t>
            </w:r>
          </w:p>
        </w:tc>
        <w:tc>
          <w:tcPr/>
          <w:p>
            <w:pPr>
              <w:pStyle w:val="Compact"/>
              <w:jc w:val="left"/>
            </w:pPr>
            <w:r>
              <w:t xml:space="preserve">Component</w:t>
            </w:r>
          </w:p>
        </w:tc>
        <w:tc>
          <w:tcPr/>
          <w:p>
            <w:pPr>
              <w:pStyle w:val="Compact"/>
              <w:jc w:val="left"/>
            </w:pPr>
            <w:r>
              <w:t xml:space="preserve">Cell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bl>
    <w:bookmarkEnd w:id="24"/>
    <w:bookmarkEnd w:id="25"/>
    <w:bookmarkStart w:id="26" w:name="manufacturing-production-scope-1-scope-2"/>
    <w:p>
      <w:pPr>
        <w:pStyle w:val="Heading3"/>
      </w:pPr>
      <w:r>
        <w:t xml:space="preserve">2.2. Manufacturing / Production (Scope 1 &amp; Scope 2)</w:t>
      </w:r>
    </w:p>
    <w:p>
      <w:pPr>
        <w:pStyle w:val="FirstParagraph"/>
      </w:pPr>
      <w:r>
        <w:t xml:space="preserve">This stage covers the energy consumption and direct emissions during the assembly and production of mxpfklnhed in the final production country, China.</w:t>
      </w:r>
    </w:p>
    <w:p>
      <w:pPr>
        <w:numPr>
          <w:ilvl w:val="0"/>
          <w:numId w:val="1003"/>
        </w:numPr>
        <w:pStyle w:val="Compact"/>
      </w:pPr>
      <w:r>
        <w:rPr>
          <w:bCs/>
          <w:b/>
        </w:rPr>
        <w:t xml:space="preserve">Energy Intensity (kWh/unit):</w:t>
      </w:r>
      <w:r>
        <w:t xml:space="preserve"> </w:t>
      </w:r>
      <w:r>
        <w:t xml:space="preserve">ojuojqtdgv</w:t>
      </w:r>
    </w:p>
    <w:p>
      <w:pPr>
        <w:numPr>
          <w:ilvl w:val="0"/>
          <w:numId w:val="1003"/>
        </w:numPr>
        <w:pStyle w:val="Compact"/>
      </w:pPr>
      <w:r>
        <w:rPr>
          <w:bCs/>
          <w:b/>
        </w:rPr>
        <w:t xml:space="preserve">Renewable Energy Usage:</w:t>
      </w:r>
      <w:r>
        <w:t xml:space="preserve"> </w:t>
      </w:r>
      <w:r>
        <w:t xml:space="preserve">ekxdpmymyf (This percentage will be applied to reduce Scope 2 emissions.)</w:t>
      </w:r>
    </w:p>
    <w:p>
      <w:pPr>
        <w:numPr>
          <w:ilvl w:val="0"/>
          <w:numId w:val="1003"/>
        </w:numPr>
        <w:pStyle w:val="Compact"/>
      </w:pPr>
      <w:r>
        <w:rPr>
          <w:bCs/>
          <w:b/>
        </w:rPr>
        <w:t xml:space="preserve">Production Facility Location:</w:t>
      </w:r>
      <w:r>
        <w:t xml:space="preserve"> </w:t>
      </w:r>
      <w:r>
        <w:t xml:space="preserve">China</w:t>
      </w:r>
    </w:p>
    <w:bookmarkEnd w:id="26"/>
    <w:bookmarkStart w:id="27" w:name="Xc78fa9e95fdc5a4841e5055035e97eb6a5c3c11"/>
    <w:p>
      <w:pPr>
        <w:pStyle w:val="Heading3"/>
      </w:pPr>
      <w:r>
        <w:t xml:space="preserve">2.3. Transport &amp; Distribution (Scope 3 - Upstream &amp; Downstream)</w:t>
      </w:r>
    </w:p>
    <w:p>
      <w:pPr>
        <w:pStyle w:val="FirstParagraph"/>
      </w:pPr>
      <w:r>
        <w:t xml:space="preserve">This covers the transportation of materials and components from Europe to China (upstream) and the distribution of the finished product.</w:t>
      </w:r>
    </w:p>
    <w:p>
      <w:pPr>
        <w:numPr>
          <w:ilvl w:val="0"/>
          <w:numId w:val="1004"/>
        </w:numPr>
        <w:pStyle w:val="Compact"/>
      </w:pPr>
      <w:r>
        <w:rPr>
          <w:bCs/>
          <w:b/>
        </w:rPr>
        <w:t xml:space="preserve">Transport Mode (from Europe to China):</w:t>
      </w:r>
      <w:r>
        <w:t xml:space="preserve"> </w:t>
      </w:r>
      <w:r>
        <w:t xml:space="preserve">Select Mode (Illustrative: Road Freight (HGV &gt; 16t))</w:t>
      </w:r>
    </w:p>
    <w:p>
      <w:pPr>
        <w:numPr>
          <w:ilvl w:val="0"/>
          <w:numId w:val="1004"/>
        </w:numPr>
        <w:pStyle w:val="Compact"/>
      </w:pPr>
      <w:r>
        <w:rPr>
          <w:bCs/>
          <w:b/>
        </w:rPr>
        <w:t xml:space="preserve">Transport Distance (Europe to China):</w:t>
      </w:r>
      <w:r>
        <w:t xml:space="preserve"> </w:t>
      </w:r>
      <w:r>
        <w:t xml:space="preserve">rxpymoxpvf (Illustrative: 5000 km)</w:t>
      </w:r>
    </w:p>
    <w:p>
      <w:pPr>
        <w:numPr>
          <w:ilvl w:val="0"/>
          <w:numId w:val="1004"/>
        </w:numPr>
        <w:pStyle w:val="Compact"/>
      </w:pPr>
      <w:r>
        <w:rPr>
          <w:bCs/>
          <w:b/>
        </w:rPr>
        <w:t xml:space="preserve">Last-Mile Delivery Channel:</w:t>
      </w:r>
      <w:r>
        <w:t xml:space="preserve"> </w:t>
      </w:r>
      <w:r>
        <w:t xml:space="preserve">Delivery Type (Illustrative: Parcel Post)</w:t>
      </w:r>
    </w:p>
    <w:bookmarkEnd w:id="27"/>
    <w:bookmarkStart w:id="28" w:name="use-phase-scope-3---downstream"/>
    <w:p>
      <w:pPr>
        <w:pStyle w:val="Heading3"/>
      </w:pPr>
      <w:r>
        <w:t xml:space="preserve">2.4. Use Phase (Scope 3 - Downstream)</w:t>
      </w:r>
    </w:p>
    <w:p>
      <w:pPr>
        <w:pStyle w:val="FirstParagraph"/>
      </w:pPr>
      <w:r>
        <w:t xml:space="preserve">This stage accounts for the energy consumed by the product during its lifespan.</w:t>
      </w:r>
    </w:p>
    <w:p>
      <w:pPr>
        <w:numPr>
          <w:ilvl w:val="0"/>
          <w:numId w:val="1005"/>
        </w:numPr>
        <w:pStyle w:val="Compact"/>
      </w:pPr>
      <w:r>
        <w:rPr>
          <w:bCs/>
          <w:b/>
        </w:rPr>
        <w:t xml:space="preserve">Product Lifespan:</w:t>
      </w:r>
      <w:r>
        <w:t xml:space="preserve"> </w:t>
      </w:r>
      <w:r>
        <w:t xml:space="preserve">jzdvmqmqvw</w:t>
      </w:r>
    </w:p>
    <w:p>
      <w:pPr>
        <w:numPr>
          <w:ilvl w:val="0"/>
          <w:numId w:val="1005"/>
        </w:numPr>
        <w:pStyle w:val="Compact"/>
      </w:pPr>
      <w:r>
        <w:rPr>
          <w:bCs/>
          <w:b/>
        </w:rPr>
        <w:t xml:space="preserve">Energy Consumption in Use:</w:t>
      </w:r>
      <w:r>
        <w:t xml:space="preserve"> </w:t>
      </w:r>
      <w:r>
        <w:t xml:space="preserve">wkhykvvfuy (e.g., kWh/year)</w:t>
      </w:r>
    </w:p>
    <w:bookmarkEnd w:id="28"/>
    <w:bookmarkStart w:id="29" w:name="end-of-life-eol-scope-3---downstream"/>
    <w:p>
      <w:pPr>
        <w:pStyle w:val="Heading3"/>
      </w:pPr>
      <w:r>
        <w:t xml:space="preserve">2.5. End-of-Life (EoL) (Scope 3 - Downstream)</w:t>
      </w:r>
    </w:p>
    <w:p>
      <w:pPr>
        <w:pStyle w:val="FirstParagraph"/>
      </w:pPr>
      <w:r>
        <w:t xml:space="preserve">This stage considers the disposal, recycling, or recovery of the product at the end of its useful life.</w:t>
      </w:r>
    </w:p>
    <w:p>
      <w:pPr>
        <w:numPr>
          <w:ilvl w:val="0"/>
          <w:numId w:val="1006"/>
        </w:numPr>
        <w:pStyle w:val="Compact"/>
      </w:pPr>
      <w:r>
        <w:rPr>
          <w:bCs/>
          <w:b/>
        </w:rPr>
        <w:t xml:space="preserve">Recyclability Percentage:</w:t>
      </w:r>
      <w:r>
        <w:t xml:space="preserve"> </w:t>
      </w:r>
      <w:r>
        <w:t xml:space="preserve">idlvjdtehv</w:t>
      </w:r>
    </w:p>
    <w:p>
      <w:pPr>
        <w:numPr>
          <w:ilvl w:val="0"/>
          <w:numId w:val="1006"/>
        </w:numPr>
        <w:pStyle w:val="Compact"/>
      </w:pPr>
      <w:r>
        <w:rPr>
          <w:bCs/>
          <w:b/>
        </w:rPr>
        <w:t xml:space="preserve">Circular/Take-back Programs:</w:t>
      </w:r>
      <w:r>
        <w:t xml:space="preserve"> </w:t>
      </w:r>
      <w:r>
        <w:t xml:space="preserve">nekuwwgjgf (e.g., "Yes, partner take-back scheme")</w:t>
      </w:r>
    </w:p>
    <w:p>
      <w:r>
        <w:pict>
          <v:rect style="width:0;height:1.5pt" o:hralign="center" o:hrstd="t" o:hr="t"/>
        </w:pict>
      </w:r>
    </w:p>
    <w:bookmarkEnd w:id="29"/>
    <w:bookmarkEnd w:id="30"/>
    <w:bookmarkStart w:id="38"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by multiplying activity data (e.g., material quantity, energy consumption, transport distance) by appropriate emission factors. Illustrative emission factors are used for demonstration. All emissions are reported in kgCO2e.</w:t>
      </w:r>
    </w:p>
    <w:bookmarkStart w:id="31" w:name="Xf865223417d50a962e2427e5abf8e68800c0c45"/>
    <w:p>
      <w:pPr>
        <w:pStyle w:val="Heading3"/>
      </w:pPr>
      <w:r>
        <w:t xml:space="preserve">4.1. Scope 1 Emissions (Direct Emissions from trzmhidojz Operations)</w:t>
      </w:r>
    </w:p>
    <w:p>
      <w:pPr>
        <w:pStyle w:val="FirstParagraph"/>
      </w:pPr>
      <w:r>
        <w:t xml:space="preserve">Assuming the manufacturing facility in China has no direct combustion (e.g., owned vehicles, boilers) on-site or that these are negligible for the product boundary. If direct emissions existed, they would be calculated here.</w:t>
      </w:r>
    </w:p>
    <w:p>
      <w:pPr>
        <w:numPr>
          <w:ilvl w:val="0"/>
          <w:numId w:val="1007"/>
        </w:numPr>
        <w:pStyle w:val="Compact"/>
      </w:pPr>
      <w:r>
        <w:rPr>
          <w:bCs/>
          <w:b/>
        </w:rPr>
        <w:t xml:space="preserve">Direct Combustion:</w:t>
      </w:r>
      <w:r>
        <w:t xml:space="preserve"> </w:t>
      </w:r>
      <w:r>
        <w:t xml:space="preserve">0.0 kgCO2e (Illustrative: Assuming no direct combustion sources within the factory_gate boundary for mxpfklnhed\'s production, or accounted for in Scope 2 if purchased heat/steam).</w:t>
      </w:r>
    </w:p>
    <w:p>
      <w:pPr>
        <w:numPr>
          <w:ilvl w:val="0"/>
          <w:numId w:val="1007"/>
        </w:numPr>
        <w:pStyle w:val="Compact"/>
      </w:pPr>
      <w:r>
        <w:rPr>
          <w:bCs/>
          <w:b/>
        </w:rPr>
        <w:t xml:space="preserve">Process Emissions:</w:t>
      </w:r>
      <w:r>
        <w:t xml:space="preserve"> </w:t>
      </w:r>
      <w:r>
        <w:t xml:space="preserve">0.0 kgCO2e (Illustrative: Assuming no specific chemical reactions or industrial processes directly emitting GHGs during production for mxpfklnhed).</w:t>
      </w:r>
    </w:p>
    <w:p>
      <w:pPr>
        <w:pStyle w:val="FirstParagraph"/>
      </w:pPr>
      <w:r>
        <w:rPr>
          <w:bCs/>
          <w:b/>
        </w:rPr>
        <w:t xml:space="preserve">Total Scope 1 Emissions: 0.0 kgCO2e/unit</w:t>
      </w:r>
    </w:p>
    <w:bookmarkEnd w:id="31"/>
    <w:bookmarkStart w:id="32" w:name="X74867a7b2c16b8de440578aa3f6074c77be2239"/>
    <w:p>
      <w:pPr>
        <w:pStyle w:val="Heading3"/>
      </w:pPr>
      <w:r>
        <w:t xml:space="preserve">4.2. Scope 2 Emissions (Purchased Electricity for Manufacturing)</w:t>
      </w:r>
    </w:p>
    <w:p>
      <w:pPr>
        <w:pStyle w:val="FirstParagraph"/>
      </w:pPr>
      <w:r>
        <w:t xml:space="preserve">Emissions from purchased electricity for the manufacturing of mxpfklnhed in China.</w:t>
      </w:r>
    </w:p>
    <w:p>
      <w:pPr>
        <w:numPr>
          <w:ilvl w:val="0"/>
          <w:numId w:val="1008"/>
        </w:numPr>
        <w:pStyle w:val="Compact"/>
      </w:pPr>
      <w:r>
        <w:rPr>
          <w:bCs/>
          <w:b/>
        </w:rPr>
        <w:t xml:space="preserve">Energy Intensity:</w:t>
      </w:r>
      <w:r>
        <w:t xml:space="preserve"> </w:t>
      </w:r>
      <w:r>
        <w:t xml:space="preserve">ojuojqtdgv kWh/unit</w:t>
      </w:r>
    </w:p>
    <w:p>
      <w:pPr>
        <w:numPr>
          <w:ilvl w:val="0"/>
          <w:numId w:val="1008"/>
        </w:numPr>
        <w:pStyle w:val="Compact"/>
      </w:pPr>
      <w:r>
        <w:rPr>
          <w:bCs/>
          <w:b/>
        </w:rPr>
        <w:t xml:space="preserve">Renewable Energy Usage:</w:t>
      </w:r>
      <w:r>
        <w:t xml:space="preserve"> </w:t>
      </w:r>
      <w:r>
        <w:t xml:space="preserve">ekxdpmymyf</w:t>
      </w:r>
    </w:p>
    <w:p>
      <w:pPr>
        <w:numPr>
          <w:ilvl w:val="0"/>
          <w:numId w:val="1008"/>
        </w:numPr>
        <w:pStyle w:val="Compact"/>
      </w:pPr>
      <w:r>
        <w:rPr>
          <w:bCs/>
          <w:b/>
        </w:rPr>
        <w:t xml:space="preserve">Grid Emission Factor (China):</w:t>
      </w:r>
      <w:r>
        <w:t xml:space="preserve"> </w:t>
      </w:r>
      <w:r>
        <w:t xml:space="preserve">0.57 kgCO2e/kWh (Illustrative, based on average Chinese grid mix)</w:t>
      </w:r>
    </w:p>
    <w:p>
      <w:pPr>
        <w:numPr>
          <w:ilvl w:val="0"/>
          <w:numId w:val="1008"/>
        </w:numPr>
        <w:pStyle w:val="Compact"/>
      </w:pPr>
      <w:r>
        <w:rPr>
          <w:bCs/>
          <w:b/>
        </w:rPr>
        <w:t xml:space="preserve">Purchased Non-Renewable Electricity:</w:t>
      </w:r>
      <w:r>
        <w:t xml:space="preserve"> </w:t>
      </w:r>
      <w:r>
        <w:t xml:space="preserve">ojuojqtdgv * (1 - ekxdpmymyf) kWh/unit</w:t>
      </w:r>
    </w:p>
    <w:p>
      <w:pPr>
        <w:numPr>
          <w:ilvl w:val="0"/>
          <w:numId w:val="1008"/>
        </w:numPr>
        <w:pStyle w:val="Compact"/>
      </w:pPr>
      <w:r>
        <w:rPr>
          <w:bCs/>
          <w:b/>
        </w:rPr>
        <w:t xml:space="preserve">Calculation:</w:t>
      </w:r>
      <w:r>
        <w:t xml:space="preserve"> </w:t>
      </w:r>
      <w:r>
        <w:t xml:space="preserve">(ojuojqtdgv * (1 - ekxdpmymyf)) * 0.57 kgCO2e/kWh</w:t>
      </w:r>
    </w:p>
    <w:p>
      <w:pPr>
        <w:numPr>
          <w:ilvl w:val="0"/>
          <w:numId w:val="1008"/>
        </w:numPr>
        <w:pStyle w:val="Compact"/>
      </w:pPr>
      <w:r>
        <w:rPr>
          <w:bCs/>
          <w:b/>
        </w:rPr>
        <w:t xml:space="preserve">Total Scope 2 Emissions:</w:t>
      </w:r>
      <w:r>
        <w:t xml:space="preserve"> </w:t>
      </w:r>
      <w:r>
        <w:t xml:space="preserve">(ojuojqtdgv * (1 - ekxdpmymyf)) * 0.57 kgCO2e/unit</w:t>
      </w:r>
    </w:p>
    <w:p>
      <w:pPr>
        <w:pStyle w:val="FirstParagraph"/>
      </w:pPr>
      <w:r>
        <w:rPr>
          <w:iCs/>
          <w:i/>
        </w:rPr>
        <w:t xml:space="preserve">Example Calculation with placeholder values:</w:t>
      </w:r>
      <w:r>
        <w:t xml:space="preserve"> </w:t>
      </w:r>
      <w:r>
        <w:t xml:space="preserve">If ojuojqtdgv = 1.5 kWh/unit and ekxdpmymyf = 0.5 (50% renewable):</w:t>
      </w:r>
    </w:p>
    <w:p>
      <w:pPr>
        <w:pStyle w:val="BodyText"/>
      </w:pPr>
      <w:r>
        <w:t xml:space="preserve">(1.5 kWh/unit * (1 - 0.5)) * 0.57 kgCO2e/kWh = 0.75 * 0.57 = 0.4275 kgCO2e/unit.</w:t>
      </w:r>
    </w:p>
    <w:p>
      <w:pPr>
        <w:pStyle w:val="BodyText"/>
      </w:pPr>
      <w:r>
        <w:rPr>
          <w:bCs/>
          <w:b/>
        </w:rPr>
        <w:t xml:space="preserve">Total Scope 2 Emissions: 0.4275 kgCO2e/unit (Illustrative)</w:t>
      </w:r>
    </w:p>
    <w:bookmarkEnd w:id="32"/>
    <w:bookmarkStart w:id="36" w:name="scope-3-emissions-value-chain"/>
    <w:p>
      <w:pPr>
        <w:pStyle w:val="Heading3"/>
      </w:pPr>
      <w:r>
        <w:t xml:space="preserve">4.3. Scope 3 Emissions (Value Chain)</w:t>
      </w:r>
    </w:p>
    <w:p>
      <w:pPr>
        <w:pStyle w:val="FirstParagraph"/>
      </w:pPr>
      <w:r>
        <w:t xml:space="preserve">This category encompasses all other indirect emissions, ensuring at least 95% coverage.</w:t>
      </w:r>
    </w:p>
    <w:bookmarkStart w:id="33" w:name="upstream-emissions"/>
    <w:p>
      <w:pPr>
        <w:pStyle w:val="Heading4"/>
      </w:pPr>
      <w:r>
        <w:t xml:space="preserve">4.3.1. Upstream Emissions</w:t>
      </w:r>
    </w:p>
    <w:p>
      <w:pPr>
        <w:pStyle w:val="FirstParagraph"/>
      </w:pPr>
      <w:r>
        <w:rPr>
          <w:bCs/>
          <w:b/>
        </w:rPr>
        <w:t xml:space="preserve">A. Purchased Goods and Services (Materials)</w:t>
      </w:r>
    </w:p>
    <w:p>
      <w:pPr>
        <w:pStyle w:val="BodyText"/>
      </w:pPr>
      <w:r>
        <w:t xml:space="preserve">Based on the illustrative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1.25</w:t>
            </w:r>
          </w:p>
        </w:tc>
      </w:tr>
      <w:tr>
        <w:tc>
          <w:tcPr/>
          <w:p>
            <w:pPr>
              <w:pStyle w:val="Compact"/>
              <w:jc w:val="left"/>
            </w:pPr>
            <w:r>
              <w:t xml:space="preserve">Metal Fasteners</w:t>
            </w:r>
          </w:p>
        </w:tc>
        <w:tc>
          <w:tcPr/>
          <w:p>
            <w:pPr>
              <w:pStyle w:val="Compact"/>
              <w:jc w:val="left"/>
            </w:pPr>
            <w:r>
              <w:t xml:space="preserve">0.25</w:t>
            </w:r>
          </w:p>
        </w:tc>
      </w:tr>
      <w:tr>
        <w:tc>
          <w:tcPr/>
          <w:p>
            <w:pPr>
              <w:pStyle w:val="Compact"/>
              <w:jc w:val="left"/>
            </w:pPr>
            <w:r>
              <w:t xml:space="preserve">Circuit Board</w:t>
            </w:r>
          </w:p>
        </w:tc>
        <w:tc>
          <w:tcPr/>
          <w:p>
            <w:pPr>
              <w:pStyle w:val="Compact"/>
              <w:jc w:val="left"/>
            </w:pPr>
            <w:r>
              <w:t xml:space="preserve">1.00</w:t>
            </w:r>
          </w:p>
        </w:tc>
      </w:tr>
      <w:tr>
        <w:tc>
          <w:tcPr/>
          <w:p>
            <w:pPr>
              <w:pStyle w:val="Compact"/>
              <w:jc w:val="left"/>
            </w:pPr>
            <w:r>
              <w:t xml:space="preserve">Packaging Material</w:t>
            </w:r>
          </w:p>
        </w:tc>
        <w:tc>
          <w:tcPr/>
          <w:p>
            <w:pPr>
              <w:pStyle w:val="Compact"/>
              <w:jc w:val="left"/>
            </w:pPr>
            <w:r>
              <w:t xml:space="preserve">0.16</w:t>
            </w:r>
          </w:p>
        </w:tc>
      </w:tr>
      <w:tr>
        <w:tc>
          <w:tcPr/>
          <w:p>
            <w:pPr>
              <w:pStyle w:val="Compact"/>
              <w:jc w:val="left"/>
            </w:pPr>
            <w:r>
              <w:t xml:space="preserve">Internal Battery</w:t>
            </w:r>
          </w:p>
        </w:tc>
        <w:tc>
          <w:tcPr/>
          <w:p>
            <w:pPr>
              <w:pStyle w:val="Compact"/>
              <w:jc w:val="left"/>
            </w:pPr>
            <w:r>
              <w:t xml:space="preserve">1.20</w:t>
            </w:r>
          </w:p>
        </w:tc>
      </w:tr>
      <w:tr>
        <w:tc>
          <w:tcPr/>
          <w:p>
            <w:pPr>
              <w:pStyle w:val="Compact"/>
              <w:jc w:val="left"/>
            </w:pPr>
            <w:r>
              <w:rPr>
                <w:bCs/>
                <w:b/>
              </w:rPr>
              <w:t xml:space="preserve">Subtotal Material Emissions</w:t>
            </w:r>
          </w:p>
        </w:tc>
        <w:tc>
          <w:tcPr/>
          <w:p>
            <w:pPr>
              <w:pStyle w:val="Compact"/>
              <w:jc w:val="left"/>
            </w:pPr>
            <w:r>
              <w:rPr>
                <w:bCs/>
                <w:b/>
              </w:rPr>
              <w:t xml:space="preserve">3.86 kgCO2e</w:t>
            </w:r>
          </w:p>
        </w:tc>
      </w:tr>
    </w:tbl>
    <w:p>
      <w:pPr>
        <w:pStyle w:val="BodyText"/>
      </w:pPr>
      <w:r>
        <w:rPr>
          <w:bCs/>
          <w:b/>
        </w:rPr>
        <w:t xml:space="preserve">B. Upstream Transportation and Distribution (Europe to China)</w:t>
      </w:r>
    </w:p>
    <w:p>
      <w:pPr>
        <w:numPr>
          <w:ilvl w:val="0"/>
          <w:numId w:val="1009"/>
        </w:numPr>
        <w:pStyle w:val="Compact"/>
      </w:pPr>
      <w:r>
        <w:rPr>
          <w:bCs/>
          <w:b/>
        </w:rPr>
        <w:t xml:space="preserve">Transport Mode:</w:t>
      </w:r>
      <w:r>
        <w:t xml:space="preserve"> </w:t>
      </w:r>
      <w:r>
        <w:t xml:space="preserve">Select Mode (Illustrative: Road Freight (HGV &gt; 16t))</w:t>
      </w:r>
    </w:p>
    <w:p>
      <w:pPr>
        <w:numPr>
          <w:ilvl w:val="0"/>
          <w:numId w:val="1009"/>
        </w:numPr>
        <w:pStyle w:val="Compact"/>
      </w:pPr>
      <w:r>
        <w:rPr>
          <w:bCs/>
          <w:b/>
        </w:rPr>
        <w:t xml:space="preserve">Transport Distance:</w:t>
      </w:r>
      <w:r>
        <w:t xml:space="preserve"> </w:t>
      </w:r>
      <w:r>
        <w:t xml:space="preserve">rxpymoxpvf (Illustrative: 5000 km)</w:t>
      </w:r>
    </w:p>
    <w:p>
      <w:pPr>
        <w:numPr>
          <w:ilvl w:val="0"/>
          <w:numId w:val="1009"/>
        </w:numPr>
        <w:pStyle w:val="Compact"/>
      </w:pPr>
      <w:r>
        <w:rPr>
          <w:bCs/>
          <w:b/>
        </w:rPr>
        <w:t xml:space="preserve">Weight of product (incl. packaging):</w:t>
      </w:r>
      <w:r>
        <w:t xml:space="preserve"> </w:t>
      </w:r>
      <w:r>
        <w:t xml:space="preserve">Approx. 0.5 kg (Plastic Casing) + 0.05 kg (Metal Fasteners) + 0.1 kg (Circuit Board) + 0.2 kg (Packaging) + 0.08 kg (Battery) = 0.93 kg. Assuming a load factor for transportation.</w:t>
      </w:r>
    </w:p>
    <w:p>
      <w:pPr>
        <w:numPr>
          <w:ilvl w:val="0"/>
          <w:numId w:val="1009"/>
        </w:numPr>
        <w:pStyle w:val="Compact"/>
      </w:pPr>
      <w:r>
        <w:rPr>
          <w:bCs/>
          <w:b/>
        </w:rPr>
        <w:t xml:space="preserve">Emission Factor for Road Freight (HGV &gt; 16t, Europe average):</w:t>
      </w:r>
      <w:r>
        <w:t xml:space="preserve"> </w:t>
      </w:r>
      <w:r>
        <w:t xml:space="preserve">0.09 kgCO2e/tonne-km (Illustrative)</w:t>
      </w:r>
    </w:p>
    <w:p>
      <w:pPr>
        <w:numPr>
          <w:ilvl w:val="0"/>
          <w:numId w:val="1009"/>
        </w:numPr>
        <w:pStyle w:val="Compact"/>
      </w:pPr>
      <w:r>
        <w:rPr>
          <w:bCs/>
          <w:b/>
        </w:rPr>
        <w:t xml:space="preserve">Calculation:</w:t>
      </w:r>
      <w:r>
        <w:t xml:space="preserve"> </w:t>
      </w:r>
      <w:r>
        <w:t xml:space="preserve">(0.93 kg / 1000 kg/tonne) * 5000 km * 0.09 kgCO2e/tonne-km = 0.00093 * 5000 * 0.09 = 0.4185 kgCO2e/unit</w:t>
      </w:r>
    </w:p>
    <w:p>
      <w:pPr>
        <w:pStyle w:val="FirstParagraph"/>
      </w:pPr>
      <w:r>
        <w:rPr>
          <w:bCs/>
          <w:b/>
        </w:rPr>
        <w:t xml:space="preserve">Subtotal Upstream Transport Emissions: 0.4185 kgCO2e/unit (Illustrative)</w:t>
      </w:r>
    </w:p>
    <w:p>
      <w:pPr>
        <w:pStyle w:val="BodyText"/>
      </w:pPr>
      <w:r>
        <w:rPr>
          <w:bCs/>
          <w:b/>
        </w:rPr>
        <w:t xml:space="preserve">Total Upstream Scope 3 Emissions: 3.86 (Materials) + 0.4185 (Transport) = 4.2785 kgCO2e/unit</w:t>
      </w:r>
    </w:p>
    <w:bookmarkEnd w:id="33"/>
    <w:bookmarkStart w:id="34" w:name="downstream-emissions"/>
    <w:p>
      <w:pPr>
        <w:pStyle w:val="Heading4"/>
      </w:pPr>
      <w:r>
        <w:t xml:space="preserve">4.3.2. Downstream Emissions</w:t>
      </w:r>
    </w:p>
    <w:p>
      <w:pPr>
        <w:pStyle w:val="FirstParagraph"/>
      </w:pPr>
      <w:r>
        <w:rPr>
          <w:bCs/>
          <w:b/>
        </w:rPr>
        <w:t xml:space="preserve">A. Transportation and Distribution (Last-Mile Delivery)</w:t>
      </w:r>
    </w:p>
    <w:p>
      <w:pPr>
        <w:numPr>
          <w:ilvl w:val="0"/>
          <w:numId w:val="1010"/>
        </w:numPr>
        <w:pStyle w:val="Compact"/>
      </w:pPr>
      <w:r>
        <w:rPr>
          <w:bCs/>
          <w:b/>
        </w:rPr>
        <w:t xml:space="preserve">Last-Mile Delivery Channel:</w:t>
      </w:r>
      <w:r>
        <w:t xml:space="preserve"> </w:t>
      </w:r>
      <w:r>
        <w:t xml:space="preserve">Delivery Type (Illustrative: Parcel Post)</w:t>
      </w:r>
    </w:p>
    <w:p>
      <w:pPr>
        <w:numPr>
          <w:ilvl w:val="0"/>
          <w:numId w:val="1010"/>
        </w:numPr>
        <w:pStyle w:val="Compact"/>
      </w:pPr>
      <w:r>
        <w:rPr>
          <w:bCs/>
          <w:b/>
        </w:rPr>
        <w:t xml:space="preserve">Average Last-Mile Distance:</w:t>
      </w:r>
      <w:r>
        <w:t xml:space="preserve"> </w:t>
      </w:r>
      <w:r>
        <w:t xml:space="preserve">50 km (Illustrative)</w:t>
      </w:r>
    </w:p>
    <w:p>
      <w:pPr>
        <w:numPr>
          <w:ilvl w:val="0"/>
          <w:numId w:val="1010"/>
        </w:numPr>
        <w:pStyle w:val="Compact"/>
      </w:pPr>
      <w:r>
        <w:rPr>
          <w:bCs/>
          <w:b/>
        </w:rPr>
        <w:t xml:space="preserve">Weight of Product:</w:t>
      </w:r>
      <w:r>
        <w:t xml:space="preserve"> </w:t>
      </w:r>
      <w:r>
        <w:t xml:space="preserve">0.93 kg (as above)</w:t>
      </w:r>
    </w:p>
    <w:p>
      <w:pPr>
        <w:numPr>
          <w:ilvl w:val="0"/>
          <w:numId w:val="1010"/>
        </w:numPr>
        <w:pStyle w:val="Compact"/>
      </w:pPr>
      <w:r>
        <w:rPr>
          <w:bCs/>
          <w:b/>
        </w:rPr>
        <w:t xml:space="preserve">Emission Factor for Parcel Post (e.g., Van):</w:t>
      </w:r>
      <w:r>
        <w:t xml:space="preserve"> </w:t>
      </w:r>
      <w:r>
        <w:t xml:space="preserve">0.2 kgCO2e/tonne-km (Illustrative)</w:t>
      </w:r>
    </w:p>
    <w:p>
      <w:pPr>
        <w:numPr>
          <w:ilvl w:val="0"/>
          <w:numId w:val="1010"/>
        </w:numPr>
        <w:pStyle w:val="Compact"/>
      </w:pPr>
      <w:r>
        <w:rPr>
          <w:bCs/>
          <w:b/>
        </w:rPr>
        <w:t xml:space="preserve">Calculation:</w:t>
      </w:r>
      <w:r>
        <w:t xml:space="preserve"> </w:t>
      </w:r>
      <w:r>
        <w:t xml:space="preserve">(0.93 kg / 1000 kg/tonne) * 50 km * 0.2 kgCO2e/tonne-km = 0.00093 * 50 * 0.2 = 0.0093 kgCO2e/unit</w:t>
      </w:r>
    </w:p>
    <w:p>
      <w:pPr>
        <w:pStyle w:val="FirstParagraph"/>
      </w:pPr>
      <w:r>
        <w:rPr>
          <w:bCs/>
          <w:b/>
        </w:rPr>
        <w:t xml:space="preserve">Subtotal Last-Mile Delivery Emissions: 0.0093 kgCO2e/unit (Illustrative)</w:t>
      </w:r>
    </w:p>
    <w:p>
      <w:pPr>
        <w:pStyle w:val="BodyText"/>
      </w:pPr>
      <w:r>
        <w:rPr>
          <w:bCs/>
          <w:b/>
        </w:rPr>
        <w:t xml:space="preserve">B. Use Phase Emissions</w:t>
      </w:r>
    </w:p>
    <w:p>
      <w:pPr>
        <w:numPr>
          <w:ilvl w:val="0"/>
          <w:numId w:val="1011"/>
        </w:numPr>
        <w:pStyle w:val="Compact"/>
      </w:pPr>
      <w:r>
        <w:rPr>
          <w:bCs/>
          <w:b/>
        </w:rPr>
        <w:t xml:space="preserve">Product Lifespan:</w:t>
      </w:r>
      <w:r>
        <w:t xml:space="preserve"> </w:t>
      </w:r>
      <w:r>
        <w:t xml:space="preserve">jzdvmqmqvw (Illustrative: 3 years)</w:t>
      </w:r>
    </w:p>
    <w:p>
      <w:pPr>
        <w:numPr>
          <w:ilvl w:val="0"/>
          <w:numId w:val="1011"/>
        </w:numPr>
        <w:pStyle w:val="Compact"/>
      </w:pPr>
      <w:r>
        <w:rPr>
          <w:bCs/>
          <w:b/>
        </w:rPr>
        <w:t xml:space="preserve">Energy Consumption in Use:</w:t>
      </w:r>
      <w:r>
        <w:t xml:space="preserve"> </w:t>
      </w:r>
      <w:r>
        <w:t xml:space="preserve">wkhykvvfuy (Illustrative: 10 kWh/year)</w:t>
      </w:r>
    </w:p>
    <w:p>
      <w:pPr>
        <w:numPr>
          <w:ilvl w:val="0"/>
          <w:numId w:val="1011"/>
        </w:numPr>
        <w:pStyle w:val="Compact"/>
      </w:pPr>
      <w:r>
        <w:rPr>
          <w:bCs/>
          <w:b/>
        </w:rPr>
        <w:t xml:space="preserve">Electricity Grid Emission Factor (End User Location - assumed EU average):</w:t>
      </w:r>
      <w:r>
        <w:t xml:space="preserve"> </w:t>
      </w:r>
      <w:r>
        <w:t xml:space="preserve">0.25 kgCO2e/kWh (Illustrative)</w:t>
      </w:r>
    </w:p>
    <w:p>
      <w:pPr>
        <w:numPr>
          <w:ilvl w:val="0"/>
          <w:numId w:val="1011"/>
        </w:numPr>
        <w:pStyle w:val="Compact"/>
      </w:pPr>
      <w:r>
        <w:rPr>
          <w:bCs/>
          <w:b/>
        </w:rPr>
        <w:t xml:space="preserve">Calculation:</w:t>
      </w:r>
      <w:r>
        <w:t xml:space="preserve"> </w:t>
      </w:r>
      <w:r>
        <w:t xml:space="preserve">jzdvmqmqvw * wkhykvvfuy * 0.25 kgCO2e/kWh</w:t>
      </w:r>
    </w:p>
    <w:p>
      <w:pPr>
        <w:pStyle w:val="FirstParagraph"/>
      </w:pPr>
      <w:r>
        <w:rPr>
          <w:iCs/>
          <w:i/>
        </w:rPr>
        <w:t xml:space="preserve">Example Calculation with placeholder values:</w:t>
      </w:r>
      <w:r>
        <w:t xml:space="preserve"> </w:t>
      </w:r>
      <w:r>
        <w:t xml:space="preserve">If jzdvmqmqvw = 3 years and wkhykvvfuy = 10 kWh/year:</w:t>
      </w:r>
    </w:p>
    <w:p>
      <w:pPr>
        <w:pStyle w:val="BodyText"/>
      </w:pPr>
      <w:r>
        <w:t xml:space="preserve">3 years * 10 kWh/year * 0.25 kgCO2e/kWh = 7.5 kgCO2e/unit.</w:t>
      </w:r>
    </w:p>
    <w:p>
      <w:pPr>
        <w:pStyle w:val="BodyText"/>
      </w:pPr>
      <w:r>
        <w:rPr>
          <w:bCs/>
          <w:b/>
        </w:rPr>
        <w:t xml:space="preserve">Subtotal Use Phase Emissions: 7.5 kgCO2e/unit (Illustrative)</w:t>
      </w:r>
    </w:p>
    <w:p>
      <w:pPr>
        <w:pStyle w:val="BodyText"/>
      </w:pPr>
      <w:r>
        <w:rPr>
          <w:bCs/>
          <w:b/>
        </w:rPr>
        <w:t xml:space="preserve">C. End-of-Life Emissions</w:t>
      </w:r>
    </w:p>
    <w:p>
      <w:pPr>
        <w:pStyle w:val="BodyText"/>
      </w:pPr>
      <w:r>
        <w:t xml:space="preserve">This considers the emissions/avoided emissions from recycling and disposal.</w:t>
      </w:r>
    </w:p>
    <w:p>
      <w:pPr>
        <w:numPr>
          <w:ilvl w:val="0"/>
          <w:numId w:val="1012"/>
        </w:numPr>
        <w:pStyle w:val="Compact"/>
      </w:pPr>
      <w:r>
        <w:rPr>
          <w:bCs/>
          <w:b/>
        </w:rPr>
        <w:t xml:space="preserve">Recyclability Percentage:</w:t>
      </w:r>
      <w:r>
        <w:t xml:space="preserve"> </w:t>
      </w:r>
      <w:r>
        <w:t xml:space="preserve">idlvjdtehv (Illustrative: 70%)</w:t>
      </w:r>
    </w:p>
    <w:p>
      <w:pPr>
        <w:numPr>
          <w:ilvl w:val="0"/>
          <w:numId w:val="1012"/>
        </w:numPr>
        <w:pStyle w:val="Compact"/>
      </w:pPr>
      <w:r>
        <w:rPr>
          <w:bCs/>
          <w:b/>
        </w:rPr>
        <w:t xml:space="preserve">Circular/Take-back Programs:</w:t>
      </w:r>
      <w:r>
        <w:t xml:space="preserve"> </w:t>
      </w:r>
      <w:r>
        <w:t xml:space="preserve">nekuwwgjgf (Illustrative: Yes, partner take-back scheme)</w:t>
      </w:r>
    </w:p>
    <w:p>
      <w:pPr>
        <w:numPr>
          <w:ilvl w:val="0"/>
          <w:numId w:val="1012"/>
        </w:numPr>
        <w:pStyle w:val="Compact"/>
      </w:pPr>
      <w:r>
        <w:rPr>
          <w:bCs/>
          <w:b/>
        </w:rPr>
        <w:t xml:space="preserve">Mass of product for EoL:</w:t>
      </w:r>
      <w:r>
        <w:t xml:space="preserve"> </w:t>
      </w:r>
      <w:r>
        <w:t xml:space="preserve">0.93 kg</w:t>
      </w:r>
    </w:p>
    <w:p>
      <w:pPr>
        <w:numPr>
          <w:ilvl w:val="0"/>
          <w:numId w:val="1012"/>
        </w:numPr>
        <w:pStyle w:val="Compact"/>
      </w:pPr>
      <w:r>
        <w:rPr>
          <w:bCs/>
          <w:b/>
        </w:rPr>
        <w:t xml:space="preserve">Landfill Emission Factor (Illustrative, for remaining 30%):</w:t>
      </w:r>
      <w:r>
        <w:t xml:space="preserve"> </w:t>
      </w:r>
      <w:r>
        <w:t xml:space="preserve">1.0 kgCO2e/kg for mixed waste.</w:t>
      </w:r>
    </w:p>
    <w:p>
      <w:pPr>
        <w:numPr>
          <w:ilvl w:val="0"/>
          <w:numId w:val="1012"/>
        </w:numPr>
        <w:pStyle w:val="Compact"/>
      </w:pPr>
      <w:r>
        <w:rPr>
          <w:bCs/>
          <w:b/>
        </w:rPr>
        <w:t xml:space="preserve">Recycling Credit/Avoided Emissions (Illustrative, for 70%):</w:t>
      </w:r>
      <w:r>
        <w:t xml:space="preserve"> </w:t>
      </w:r>
      <w:r>
        <w:t xml:space="preserve">-1.5 kgCO2e/kg (Net benefit of recycling vs. virgin material).</w:t>
      </w:r>
    </w:p>
    <w:p>
      <w:pPr>
        <w:pStyle w:val="FirstParagraph"/>
      </w:pPr>
      <w:r>
        <w:rPr>
          <w:iCs/>
          <w:i/>
        </w:rPr>
        <w:t xml:space="preserve">Calculation:</w:t>
      </w:r>
    </w:p>
    <w:p>
      <w:pPr>
        <w:numPr>
          <w:ilvl w:val="0"/>
          <w:numId w:val="1013"/>
        </w:numPr>
        <w:pStyle w:val="Compact"/>
      </w:pPr>
      <w:r>
        <w:rPr>
          <w:bCs/>
          <w:b/>
        </w:rPr>
        <w:t xml:space="preserve">Emissions from Landfill:</w:t>
      </w:r>
      <w:r>
        <w:t xml:space="preserve"> </w:t>
      </w:r>
      <w:r>
        <w:t xml:space="preserve">(1 - idlvjdtehv) * 0.93 kg * 1.0 kgCO2e/kg</w:t>
      </w:r>
    </w:p>
    <w:p>
      <w:pPr>
        <w:numPr>
          <w:ilvl w:val="0"/>
          <w:numId w:val="1013"/>
        </w:numPr>
        <w:pStyle w:val="Compact"/>
      </w:pPr>
      <w:r>
        <w:rPr>
          <w:bCs/>
          <w:b/>
        </w:rPr>
        <w:t xml:space="preserve">Avoided Emissions from Recycling:</w:t>
      </w:r>
      <w:r>
        <w:t xml:space="preserve"> </w:t>
      </w:r>
      <w:r>
        <w:t xml:space="preserve">idlvjdtehv * 0.93 kg * (-1.5 kgCO2e/kg)</w:t>
      </w:r>
    </w:p>
    <w:p>
      <w:pPr>
        <w:pStyle w:val="FirstParagraph"/>
      </w:pPr>
      <w:r>
        <w:rPr>
          <w:iCs/>
          <w:i/>
        </w:rPr>
        <w:t xml:space="preserve">Example Calculation with placeholder values:</w:t>
      </w:r>
      <w:r>
        <w:t xml:space="preserve"> </w:t>
      </w:r>
      <w:r>
        <w:t xml:space="preserve">If idlvjdtehv = 0.7 (70%):</w:t>
      </w:r>
    </w:p>
    <w:p>
      <w:pPr>
        <w:numPr>
          <w:ilvl w:val="0"/>
          <w:numId w:val="1014"/>
        </w:numPr>
        <w:pStyle w:val="Compact"/>
      </w:pPr>
      <w:r>
        <w:t xml:space="preserve">Landfill: (1 - 0.7) * 0.93 kg * 1.0 kgCO2e/kg = 0.3 * 0.93 = 0.279 kgCO2e</w:t>
      </w:r>
    </w:p>
    <w:p>
      <w:pPr>
        <w:numPr>
          <w:ilvl w:val="0"/>
          <w:numId w:val="1014"/>
        </w:numPr>
        <w:pStyle w:val="Compact"/>
      </w:pPr>
      <w:r>
        <w:t xml:space="preserve">Recycling Credit: 0.7 * 0.93 kg * (-1.5 kgCO2e/kg) = -0.9765 kgCO2e</w:t>
      </w:r>
    </w:p>
    <w:p>
      <w:pPr>
        <w:numPr>
          <w:ilvl w:val="0"/>
          <w:numId w:val="1014"/>
        </w:numPr>
        <w:pStyle w:val="Compact"/>
      </w:pPr>
      <w:r>
        <w:t xml:space="preserve">Net EoL Emissions: 0.279 - 0.9765 = -0.6975 kgCO2e/unit</w:t>
      </w:r>
    </w:p>
    <w:p>
      <w:pPr>
        <w:pStyle w:val="FirstParagraph"/>
      </w:pPr>
      <w:r>
        <w:t xml:space="preserve">The existence of Circular/Take-back Programs (nekuwwgjgf) further enhances the potential for recycling and material recovery, leading to greater avoided emissions or circularity benefits, as reflected in the recycling credit.</w:t>
      </w:r>
    </w:p>
    <w:p>
      <w:pPr>
        <w:pStyle w:val="BodyText"/>
      </w:pPr>
      <w:r>
        <w:rPr>
          <w:bCs/>
          <w:b/>
        </w:rPr>
        <w:t xml:space="preserve">Subtotal End-of-Life Emissions: -0.6975 kgCO2e/unit (Illustrative)</w:t>
      </w:r>
    </w:p>
    <w:p>
      <w:pPr>
        <w:pStyle w:val="BodyText"/>
      </w:pPr>
      <w:r>
        <w:rPr>
          <w:bCs/>
          <w:b/>
        </w:rPr>
        <w:t xml:space="preserve">Total Downstream Scope 3 Emissions: 0.0093 (Last-Mile) + 7.5 (Use Phase) - 0.6975 (EoL) = 6.8118 kgCO2e/unit</w:t>
      </w:r>
    </w:p>
    <w:bookmarkEnd w:id="34"/>
    <w:bookmarkStart w:id="35" w:name="X2130f2df1d97741910bb6ee886f5b1d6d8d27ff"/>
    <w:p>
      <w:pPr>
        <w:pStyle w:val="Heading4"/>
      </w:pPr>
      <w:r>
        <w:t xml:space="preserve">4.3.3. Land Sector and Removals (LSR) Update (2026 GHG Protocol)</w:t>
      </w:r>
    </w:p>
    <w:p>
      <w:pPr>
        <w:pStyle w:val="FirstParagraph"/>
      </w:pPr>
      <w:r>
        <w:t xml:space="preserve">This product analysis acknowledges the Land Sector and Removals (LSR) Standard. For mxpfklnhed, assuming it does not directly involve significant bio-based materials from new plantations or direct land-use change activities at the factory site, direct removals might be minimal. However, if any material in dnexwggi (e.g., specific wood products, bio-plastics) were sourced from certified sustainable forestry with carbon sequestration, or if the company invested in direct carbon removal projects, these would be quantified here as removals (negative emissions).</w:t>
      </w:r>
    </w:p>
    <w:p>
      <w:pPr>
        <w:pStyle w:val="BodyText"/>
      </w:pPr>
      <w:r>
        <w:rPr>
          <w:bCs/>
          <w:b/>
        </w:rPr>
        <w:t xml:space="preserve">Total LSR Impact: 0.0 kgCO2e/unit (Illustrative: Assuming no direct biogenic carbon removals or land-use change emissions directly attributable to mxpfklnhed in this analysis without specific data.)</w:t>
      </w:r>
    </w:p>
    <w:bookmarkEnd w:id="35"/>
    <w:bookmarkEnd w:id="36"/>
    <w:bookmarkStart w:id="37" w:name="Xaa6ceca80207a25c392bcf51496e0bcbfe47802"/>
    <w:p>
      <w:pPr>
        <w:pStyle w:val="Heading3"/>
      </w:pPr>
      <w:r>
        <w:t xml:space="preserve">Overall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Category</w:t>
            </w:r>
          </w:p>
        </w:tc>
        <w:tc>
          <w:tcPr/>
          <w:p>
            <w:pPr>
              <w:pStyle w:val="Compact"/>
              <w:jc w:val="left"/>
            </w:pPr>
            <w:r>
              <w:t xml:space="preserve">Total kgCO2e/unit (Illustrative)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0.4275</w:t>
            </w:r>
          </w:p>
        </w:tc>
      </w:tr>
      <w:tr>
        <w:tc>
          <w:tcPr>
            <w:vMerge w:val="restart"/>
          </w:tcPr>
          <w:p>
            <w:pPr>
              <w:pStyle w:val="Compact"/>
              <w:jc w:val="left"/>
            </w:pPr>
            <w:r>
              <w:rPr>
                <w:bCs/>
                <w:b/>
              </w:rPr>
              <w:t xml:space="preserve">Scope 3</w:t>
            </w:r>
          </w:p>
        </w:tc>
        <w:tc>
          <w:tcPr/>
          <w:p>
            <w:pPr>
              <w:pStyle w:val="Compact"/>
              <w:jc w:val="left"/>
            </w:pPr>
            <w:r>
              <w:t xml:space="preserve">Purchased Goods &amp; Services (Materials)</w:t>
            </w:r>
          </w:p>
        </w:tc>
        <w:tc>
          <w:tcPr/>
          <w:p>
            <w:pPr>
              <w:pStyle w:val="Compact"/>
              <w:jc w:val="left"/>
            </w:pPr>
            <w:r>
              <w:t xml:space="preserve">3.86</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0.4185</w:t>
            </w:r>
          </w:p>
        </w:tc>
      </w:tr>
      <w:tr>
        <w:tc>
          <w:tcPr>
            <w:gridSpan w:val="1"/>
            <w:vMerge w:val="continue"/>
          </w:tcPr>
          <w:p>
            <w:pPr/>
          </w:p>
        </w:tc>
        <w:tc>
          <w:tcPr/>
          <w:p>
            <w:pPr>
              <w:pStyle w:val="Compact"/>
              <w:jc w:val="left"/>
            </w:pPr>
            <w:r>
              <w:t xml:space="preserve">Downstream Transportation &amp; Distribution (Last-Mile)</w:t>
            </w:r>
          </w:p>
        </w:tc>
        <w:tc>
          <w:tcPr/>
          <w:p>
            <w:pPr>
              <w:pStyle w:val="Compact"/>
              <w:jc w:val="left"/>
            </w:pPr>
            <w:r>
              <w:t xml:space="preserve">0.0093</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6.8118</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11.5271 kgCO2e/unit</w:t>
            </w:r>
          </w:p>
        </w:tc>
      </w:tr>
    </w:tbl>
    <w:p>
      <w:pPr>
        <w:pStyle w:val="BodyText"/>
      </w:pPr>
      <w:r>
        <w:rPr>
          <w:iCs/>
          <w:i/>
        </w:rPr>
        <w:t xml:space="preserve">Note: The total Scope 3 includes the net of Use Phase and End-of-Life.</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illustrative calculations, the primary emission hotspots for mxpfklnhed are:</w:t>
      </w:r>
    </w:p>
    <w:p>
      <w:pPr>
        <w:numPr>
          <w:ilvl w:val="0"/>
          <w:numId w:val="1015"/>
        </w:numPr>
        <w:pStyle w:val="Compact"/>
      </w:pPr>
      <w:r>
        <w:rPr>
          <w:bCs/>
          <w:b/>
        </w:rPr>
        <w:t xml:space="preserve">Use Phase:</w:t>
      </w:r>
      <w:r>
        <w:t xml:space="preserve"> </w:t>
      </w:r>
      <w:r>
        <w:t xml:space="preserve">With an illustrative 7.5 kgCO2e/unit, the energy consumption during the product\'s lifespan is the single largest contributor. This highlights the importance of energy efficiency in product design and user behavior.</w:t>
      </w:r>
    </w:p>
    <w:p>
      <w:pPr>
        <w:numPr>
          <w:ilvl w:val="0"/>
          <w:numId w:val="1015"/>
        </w:numPr>
        <w:pStyle w:val="Compact"/>
      </w:pPr>
      <w:r>
        <w:rPr>
          <w:bCs/>
          <w:b/>
        </w:rPr>
        <w:t xml:space="preserve">Purchased Goods and Services (Materials):</w:t>
      </w:r>
      <w:r>
        <w:t xml:space="preserve"> </w:t>
      </w:r>
      <w:r>
        <w:t xml:space="preserve">Illustrative material emissions total 3.86 kgCO2e/unit, representing the second-largest hotspot. This indicates that material selection, design for less material usage, and sourcing from lower-carbon suppliers are crucial. The Internal Battery and Plastic Casing are significant contributors within this category.</w:t>
      </w:r>
    </w:p>
    <w:p>
      <w:pPr>
        <w:numPr>
          <w:ilvl w:val="0"/>
          <w:numId w:val="1015"/>
        </w:numPr>
        <w:pStyle w:val="Compact"/>
      </w:pPr>
      <w:r>
        <w:rPr>
          <w:bCs/>
          <w:b/>
        </w:rPr>
        <w:t xml:space="preserve">Upstream Transportation:</w:t>
      </w:r>
      <w:r>
        <w:t xml:space="preserve"> </w:t>
      </w:r>
      <w:r>
        <w:t xml:space="preserve">Although smaller than the top two, the transportation of materials from Europe to China (0.4185 kgCO2e/unit) is notable due to the significant distance. Optimizing logistics and regionalizing sourcing where feasible could reduce this impact.</w:t>
      </w:r>
    </w:p>
    <w:bookmarkEnd w:id="39"/>
    <w:bookmarkStart w:id="40" w:name="reliability-and-data-gaps"/>
    <w:p>
      <w:pPr>
        <w:pStyle w:val="Heading3"/>
      </w:pPr>
      <w:r>
        <w:t xml:space="preserve">5.2. Reliability and Data Gaps</w:t>
      </w:r>
    </w:p>
    <w:p>
      <w:pPr>
        <w:pStyle w:val="FirstParagraph"/>
      </w:pPr>
      <w:r>
        <w:t xml:space="preserve">The reliability of this PCF analysis is contingent upon the accuracy and completeness of the input data. For this report:</w:t>
      </w:r>
    </w:p>
    <w:p>
      <w:pPr>
        <w:numPr>
          <w:ilvl w:val="0"/>
          <w:numId w:val="1016"/>
        </w:numPr>
        <w:pStyle w:val="Compact"/>
      </w:pPr>
      <w:r>
        <w:rPr>
          <w:bCs/>
          <w:b/>
        </w:rPr>
        <w:t xml:space="preserve">Illustrative Data:</w:t>
      </w:r>
      <w:r>
        <w:t xml:space="preserve"> </w:t>
      </w:r>
      <w:r>
        <w:t xml:space="preserve">Emission factors and some quantitative activity data (e.g., specific transport distances beyond the placeholder, specific energy consumption values, precise material breakdown within categories like "Circuit Board") were based on representative industry averages (e.g., Ecoinvent/DEFRA equivalents) for demonstration purposes due to the absence of specific numerical inputs in the prompt. Actual, primary data from trzmhidojz\'s operations and suppliers would significantly enhance accuracy.</w:t>
      </w:r>
    </w:p>
    <w:p>
      <w:pPr>
        <w:numPr>
          <w:ilvl w:val="0"/>
          <w:numId w:val="1016"/>
        </w:numPr>
        <w:pStyle w:val="Compact"/>
      </w:pPr>
      <w:r>
        <w:rPr>
          <w:bCs/>
          <w:b/>
        </w:rPr>
        <w:t xml:space="preserve">System Boundary:</w:t>
      </w:r>
      <w:r>
        <w:t xml:space="preserve"> </w:t>
      </w:r>
      <w:r>
        <w:t xml:space="preserve">While a \'factory_gate\' boundary was specified, the report extended to cover use-phase and end-of-life as per the detailed requirements, providing a more complete picture.</w:t>
      </w:r>
    </w:p>
    <w:p>
      <w:pPr>
        <w:numPr>
          <w:ilvl w:val="0"/>
          <w:numId w:val="1016"/>
        </w:numPr>
        <w:pStyle w:val="Compact"/>
      </w:pPr>
      <w:r>
        <w:rPr>
          <w:bCs/>
          <w:b/>
        </w:rPr>
        <w:t xml:space="preserve">Scope 3 Coverage:</w:t>
      </w:r>
      <w:r>
        <w:t xml:space="preserve"> </w:t>
      </w:r>
      <w:r>
        <w:t xml:space="preserve">Efforts have been made to achieve 95% Scope 3 coverage, encompassing significant upstream and downstream categories. Any minor categories not explicitly calculated are assumed to be negligible for the purpose of this illustrative report.</w:t>
      </w:r>
    </w:p>
    <w:p>
      <w:pPr>
        <w:numPr>
          <w:ilvl w:val="0"/>
          <w:numId w:val="1016"/>
        </w:numPr>
        <w:pStyle w:val="Compact"/>
      </w:pPr>
      <w:r>
        <w:rPr>
          <w:bCs/>
          <w:b/>
        </w:rPr>
        <w:t xml:space="preserve">LSR Application:</w:t>
      </w:r>
      <w:r>
        <w:t xml:space="preserve"> </w:t>
      </w:r>
      <w:r>
        <w:t xml:space="preserve">The LSR Standard has been acknowledged. More detailed information on land use associated with specific raw materials would allow for a more precise quantification of related emissions or removals.</w:t>
      </w:r>
    </w:p>
    <w:bookmarkEnd w:id="40"/>
    <w:bookmarkStart w:id="41" w:name="recommendations-for-trzmhidojz"/>
    <w:p>
      <w:pPr>
        <w:pStyle w:val="Heading3"/>
      </w:pPr>
      <w:r>
        <w:t xml:space="preserve">5.3. Recommendations for trzmhidojz</w:t>
      </w:r>
    </w:p>
    <w:p>
      <w:pPr>
        <w:pStyle w:val="FirstParagraph"/>
      </w:pPr>
      <w:r>
        <w:t xml:space="preserve">To further reduce the carbon footprint of mxpfklnhed, trzmhidojz should consider:</w:t>
      </w:r>
    </w:p>
    <w:p>
      <w:pPr>
        <w:numPr>
          <w:ilvl w:val="0"/>
          <w:numId w:val="1017"/>
        </w:numPr>
        <w:pStyle w:val="Compact"/>
      </w:pPr>
      <w:r>
        <w:rPr>
          <w:bCs/>
          <w:b/>
        </w:rPr>
        <w:t xml:space="preserve">Energy Efficiency in Use Phase:</w:t>
      </w:r>
      <w:r>
        <w:t xml:space="preserve"> </w:t>
      </w:r>
      <w:r>
        <w:t xml:space="preserve">Invest in R&amp;D to significantly reduce the energy consumption of mxpfklnhed during its operational life. Educating users on efficient usage can also contribute.</w:t>
      </w:r>
    </w:p>
    <w:p>
      <w:pPr>
        <w:numPr>
          <w:ilvl w:val="0"/>
          <w:numId w:val="1017"/>
        </w:numPr>
        <w:pStyle w:val="Compact"/>
      </w:pPr>
      <w:r>
        <w:rPr>
          <w:bCs/>
          <w:b/>
        </w:rPr>
        <w:t xml:space="preserve">Sustainable Material Sourcing:</w:t>
      </w:r>
      <w:r>
        <w:t xml:space="preserve"> </w:t>
      </w:r>
      <w:r>
        <w:t xml:space="preserve">Prioritize materials with lower embodied carbon, such as recycled plastics and metals, or materials produced with renewable energy. Engage with suppliers to gain access to primary emission data for purchased components.</w:t>
      </w:r>
    </w:p>
    <w:p>
      <w:pPr>
        <w:numPr>
          <w:ilvl w:val="0"/>
          <w:numId w:val="1017"/>
        </w:numPr>
        <w:pStyle w:val="Compact"/>
      </w:pPr>
      <w:r>
        <w:rPr>
          <w:bCs/>
          <w:b/>
        </w:rPr>
        <w:t xml:space="preserve">Supply Chain Optimization:</w:t>
      </w:r>
      <w:r>
        <w:t xml:space="preserve"> </w:t>
      </w:r>
      <w:r>
        <w:t xml:space="preserve">Explore options for localizing material sourcing to reduce transportation distances and select lower-emission transport modes where possible.</w:t>
      </w:r>
    </w:p>
    <w:p>
      <w:pPr>
        <w:numPr>
          <w:ilvl w:val="0"/>
          <w:numId w:val="1017"/>
        </w:numPr>
        <w:pStyle w:val="Compact"/>
      </w:pPr>
      <w:r>
        <w:rPr>
          <w:bCs/>
          <w:b/>
        </w:rPr>
        <w:t xml:space="preserve">Enhanced Circularity:</w:t>
      </w:r>
      <w:r>
        <w:t xml:space="preserve"> </w:t>
      </w:r>
      <w:r>
        <w:t xml:space="preserve">Leverage the idlvjdtehv (Recyclability Percentage) and nekuwwgjgf (Circular/Take-back Programs) to maximize material recovery and reuse, potentially developing new business models around product-as-a-service or closed-loop systems.</w:t>
      </w:r>
    </w:p>
    <w:p>
      <w:pPr>
        <w:numPr>
          <w:ilvl w:val="0"/>
          <w:numId w:val="1017"/>
        </w:numPr>
        <w:pStyle w:val="Compact"/>
      </w:pPr>
      <w:r>
        <w:rPr>
          <w:bCs/>
          <w:b/>
        </w:rPr>
        <w:t xml:space="preserve">Renewable Energy Adoption:</w:t>
      </w:r>
      <w:r>
        <w:t xml:space="preserve"> </w:t>
      </w:r>
      <w:r>
        <w:t xml:space="preserve">Further increase the ekxdpmymyf (Renewable Energy Usage) at manufacturing facilities and encourage suppliers to do the same to reduce Scope 2 (and potentially upstream Scope 3) emissions.</w:t>
      </w:r>
    </w:p>
    <w:p>
      <w:pPr>
        <w:numPr>
          <w:ilvl w:val="0"/>
          <w:numId w:val="1017"/>
        </w:numPr>
        <w:pStyle w:val="Compact"/>
      </w:pPr>
      <w:r>
        <w:rPr>
          <w:bCs/>
          <w:b/>
        </w:rPr>
        <w:t xml:space="preserve">Data Refinement:</w:t>
      </w:r>
      <w:r>
        <w:t xml:space="preserve"> </w:t>
      </w:r>
      <w:r>
        <w:t xml:space="preserve">Implement robust data collection systems to gather primary data for all significant emission sources, especially for complex components and the global supply chain, to enhance the accuracy of future PCF analyses.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mxpfklnhed</dc:title>
  <dc:creator/>
  <dc:description>Detailed Product Carbon Footprint (PCF) analysis report for product mxpfklnhed by trzmhidojz, adhering to GHG Protocol and 2026 LSR update.</dc:description>
  <cp:keywords/>
  <dcterms:created xsi:type="dcterms:W3CDTF">2026-05-30T22:07:08Z</dcterms:created>
  <dcterms:modified xsi:type="dcterms:W3CDTF">2026-05-30T22:07:08Z</dcterms:modified>
</cp:coreProperties>
</file>

<file path=docProps/custom.xml><?xml version="1.0" encoding="utf-8"?>
<Properties xmlns="http://schemas.openxmlformats.org/officeDocument/2006/custom-properties" xmlns:vt="http://schemas.openxmlformats.org/officeDocument/2006/docPropsVTypes"/>
</file>