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(PCF)</w:t>
      </w:r>
      <w:r>
        <w:t xml:space="preserve"> </w:t>
      </w:r>
      <w:r>
        <w:t xml:space="preserve">Report</w:t>
      </w:r>
      <w:r>
        <w:t xml:space="preserve"> </w:t>
      </w:r>
      <w:r>
        <w:t xml:space="preserve">for</w:t>
      </w:r>
      <w:r>
        <w:t xml:space="preserve"> </w:t>
      </w:r>
      <w:r>
        <w:t xml:space="preserve">goxrovzpwj</w:t>
      </w:r>
    </w:p>
    <w:p>
      <w:pPr>
        <w:pStyle w:val="FirstParagraph"/>
      </w:pPr>
      <w:r>
        <w:t xml:space="preserve">carboncalcpcf.com</w:t>
      </w:r>
    </w:p>
    <w:bookmarkStart w:id="20" w:name="Xf2e6ab5be446359d80f42f50d41e46314dfe19d"/>
    <w:p>
      <w:pPr>
        <w:pStyle w:val="Heading1"/>
      </w:pPr>
      <w:r>
        <w:t xml:space="preserve">Product Carbon Footprint (PCF) Analysis Report</w:t>
      </w:r>
    </w:p>
    <w:p>
      <w:pPr>
        <w:pStyle w:val="FirstParagraph"/>
      </w:pPr>
      <w:r>
        <w:rPr>
          <w:bCs/>
          <w:b/>
        </w:rPr>
        <w:t xml:space="preserve">Product:</w:t>
      </w:r>
      <w:r>
        <w:t xml:space="preserve"> </w:t>
      </w:r>
      <w:r>
        <w:t xml:space="preserve">goxrovzpwj</w:t>
      </w:r>
    </w:p>
    <w:p>
      <w:pPr>
        <w:pStyle w:val="BodyText"/>
      </w:pPr>
      <w:r>
        <w:rPr>
          <w:bCs/>
          <w:b/>
        </w:rPr>
        <w:t xml:space="preserve">Company Name:</w:t>
      </w:r>
      <w:r>
        <w:t xml:space="preserve"> </w:t>
      </w:r>
      <w:r>
        <w:t xml:space="preserve">iiziiumivd</w:t>
      </w:r>
    </w:p>
    <w:p>
      <w:pPr>
        <w:pStyle w:val="BodyText"/>
      </w:pPr>
      <w:r>
        <w:rPr>
          <w:bCs/>
          <w:b/>
        </w:rPr>
        <w:t xml:space="preserve">Senior Sustainability Consultant:</w:t>
      </w:r>
      <w:r>
        <w:t xml:space="preserve"> </w:t>
      </w:r>
      <w:r>
        <w:t xml:space="preserve">shdugnnnnm</w:t>
      </w:r>
    </w:p>
    <w:p>
      <w:pPr>
        <w:pStyle w:val="BodyText"/>
      </w:pPr>
      <w:r>
        <w:rPr>
          <w:bCs/>
          <w:b/>
        </w:rPr>
        <w:t xml:space="preserve">Accounting Standard:</w:t>
      </w:r>
      <w:r>
        <w:t xml:space="preserve"> </w:t>
      </w:r>
      <w:r>
        <w:t xml:space="preserve">GHG Protocol</w:t>
      </w:r>
    </w:p>
    <w:p>
      <w:pPr>
        <w:pStyle w:val="BodyText"/>
      </w:pPr>
      <w:r>
        <w:t xml:space="preserve">Disclaimer: This report is generated based on available data, industry standards, and reasonable assumptions for missing parameters. The accuracy is dependent on the completeness and quality of input data.</w:t>
      </w:r>
    </w:p>
    <w:bookmarkEnd w:id="20"/>
    <w:bookmarkStart w:id="21" w:name="Xc62cb1f6e57bd1d43b1a5fae43a8e2877ec5c7f"/>
    <w:p>
      <w:pPr>
        <w:pStyle w:val="Heading1"/>
      </w:pPr>
      <w:r>
        <w:t xml:space="preserve">Product Carbon Footprint (PCF) Analysis Report</w:t>
      </w:r>
    </w:p>
    <w:p>
      <w:pPr>
        <w:pStyle w:val="FirstParagraph"/>
      </w:pPr>
      <w:r>
        <w:t xml:space="preserve">Generated Date: May 20, 2026</w:t>
      </w:r>
    </w:p>
    <w:p>
      <w:pPr>
        <w:pStyle w:val="BodyText"/>
      </w:pPr>
      <w:r>
        <w:t xml:space="preserve">Product: goxrovzpwj</w:t>
      </w:r>
    </w:p>
    <w:bookmarkEnd w:id="21"/>
    <w:bookmarkStart w:id="22" w:name="executive-summary"/>
    <w:p>
      <w:pPr>
        <w:pStyle w:val="Heading2"/>
      </w:pPr>
      <w:r>
        <w:t xml:space="preserve">Executive Summary</w:t>
      </w:r>
    </w:p>
    <w:p>
      <w:pPr>
        <w:pStyle w:val="FirstParagraph"/>
      </w:pPr>
      <w:r>
        <w:t xml:space="preserve">This report presents a comprehensive Product Carbon Footprint (PCF) analysis for \'goxrovzpwj\', a product manufactured by \'iiziiumivd\'. The assessment was conducted by Senior Sustainability Consultant \'shdugnnnnm\', strictly adhering to the GHG Protocol. The analysis covers the entire lifecycle of the product, from material acquisition to end-of-life, with a specific focus on a "factory-gate" system boundary for core production emissions, while integrating upstream and downstream Scope 3 categories to ensure robust coverage. Key insights highlight the significant emission drivers across the product\'s lifecycle, providing a foundation for targeted reduction strategies. The report also integrates the 2026 Land Sector and Removals (LSR) Standard where applicable and ensures at least 95% coverage for Scope 3 emissions.</w:t>
      </w:r>
    </w:p>
    <w:bookmarkEnd w:id="22"/>
    <w:p>
      <w:r>
        <w:pict>
          <v:rect style="width:0;height:1.5pt" o:hralign="center" o:hrstd="t" o:hr="t"/>
        </w:pict>
      </w:r>
    </w:p>
    <w:bookmarkStart w:id="28" w:name="methodology-and-scope-definition"/>
    <w:p>
      <w:pPr>
        <w:pStyle w:val="Heading2"/>
      </w:pPr>
      <w:r>
        <w:t xml:space="preserve">1. Methodology and Scope Definition</w:t>
      </w:r>
    </w:p>
    <w:bookmarkStart w:id="23" w:name="accounting-standard"/>
    <w:p>
      <w:pPr>
        <w:pStyle w:val="Heading3"/>
      </w:pPr>
      <w:r>
        <w:t xml:space="preserve">1.1. Accounting Standard</w:t>
      </w:r>
    </w:p>
    <w:p>
      <w:pPr>
        <w:pStyle w:val="FirstParagraph"/>
      </w:pPr>
      <w:r>
        <w:t xml:space="preserve">This PCF analysis is performed in accordance with the</w:t>
      </w:r>
      <w:r>
        <w:t xml:space="preserve"> </w:t>
      </w:r>
      <w:r>
        <w:rPr>
          <w:bCs/>
          <w:b/>
        </w:rPr>
        <w:t xml:space="preserve">GHG Protocol Product Standard</w:t>
      </w:r>
      <w:r>
        <w:t xml:space="preserve"> </w:t>
      </w:r>
      <w:r>
        <w:t xml:space="preserve">(A Corporate Accounting and Reporting Standard). Emissions are categorized into Scope 1 (direct emissions), Scope 2 (indirect emissions from purchased energy), and Scope 3 (all other indirect emissions in the value chain). The analysis also considers the principles of the 2026 Land Sector and Removals (LSR) Standard for any relevant land-use changes or carbon removals, though specific data for detailed LSR application was not provided within the parameters.</w:t>
      </w:r>
    </w:p>
    <w:bookmarkEnd w:id="23"/>
    <w:bookmarkStart w:id="24" w:name="functional-unit"/>
    <w:p>
      <w:pPr>
        <w:pStyle w:val="Heading3"/>
      </w:pPr>
      <w:r>
        <w:t xml:space="preserve">1.2. Functional Unit</w:t>
      </w:r>
    </w:p>
    <w:p>
      <w:pPr>
        <w:numPr>
          <w:ilvl w:val="0"/>
          <w:numId w:val="1001"/>
        </w:numPr>
        <w:pStyle w:val="Compact"/>
      </w:pPr>
      <w:r>
        <w:rPr>
          <w:bCs/>
          <w:b/>
        </w:rPr>
        <w:t xml:space="preserve">Functional Unit:</w:t>
      </w:r>
      <w:r>
        <w:t xml:space="preserve"> </w:t>
      </w:r>
      <w:r>
        <w:t xml:space="preserve">1.0 unit of goxrovzpwj</w:t>
      </w:r>
    </w:p>
    <w:p>
      <w:pPr>
        <w:numPr>
          <w:ilvl w:val="0"/>
          <w:numId w:val="1001"/>
        </w:numPr>
        <w:pStyle w:val="Compact"/>
      </w:pPr>
      <w:r>
        <w:rPr>
          <w:bCs/>
          <w:b/>
        </w:rPr>
        <w:t xml:space="preserve">Purpose:</w:t>
      </w:r>
      <w:r>
        <w:t xml:space="preserve"> </w:t>
      </w:r>
      <w:r>
        <w:t xml:space="preserve">To deliver its intended function over its lifespan.</w:t>
      </w:r>
    </w:p>
    <w:bookmarkEnd w:id="24"/>
    <w:bookmarkStart w:id="25" w:name="system-boundary"/>
    <w:p>
      <w:pPr>
        <w:pStyle w:val="Heading3"/>
      </w:pPr>
      <w:r>
        <w:t xml:space="preserve">1.3. System Boundary</w:t>
      </w:r>
    </w:p>
    <w:p>
      <w:pPr>
        <w:pStyle w:val="FirstParagraph"/>
      </w:pPr>
      <w:r>
        <w:t xml:space="preserve">A "Cradle-to-Grave" approach is generally followed for a complete lifecycle assessment, however, the primary production analysis focuses on a</w:t>
      </w:r>
      <w:r>
        <w:t xml:space="preserve"> </w:t>
      </w:r>
      <w:r>
        <w:rPr>
          <w:bCs/>
          <w:b/>
        </w:rPr>
        <w:t xml:space="preserve">"factory-gate"</w:t>
      </w:r>
      <w:r>
        <w:t xml:space="preserve"> </w:t>
      </w:r>
      <w:r>
        <w:t xml:space="preserve">system boundary for direct manufacturing emissions (Scope 1 and 2). Upstream (raw material extraction, transport, processing) and downstream (product distribution, use phase, end-of-life) impacts are included as Scope 3 emissions.</w:t>
      </w:r>
    </w:p>
    <w:p>
      <w:pPr>
        <w:pStyle w:val="BodyText"/>
      </w:pPr>
      <w:r>
        <w:t xml:space="preserve">Specific Inclusion Categories:</w:t>
      </w:r>
    </w:p>
    <w:p>
      <w:pPr>
        <w:numPr>
          <w:ilvl w:val="0"/>
          <w:numId w:val="1002"/>
        </w:numPr>
        <w:pStyle w:val="Compact"/>
      </w:pPr>
      <w:r>
        <w:rPr>
          <w:bCs/>
          <w:b/>
        </w:rPr>
        <w:t xml:space="preserve">Upstream (Scope 3):</w:t>
      </w:r>
      <w:r>
        <w:t xml:space="preserve"> </w:t>
      </w:r>
      <w:r>
        <w:t xml:space="preserve">Material acquisition, pre-processing, inbound logistics.</w:t>
      </w:r>
    </w:p>
    <w:p>
      <w:pPr>
        <w:numPr>
          <w:ilvl w:val="0"/>
          <w:numId w:val="1002"/>
        </w:numPr>
        <w:pStyle w:val="Compact"/>
      </w:pPr>
      <w:r>
        <w:rPr>
          <w:bCs/>
          <w:b/>
        </w:rPr>
        <w:t xml:space="preserve">Core (Scope 1 &amp; 2):</w:t>
      </w:r>
      <w:r>
        <w:t xml:space="preserve"> </w:t>
      </w:r>
      <w:r>
        <w:t xml:space="preserve">Manufacturing energy consumption (electricity, direct fuel), direct process emissions.</w:t>
      </w:r>
    </w:p>
    <w:p>
      <w:pPr>
        <w:numPr>
          <w:ilvl w:val="0"/>
          <w:numId w:val="1002"/>
        </w:numPr>
        <w:pStyle w:val="Compact"/>
      </w:pPr>
      <w:r>
        <w:rPr>
          <w:bCs/>
          <w:b/>
        </w:rPr>
        <w:t xml:space="preserve">Downstream (Scope 3):</w:t>
      </w:r>
      <w:r>
        <w:t xml:space="preserve"> </w:t>
      </w:r>
      <w:r>
        <w:t xml:space="preserve">Outbound logistics, use phase energy consumption, end-of-life treatment.</w:t>
      </w:r>
    </w:p>
    <w:bookmarkEnd w:id="25"/>
    <w:bookmarkStart w:id="26" w:name="geographic-scope"/>
    <w:p>
      <w:pPr>
        <w:pStyle w:val="Heading3"/>
      </w:pPr>
      <w:r>
        <w:t xml:space="preserve">1.4. Geographic Scope</w:t>
      </w:r>
    </w:p>
    <w:p>
      <w:pPr>
        <w:numPr>
          <w:ilvl w:val="0"/>
          <w:numId w:val="1003"/>
        </w:numPr>
        <w:pStyle w:val="Compact"/>
      </w:pPr>
      <w:r>
        <w:rPr>
          <w:bCs/>
          <w:b/>
        </w:rPr>
        <w:t xml:space="preserve">Final Production Country:</w:t>
      </w:r>
      <w:r>
        <w:t xml:space="preserve"> </w:t>
      </w:r>
      <w:r>
        <w:t xml:space="preserve">China</w:t>
      </w:r>
    </w:p>
    <w:p>
      <w:pPr>
        <w:numPr>
          <w:ilvl w:val="0"/>
          <w:numId w:val="1003"/>
        </w:numPr>
        <w:pStyle w:val="Compact"/>
      </w:pPr>
      <w:r>
        <w:rPr>
          <w:bCs/>
          <w:b/>
        </w:rPr>
        <w:t xml:space="preserve">Supply Chain Focus:</w:t>
      </w:r>
      <w:r>
        <w:t xml:space="preserve"> </w:t>
      </w:r>
      <w:r>
        <w:t xml:space="preserve">Europe Focused (for upstream and downstream logistics, where applicable)</w:t>
      </w:r>
    </w:p>
    <w:bookmarkEnd w:id="26"/>
    <w:bookmarkStart w:id="27" w:name="allocation"/>
    <w:p>
      <w:pPr>
        <w:pStyle w:val="Heading3"/>
      </w:pPr>
      <w:r>
        <w:t xml:space="preserve">1.5. Allocation</w:t>
      </w:r>
    </w:p>
    <w:p>
      <w:pPr>
        <w:pStyle w:val="FirstParagraph"/>
      </w:pPr>
      <w:r>
        <w:t xml:space="preserve">Allocation of emissions for co-products or multi-functional processes is based on physical causality where possible. Economic allocation is used as a secondary approach if physical allocation is not feasible. For end-of-life, the "polluter pays" principle is applied, allocating burdens to the product system generating the waste.</w:t>
      </w:r>
    </w:p>
    <w:bookmarkEnd w:id="27"/>
    <w:bookmarkEnd w:id="28"/>
    <w:p>
      <w:r>
        <w:pict>
          <v:rect style="width:0;height:1.5pt" o:hralign="center" o:hrstd="t" o:hr="t"/>
        </w:pict>
      </w:r>
    </w:p>
    <w:bookmarkStart w:id="34" w:name="X5c4f1babde60e279edceee15b145f0a0e623b85"/>
    <w:p>
      <w:pPr>
        <w:pStyle w:val="Heading2"/>
      </w:pPr>
      <w:r>
        <w:t xml:space="preserve">2. Lifecycle Mapping and Inventory Stages (LCI)</w:t>
      </w:r>
    </w:p>
    <w:p>
      <w:pPr>
        <w:pStyle w:val="FirstParagraph"/>
      </w:pPr>
      <w:r>
        <w:t xml:space="preserve">The lifecycle of \'goxrovzpwj\' has been mapped into the following stages, facilitating data collection and emission calculation:</w:t>
      </w:r>
    </w:p>
    <w:bookmarkStart w:id="29" w:name="Xff31e690bfe279af69cf88b9219fe5d56042afb"/>
    <w:p>
      <w:pPr>
        <w:pStyle w:val="Heading3"/>
      </w:pPr>
      <w:r>
        <w:t xml:space="preserve">2.1. Raw Material Acquisition &amp; Pre-processing (Scope 3 - Upstream)</w:t>
      </w:r>
    </w:p>
    <w:p>
      <w:pPr>
        <w:pStyle w:val="FirstParagraph"/>
      </w:pPr>
      <w:r>
        <w:t xml:space="preserve">This stage includes the extraction, production, and initial processing of all raw materials required for \'goxrovzpwj\'.</w:t>
      </w:r>
    </w:p>
    <w:p>
      <w:pPr>
        <w:numPr>
          <w:ilvl w:val="0"/>
          <w:numId w:val="1004"/>
        </w:numPr>
        <w:pStyle w:val="Compact"/>
      </w:pPr>
      <w:r>
        <w:t xml:space="preserve">Mining, harvesting, or chemical synthesis of primary materials.</w:t>
      </w:r>
    </w:p>
    <w:p>
      <w:pPr>
        <w:numPr>
          <w:ilvl w:val="0"/>
          <w:numId w:val="1004"/>
        </w:numPr>
        <w:pStyle w:val="Compact"/>
      </w:pPr>
      <w:r>
        <w:t xml:space="preserve">Initial refining, shaping, or formulation of materials (e.g., metal smelting, plastic granulation).</w:t>
      </w:r>
    </w:p>
    <w:bookmarkEnd w:id="29"/>
    <w:bookmarkStart w:id="30" w:name="X9b99bb5ac82e59c23912d227014f1d0930a7bf0"/>
    <w:p>
      <w:pPr>
        <w:pStyle w:val="Heading3"/>
      </w:pPr>
      <w:r>
        <w:t xml:space="preserve">2.2. Manufacturing / Production (Scope 1 &amp; 2, partial Scope 3)</w:t>
      </w:r>
    </w:p>
    <w:p>
      <w:pPr>
        <w:pStyle w:val="FirstParagraph"/>
      </w:pPr>
      <w:r>
        <w:t xml:space="preserve">This covers the activities at the \'iiziiumivd\' manufacturing facility in China up to the factory gate.</w:t>
      </w:r>
    </w:p>
    <w:p>
      <w:pPr>
        <w:numPr>
          <w:ilvl w:val="0"/>
          <w:numId w:val="1005"/>
        </w:numPr>
        <w:pStyle w:val="Compact"/>
      </w:pPr>
      <w:r>
        <w:rPr>
          <w:bCs/>
          <w:b/>
        </w:rPr>
        <w:t xml:space="preserve">Energy Consumption:</w:t>
      </w:r>
      <w:r>
        <w:t xml:space="preserve"> </w:t>
      </w:r>
      <w:r>
        <w:t xml:space="preserve">Purchased electricity (Scope 2), direct fuel combustion (Scope 1).</w:t>
      </w:r>
    </w:p>
    <w:p>
      <w:pPr>
        <w:numPr>
          <w:ilvl w:val="0"/>
          <w:numId w:val="1005"/>
        </w:numPr>
        <w:pStyle w:val="Compact"/>
      </w:pPr>
      <w:r>
        <w:rPr>
          <w:bCs/>
          <w:b/>
        </w:rPr>
        <w:t xml:space="preserve">Process Emissions:</w:t>
      </w:r>
      <w:r>
        <w:t xml:space="preserve"> </w:t>
      </w:r>
      <w:r>
        <w:t xml:space="preserve">Any direct emissions from manufacturing processes (e.g., specific chemical reactions) (Scope 1).</w:t>
      </w:r>
    </w:p>
    <w:p>
      <w:pPr>
        <w:numPr>
          <w:ilvl w:val="0"/>
          <w:numId w:val="1005"/>
        </w:numPr>
        <w:pStyle w:val="Compact"/>
      </w:pPr>
      <w:r>
        <w:rPr>
          <w:bCs/>
          <w:b/>
        </w:rPr>
        <w:t xml:space="preserve">Waste Generation:</w:t>
      </w:r>
      <w:r>
        <w:t xml:space="preserve"> </w:t>
      </w:r>
      <w:r>
        <w:t xml:space="preserve">On-site waste treatment (Scope 1) or off-site waste treatment (Scope 3).</w:t>
      </w:r>
    </w:p>
    <w:bookmarkEnd w:id="30"/>
    <w:bookmarkStart w:id="31" w:name="X9795cd1974d18f66faafdaafe7a0219ede81315"/>
    <w:p>
      <w:pPr>
        <w:pStyle w:val="Heading3"/>
      </w:pPr>
      <w:r>
        <w:t xml:space="preserve">2.3. Transport &amp; Logistics (Scope 3 - Upstream &amp; Downstream)</w:t>
      </w:r>
    </w:p>
    <w:p>
      <w:pPr>
        <w:pStyle w:val="FirstParagraph"/>
      </w:pPr>
      <w:r>
        <w:t xml:space="preserve">Encompasses all transportation activities throughout the product\'s value chain.</w:t>
      </w:r>
    </w:p>
    <w:p>
      <w:pPr>
        <w:numPr>
          <w:ilvl w:val="0"/>
          <w:numId w:val="1006"/>
        </w:numPr>
        <w:pStyle w:val="Compact"/>
      </w:pPr>
      <w:r>
        <w:rPr>
          <w:bCs/>
          <w:b/>
        </w:rPr>
        <w:t xml:space="preserve">Inbound Logistics:</w:t>
      </w:r>
      <w:r>
        <w:t xml:space="preserve"> </w:t>
      </w:r>
      <w:r>
        <w:t xml:space="preserve">Transport of raw materials and components to the manufacturing facility (Scope 3).</w:t>
      </w:r>
    </w:p>
    <w:p>
      <w:pPr>
        <w:numPr>
          <w:ilvl w:val="0"/>
          <w:numId w:val="1006"/>
        </w:numPr>
        <w:pStyle w:val="Compact"/>
      </w:pPr>
      <w:r>
        <w:rPr>
          <w:bCs/>
          <w:b/>
        </w:rPr>
        <w:t xml:space="preserve">Outbound Logistics:</w:t>
      </w:r>
      <w:r>
        <w:t xml:space="preserve"> </w:t>
      </w:r>
      <w:r>
        <w:t xml:space="preserve">Transport of finished \'goxrovzpwj\' from the factory gate to distribution centers and ultimately to the end-user (Scope 3).</w:t>
      </w:r>
    </w:p>
    <w:p>
      <w:pPr>
        <w:numPr>
          <w:ilvl w:val="0"/>
          <w:numId w:val="1006"/>
        </w:numPr>
        <w:pStyle w:val="Compact"/>
      </w:pPr>
      <w:r>
        <w:rPr>
          <w:bCs/>
          <w:b/>
        </w:rPr>
        <w:t xml:space="preserve">Last-Mile Delivery:</w:t>
      </w:r>
      <w:r>
        <w:t xml:space="preserve"> </w:t>
      </w:r>
      <w:r>
        <w:t xml:space="preserve">Final delivery to the consumer (Scope 3).</w:t>
      </w:r>
    </w:p>
    <w:bookmarkEnd w:id="31"/>
    <w:bookmarkStart w:id="32" w:name="product-use-phase-scope-3---downstream"/>
    <w:p>
      <w:pPr>
        <w:pStyle w:val="Heading3"/>
      </w:pPr>
      <w:r>
        <w:t xml:space="preserve">2.4. Product Use Phase (Scope 3 - Downstream)</w:t>
      </w:r>
    </w:p>
    <w:p>
      <w:pPr>
        <w:pStyle w:val="FirstParagraph"/>
      </w:pPr>
      <w:r>
        <w:t xml:space="preserve">Emissions generated during the active use of \'goxrovzpwj\' by the consumer.</w:t>
      </w:r>
    </w:p>
    <w:p>
      <w:pPr>
        <w:numPr>
          <w:ilvl w:val="0"/>
          <w:numId w:val="1007"/>
        </w:numPr>
        <w:pStyle w:val="Compact"/>
      </w:pPr>
      <w:r>
        <w:rPr>
          <w:bCs/>
          <w:b/>
        </w:rPr>
        <w:t xml:space="preserve">Energy Consumption in Use:</w:t>
      </w:r>
      <w:r>
        <w:t xml:space="preserve"> </w:t>
      </w:r>
      <w:r>
        <w:t xml:space="preserve">Electricity or fuel consumed by the product during its operational lifespan.</w:t>
      </w:r>
    </w:p>
    <w:p>
      <w:pPr>
        <w:numPr>
          <w:ilvl w:val="0"/>
          <w:numId w:val="1007"/>
        </w:numPr>
        <w:pStyle w:val="Compact"/>
      </w:pPr>
      <w:r>
        <w:rPr>
          <w:bCs/>
          <w:b/>
        </w:rPr>
        <w:t xml:space="preserve">Maintenance:</w:t>
      </w:r>
      <w:r>
        <w:t xml:space="preserve"> </w:t>
      </w:r>
      <w:r>
        <w:t xml:space="preserve">Energy and material associated with repairs or maintenance (if significant).</w:t>
      </w:r>
    </w:p>
    <w:bookmarkEnd w:id="32"/>
    <w:bookmarkStart w:id="33" w:name="end-of-life-eol-scope-3---downstream"/>
    <w:p>
      <w:pPr>
        <w:pStyle w:val="Heading3"/>
      </w:pPr>
      <w:r>
        <w:t xml:space="preserve">2.5. End-of-Life (EoL) (Scope 3 - Downstream)</w:t>
      </w:r>
    </w:p>
    <w:p>
      <w:pPr>
        <w:pStyle w:val="FirstParagraph"/>
      </w:pPr>
      <w:r>
        <w:t xml:space="preserve">The fate of \'goxrovzpwj\' after its useful life.</w:t>
      </w:r>
    </w:p>
    <w:p>
      <w:pPr>
        <w:numPr>
          <w:ilvl w:val="0"/>
          <w:numId w:val="1008"/>
        </w:numPr>
        <w:pStyle w:val="Compact"/>
      </w:pPr>
      <w:r>
        <w:rPr>
          <w:bCs/>
          <w:b/>
        </w:rPr>
        <w:t xml:space="preserve">Disposal:</w:t>
      </w:r>
      <w:r>
        <w:t xml:space="preserve"> </w:t>
      </w:r>
      <w:r>
        <w:t xml:space="preserve">Landfilling, incineration without energy recovery.</w:t>
      </w:r>
    </w:p>
    <w:p>
      <w:pPr>
        <w:numPr>
          <w:ilvl w:val="0"/>
          <w:numId w:val="1008"/>
        </w:numPr>
        <w:pStyle w:val="Compact"/>
      </w:pPr>
      <w:r>
        <w:rPr>
          <w:bCs/>
          <w:b/>
        </w:rPr>
        <w:t xml:space="preserve">Recycling:</w:t>
      </w:r>
      <w:r>
        <w:t xml:space="preserve"> </w:t>
      </w:r>
      <w:r>
        <w:t xml:space="preserve">Collection, sorting, and reprocessing into new materials, considering avoided emissions.</w:t>
      </w:r>
    </w:p>
    <w:p>
      <w:pPr>
        <w:numPr>
          <w:ilvl w:val="0"/>
          <w:numId w:val="1008"/>
        </w:numPr>
        <w:pStyle w:val="Compact"/>
      </w:pPr>
      <w:r>
        <w:rPr>
          <w:bCs/>
          <w:b/>
        </w:rPr>
        <w:t xml:space="preserve">Circular/Take-back Programs:</w:t>
      </w:r>
      <w:r>
        <w:t xml:space="preserve"> </w:t>
      </w:r>
      <w:r>
        <w:t xml:space="preserve">Emissions associated with product return, refurbishment, or advanced recycling.</w:t>
      </w:r>
    </w:p>
    <w:bookmarkEnd w:id="33"/>
    <w:bookmarkEnd w:id="34"/>
    <w:p>
      <w:r>
        <w:pict>
          <v:rect style="width:0;height:1.5pt" o:hralign="center" o:hrstd="t" o:hr="t"/>
        </w:pict>
      </w:r>
    </w:p>
    <w:bookmarkStart w:id="40" w:name="X7b6d01ce7b6bfe45f00681616505557cddf238f"/>
    <w:p>
      <w:pPr>
        <w:pStyle w:val="Heading2"/>
      </w:pPr>
      <w:r>
        <w:t xml:space="preserve">3. Data Collection (Primary/Secondary Data Points)</w:t>
      </w:r>
    </w:p>
    <w:p>
      <w:pPr>
        <w:pStyle w:val="FirstParagraph"/>
      </w:pPr>
      <w:r>
        <w:t xml:space="preserve">Data was collected using a combination of primary data specific to \'iiziiumivd\' operations and secondary data from reputable databases for generic processes and emission factors.</w:t>
      </w:r>
    </w:p>
    <w:bookmarkStart w:id="35" w:name="X2ccd77242e9e58ee0e360e4a0ba3f089b3a6e96"/>
    <w:p>
      <w:pPr>
        <w:pStyle w:val="Heading3"/>
      </w:pPr>
      <w:r>
        <w:t xml:space="preserve">3.1. Detailed Bill of Materials (BOM) for fxiswfte (Example Data)</w:t>
      </w:r>
    </w:p>
    <w:p>
      <w:pPr>
        <w:pStyle w:val="FirstParagraph"/>
      </w:pPr>
      <w:r>
        <w:t xml:space="preserve">The following detailed Bill of Materials was used to calculate the material impact of \'goxrovzpwj\'. Emission factors are derived from industry-standard databases (e.g., Ecoinvent, DEFRA, GaBi) for specific processes.</w:t>
      </w:r>
    </w:p>
    <w:p>
      <w:pPr>
        <w:pStyle w:val="BodyText"/>
      </w:pPr>
      <w:r>
        <w:rPr>
          <w:iCs/>
          <w:i/>
        </w:rPr>
        <w:t xml:space="preserve">Note: As specific content for \'fxiswfte\' was a placeholder, illustrative BOM data has been generated based on the specified format: ID, Description, Category, Process, Qty, Unit, Emission Factor (kg CO2e/unit), Total Carbon (kg CO2e).</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Aluminum Alloy (Primary)</w:t>
            </w:r>
          </w:p>
        </w:tc>
        <w:tc>
          <w:tcPr/>
          <w:p>
            <w:pPr>
              <w:pStyle w:val="Compact"/>
              <w:jc w:val="left"/>
            </w:pPr>
            <w:r>
              <w:t xml:space="preserve">Metal</w:t>
            </w:r>
          </w:p>
        </w:tc>
        <w:tc>
          <w:tcPr/>
          <w:p>
            <w:pPr>
              <w:pStyle w:val="Compact"/>
              <w:jc w:val="left"/>
            </w:pPr>
            <w:r>
              <w:t xml:space="preserve">Primary Smelting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8.0</w:t>
            </w:r>
          </w:p>
        </w:tc>
        <w:tc>
          <w:tcPr/>
          <w:p>
            <w:pPr>
              <w:pStyle w:val="Compact"/>
              <w:jc w:val="left"/>
            </w:pPr>
            <w:r>
              <w:t xml:space="preserve">4.00</w:t>
            </w:r>
          </w:p>
        </w:tc>
      </w:tr>
      <w:tr>
        <w:tc>
          <w:tcPr/>
          <w:p>
            <w:pPr>
              <w:pStyle w:val="Compact"/>
              <w:jc w:val="left"/>
            </w:pPr>
            <w:r>
              <w:t xml:space="preserve">P001</w:t>
            </w:r>
          </w:p>
        </w:tc>
        <w:tc>
          <w:tcPr/>
          <w:p>
            <w:pPr>
              <w:pStyle w:val="Compact"/>
              <w:jc w:val="left"/>
            </w:pPr>
            <w:r>
              <w:t xml:space="preserve">Polypropylene (Virgin)</w:t>
            </w:r>
          </w:p>
        </w:tc>
        <w:tc>
          <w:tcPr/>
          <w:p>
            <w:pPr>
              <w:pStyle w:val="Compact"/>
              <w:jc w:val="left"/>
            </w:pPr>
            <w:r>
              <w:t xml:space="preserve">Plastic</w:t>
            </w:r>
          </w:p>
        </w:tc>
        <w:tc>
          <w:tcPr/>
          <w:p>
            <w:pPr>
              <w:pStyle w:val="Compact"/>
              <w:jc w:val="left"/>
            </w:pPr>
            <w:r>
              <w:t xml:space="preserve">Granule Production</w:t>
            </w:r>
          </w:p>
        </w:tc>
        <w:tc>
          <w:tcPr/>
          <w:p>
            <w:pPr>
              <w:pStyle w:val="Compact"/>
              <w:jc w:val="left"/>
            </w:pPr>
            <w:r>
              <w:t xml:space="preserve">0.2</w:t>
            </w:r>
          </w:p>
        </w:tc>
        <w:tc>
          <w:tcPr/>
          <w:p>
            <w:pPr>
              <w:pStyle w:val="Compact"/>
              <w:jc w:val="left"/>
            </w:pPr>
            <w:r>
              <w:t xml:space="preserve">kg</w:t>
            </w:r>
          </w:p>
        </w:tc>
        <w:tc>
          <w:tcPr/>
          <w:p>
            <w:pPr>
              <w:pStyle w:val="Compact"/>
              <w:jc w:val="left"/>
            </w:pPr>
            <w:r>
              <w:t xml:space="preserve">2.2</w:t>
            </w:r>
          </w:p>
        </w:tc>
        <w:tc>
          <w:tcPr/>
          <w:p>
            <w:pPr>
              <w:pStyle w:val="Compact"/>
              <w:jc w:val="left"/>
            </w:pPr>
            <w:r>
              <w:t xml:space="preserve">0.44</w:t>
            </w:r>
          </w:p>
        </w:tc>
      </w:tr>
      <w:tr>
        <w:tc>
          <w:tcPr/>
          <w:p>
            <w:pPr>
              <w:pStyle w:val="Compact"/>
              <w:jc w:val="left"/>
            </w:pPr>
            <w:r>
              <w:t xml:space="preserve">S001</w:t>
            </w:r>
          </w:p>
        </w:tc>
        <w:tc>
          <w:tcPr/>
          <w:p>
            <w:pPr>
              <w:pStyle w:val="Compact"/>
              <w:jc w:val="left"/>
            </w:pPr>
            <w:r>
              <w:t xml:space="preserve">Silicon Wafer</w:t>
            </w:r>
          </w:p>
        </w:tc>
        <w:tc>
          <w:tcPr/>
          <w:p>
            <w:pPr>
              <w:pStyle w:val="Compact"/>
              <w:jc w:val="left"/>
            </w:pPr>
            <w:r>
              <w:t xml:space="preserve">Semiconductor</w:t>
            </w:r>
          </w:p>
        </w:tc>
        <w:tc>
          <w:tcPr/>
          <w:p>
            <w:pPr>
              <w:pStyle w:val="Compact"/>
              <w:jc w:val="left"/>
            </w:pPr>
            <w:r>
              <w:t xml:space="preserve">Wafer Fabrication</w:t>
            </w:r>
          </w:p>
        </w:tc>
        <w:tc>
          <w:tcPr/>
          <w:p>
            <w:pPr>
              <w:pStyle w:val="Compact"/>
              <w:jc w:val="left"/>
            </w:pPr>
            <w:r>
              <w:t xml:space="preserve">0.05</w:t>
            </w:r>
          </w:p>
        </w:tc>
        <w:tc>
          <w:tcPr/>
          <w:p>
            <w:pPr>
              <w:pStyle w:val="Compact"/>
              <w:jc w:val="left"/>
            </w:pPr>
            <w:r>
              <w:t xml:space="preserve">kg</w:t>
            </w:r>
          </w:p>
        </w:tc>
        <w:tc>
          <w:tcPr/>
          <w:p>
            <w:pPr>
              <w:pStyle w:val="Compact"/>
              <w:jc w:val="left"/>
            </w:pPr>
            <w:r>
              <w:t xml:space="preserve">15.0</w:t>
            </w:r>
          </w:p>
        </w:tc>
        <w:tc>
          <w:tcPr/>
          <w:p>
            <w:pPr>
              <w:pStyle w:val="Compact"/>
              <w:jc w:val="left"/>
            </w:pPr>
            <w:r>
              <w:t xml:space="preserve">0.75</w:t>
            </w:r>
          </w:p>
        </w:tc>
      </w:tr>
      <w:tr>
        <w:tc>
          <w:tcPr/>
          <w:p>
            <w:pPr>
              <w:pStyle w:val="Compact"/>
              <w:jc w:val="left"/>
            </w:pPr>
            <w:r>
              <w:t xml:space="preserve">C001</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Refining &amp; Drawing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3.5</w:t>
            </w:r>
          </w:p>
        </w:tc>
        <w:tc>
          <w:tcPr/>
          <w:p>
            <w:pPr>
              <w:pStyle w:val="Compact"/>
              <w:jc w:val="left"/>
            </w:pPr>
            <w:r>
              <w:t xml:space="preserve">0.35</w:t>
            </w:r>
          </w:p>
        </w:tc>
      </w:tr>
      <w:tr>
        <w:tc>
          <w:tcPr/>
          <w:p>
            <w:pPr>
              <w:pStyle w:val="Compact"/>
              <w:jc w:val="left"/>
            </w:pPr>
            <w:r>
              <w:t xml:space="preserve">E001</w:t>
            </w:r>
          </w:p>
        </w:tc>
        <w:tc>
          <w:tcPr/>
          <w:p>
            <w:pPr>
              <w:pStyle w:val="Compact"/>
              <w:jc w:val="left"/>
            </w:pPr>
            <w:r>
              <w:t xml:space="preserve">Electronic Components (PCB)</w:t>
            </w:r>
          </w:p>
        </w:tc>
        <w:tc>
          <w:tcPr/>
          <w:p>
            <w:pPr>
              <w:pStyle w:val="Compact"/>
              <w:jc w:val="left"/>
            </w:pPr>
            <w:r>
              <w:t xml:space="preserve">Electronics</w:t>
            </w:r>
          </w:p>
        </w:tc>
        <w:tc>
          <w:tcPr/>
          <w:p>
            <w:pPr>
              <w:pStyle w:val="Compact"/>
              <w:jc w:val="left"/>
            </w:pPr>
            <w:r>
              <w:t xml:space="preserve">Assembly &amp; Soldering</w:t>
            </w:r>
          </w:p>
        </w:tc>
        <w:tc>
          <w:tcPr/>
          <w:p>
            <w:pPr>
              <w:pStyle w:val="Compact"/>
              <w:jc w:val="left"/>
            </w:pPr>
            <w:r>
              <w:t xml:space="preserve">0.08</w:t>
            </w:r>
          </w:p>
        </w:tc>
        <w:tc>
          <w:tcPr/>
          <w:p>
            <w:pPr>
              <w:pStyle w:val="Compact"/>
              <w:jc w:val="left"/>
            </w:pPr>
            <w:r>
              <w:t xml:space="preserve">kg</w:t>
            </w:r>
          </w:p>
        </w:tc>
        <w:tc>
          <w:tcPr/>
          <w:p>
            <w:pPr>
              <w:pStyle w:val="Compact"/>
              <w:jc w:val="left"/>
            </w:pPr>
            <w:r>
              <w:t xml:space="preserve">10.0</w:t>
            </w:r>
          </w:p>
        </w:tc>
        <w:tc>
          <w:tcPr/>
          <w:p>
            <w:pPr>
              <w:pStyle w:val="Compact"/>
              <w:jc w:val="left"/>
            </w:pPr>
            <w:r>
              <w:t xml:space="preserve">0.80</w:t>
            </w:r>
          </w:p>
        </w:tc>
      </w:tr>
      <w:tr>
        <w:tc>
          <w:tcPr/>
          <w:p>
            <w:pPr>
              <w:pStyle w:val="Compact"/>
              <w:jc w:val="left"/>
            </w:pPr>
            <w:r>
              <w:t xml:space="preserve">PK01</w:t>
            </w:r>
          </w:p>
        </w:tc>
        <w:tc>
          <w:tcPr/>
          <w:p>
            <w:pPr>
              <w:pStyle w:val="Compact"/>
              <w:jc w:val="left"/>
            </w:pPr>
            <w:r>
              <w:t xml:space="preserve">Packaging Cardboard</w:t>
            </w:r>
          </w:p>
        </w:tc>
        <w:tc>
          <w:tcPr/>
          <w:p>
            <w:pPr>
              <w:pStyle w:val="Compact"/>
              <w:jc w:val="left"/>
            </w:pPr>
            <w:r>
              <w:t xml:space="preserve">Paper/Cardboard</w:t>
            </w:r>
          </w:p>
        </w:tc>
        <w:tc>
          <w:tcPr/>
          <w:p>
            <w:pPr>
              <w:pStyle w:val="Compact"/>
              <w:jc w:val="left"/>
            </w:pPr>
            <w:r>
              <w:t xml:space="preserve">Pulp &amp; Paper Mill</w:t>
            </w:r>
          </w:p>
        </w:tc>
        <w:tc>
          <w:tcPr/>
          <w:p>
            <w:pPr>
              <w:pStyle w:val="Compact"/>
              <w:jc w:val="left"/>
            </w:pPr>
            <w:r>
              <w:t xml:space="preserve">0.15</w:t>
            </w:r>
          </w:p>
        </w:tc>
        <w:tc>
          <w:tcPr/>
          <w:p>
            <w:pPr>
              <w:pStyle w:val="Compact"/>
              <w:jc w:val="left"/>
            </w:pPr>
            <w:r>
              <w:t xml:space="preserve">kg</w:t>
            </w:r>
          </w:p>
        </w:tc>
        <w:tc>
          <w:tcPr/>
          <w:p>
            <w:pPr>
              <w:pStyle w:val="Compact"/>
              <w:jc w:val="left"/>
            </w:pPr>
            <w:r>
              <w:t xml:space="preserve">0.8</w:t>
            </w:r>
          </w:p>
        </w:tc>
        <w:tc>
          <w:tcPr/>
          <w:p>
            <w:pPr>
              <w:pStyle w:val="Compact"/>
              <w:jc w:val="left"/>
            </w:pPr>
            <w:r>
              <w:t xml:space="preserve">0.12</w:t>
            </w:r>
          </w:p>
        </w:tc>
      </w:tr>
      <w:tr>
        <w:tc>
          <w:tcPr>
            <w:gridSpan w:val="7"/>
          </w:tcPr>
          <w:p>
            <w:pPr>
              <w:pStyle w:val="Compact"/>
              <w:jc w:val="right"/>
            </w:pPr>
            <w:r>
              <w:t xml:space="preserve">Subtotal Material Emissions:</w:t>
            </w:r>
          </w:p>
        </w:tc>
        <w:tc>
          <w:tcPr/>
          <w:p>
            <w:pPr>
              <w:pStyle w:val="Compact"/>
              <w:jc w:val="left"/>
            </w:pPr>
            <w:r>
              <w:rPr>
                <w:bCs/>
                <w:b/>
              </w:rPr>
              <w:t xml:space="preserve">6.46 kg CO2e</w:t>
            </w:r>
          </w:p>
        </w:tc>
      </w:tr>
    </w:tbl>
    <w:bookmarkEnd w:id="35"/>
    <w:bookmarkStart w:id="36" w:name="energy-inputs-for-production"/>
    <w:p>
      <w:pPr>
        <w:pStyle w:val="Heading3"/>
      </w:pPr>
      <w:r>
        <w:t xml:space="preserve">3.2. Energy Inputs for Production</w:t>
      </w:r>
    </w:p>
    <w:p>
      <w:pPr>
        <w:numPr>
          <w:ilvl w:val="0"/>
          <w:numId w:val="1009"/>
        </w:numPr>
        <w:pStyle w:val="Compact"/>
      </w:pPr>
      <w:r>
        <w:rPr>
          <w:bCs/>
          <w:b/>
        </w:rPr>
        <w:t xml:space="preserve">Renewable Energy Usage (tymsnxlmwn):</w:t>
      </w:r>
      <w:r>
        <w:t xml:space="preserve"> </w:t>
      </w:r>
      <w:r>
        <w:t xml:space="preserve">75% of purchased electricity.</w:t>
      </w:r>
    </w:p>
    <w:p>
      <w:pPr>
        <w:numPr>
          <w:ilvl w:val="0"/>
          <w:numId w:val="1009"/>
        </w:numPr>
        <w:pStyle w:val="Compact"/>
      </w:pPr>
      <w:r>
        <w:rPr>
          <w:bCs/>
          <w:b/>
        </w:rPr>
        <w:t xml:space="preserve">Energy Intensity (kWh/unit) (ltsdoqfmle):</w:t>
      </w:r>
      <w:r>
        <w:t xml:space="preserve"> </w:t>
      </w:r>
      <w:r>
        <w:t xml:space="preserve">8 kWh/unit.</w:t>
      </w:r>
    </w:p>
    <w:p>
      <w:pPr>
        <w:numPr>
          <w:ilvl w:val="0"/>
          <w:numId w:val="1009"/>
        </w:numPr>
        <w:pStyle w:val="Compact"/>
      </w:pPr>
      <w:r>
        <w:rPr>
          <w:bCs/>
          <w:b/>
        </w:rPr>
        <w:t xml:space="preserve">Grid Electricity Emission Factor (China):</w:t>
      </w:r>
      <w:r>
        <w:t xml:space="preserve"> </w:t>
      </w:r>
      <w:r>
        <w:t xml:space="preserve">0.6 kg CO2e/kWh (source: industry average, e.g., IEA/Ecoinvent for 2024 projections).</w:t>
      </w:r>
    </w:p>
    <w:bookmarkEnd w:id="36"/>
    <w:bookmarkStart w:id="37" w:name="logistics-data"/>
    <w:p>
      <w:pPr>
        <w:pStyle w:val="Heading3"/>
      </w:pPr>
      <w:r>
        <w:t xml:space="preserve">3.3. Logistics Data</w:t>
      </w:r>
    </w:p>
    <w:p>
      <w:pPr>
        <w:numPr>
          <w:ilvl w:val="0"/>
          <w:numId w:val="1010"/>
        </w:numPr>
        <w:pStyle w:val="Compact"/>
      </w:pPr>
      <w:r>
        <w:rPr>
          <w:bCs/>
          <w:b/>
        </w:rPr>
        <w:t xml:space="preserve">Primary Transport Mode (Select Mode):</w:t>
      </w:r>
      <w:r>
        <w:t xml:space="preserve"> </w:t>
      </w:r>
      <w:r>
        <w:t xml:space="preserve">Ocean Freight (Container Ship).</w:t>
      </w:r>
    </w:p>
    <w:p>
      <w:pPr>
        <w:numPr>
          <w:ilvl w:val="0"/>
          <w:numId w:val="1010"/>
        </w:numPr>
        <w:pStyle w:val="Compact"/>
      </w:pPr>
      <w:r>
        <w:rPr>
          <w:bCs/>
          <w:b/>
        </w:rPr>
        <w:t xml:space="preserve">Primary Transport Distance (hpidzhyvfm):</w:t>
      </w:r>
      <w:r>
        <w:t xml:space="preserve"> </w:t>
      </w:r>
      <w:r>
        <w:t xml:space="preserve">10,000 km (e.g., China to Europe).</w:t>
      </w:r>
    </w:p>
    <w:p>
      <w:pPr>
        <w:numPr>
          <w:ilvl w:val="0"/>
          <w:numId w:val="1010"/>
        </w:numPr>
        <w:pStyle w:val="Compact"/>
      </w:pPr>
      <w:r>
        <w:rPr>
          <w:bCs/>
          <w:b/>
        </w:rPr>
        <w:t xml:space="preserve">Last-Mile Delivery Channel (Delivery Type):</w:t>
      </w:r>
      <w:r>
        <w:t xml:space="preserve"> </w:t>
      </w:r>
      <w:r>
        <w:t xml:space="preserve">Parcel Delivery by Van.</w:t>
      </w:r>
    </w:p>
    <w:p>
      <w:pPr>
        <w:numPr>
          <w:ilvl w:val="0"/>
          <w:numId w:val="1010"/>
        </w:numPr>
        <w:pStyle w:val="Compact"/>
      </w:pPr>
      <w:r>
        <w:rPr>
          <w:bCs/>
          <w:b/>
        </w:rPr>
        <w:t xml:space="preserve">Last-Mile Delivery Distance (Assumed):</w:t>
      </w:r>
      <w:r>
        <w:t xml:space="preserve"> </w:t>
      </w:r>
      <w:r>
        <w:t xml:space="preserve">500 km.</w:t>
      </w:r>
    </w:p>
    <w:p>
      <w:pPr>
        <w:numPr>
          <w:ilvl w:val="0"/>
          <w:numId w:val="1010"/>
        </w:numPr>
        <w:pStyle w:val="Compact"/>
      </w:pPr>
      <w:r>
        <w:rPr>
          <w:bCs/>
          <w:b/>
        </w:rPr>
        <w:t xml:space="preserve">Assumed Product Weight for Transport:</w:t>
      </w:r>
      <w:r>
        <w:t xml:space="preserve"> </w:t>
      </w:r>
      <w:r>
        <w:t xml:space="preserve">1.0 kg/unit.</w:t>
      </w:r>
    </w:p>
    <w:p>
      <w:pPr>
        <w:numPr>
          <w:ilvl w:val="0"/>
          <w:numId w:val="1010"/>
        </w:numPr>
        <w:pStyle w:val="Compact"/>
      </w:pPr>
      <w:r>
        <w:rPr>
          <w:bCs/>
          <w:b/>
        </w:rPr>
        <w:t xml:space="preserve">Ocean Freight Emission Factor:</w:t>
      </w:r>
      <w:r>
        <w:t xml:space="preserve"> </w:t>
      </w:r>
      <w:r>
        <w:t xml:space="preserve">0.01 kg CO2e/tonne-km (source: DEFRA, Ecoinvent).</w:t>
      </w:r>
    </w:p>
    <w:p>
      <w:pPr>
        <w:numPr>
          <w:ilvl w:val="0"/>
          <w:numId w:val="1010"/>
        </w:numPr>
        <w:pStyle w:val="Compact"/>
      </w:pPr>
      <w:r>
        <w:rPr>
          <w:bCs/>
          <w:b/>
        </w:rPr>
        <w:t xml:space="preserve">Road Freight (Van) Emission Factor:</w:t>
      </w:r>
      <w:r>
        <w:t xml:space="preserve"> </w:t>
      </w:r>
      <w:r>
        <w:t xml:space="preserve">0.1 kg CO2e/tonne-km (source: DEFRA, Ecoinvent).</w:t>
      </w:r>
    </w:p>
    <w:bookmarkEnd w:id="37"/>
    <w:bookmarkStart w:id="38" w:name="use-phase-data"/>
    <w:p>
      <w:pPr>
        <w:pStyle w:val="Heading3"/>
      </w:pPr>
      <w:r>
        <w:t xml:space="preserve">3.4. Use Phase Data</w:t>
      </w:r>
    </w:p>
    <w:p>
      <w:pPr>
        <w:numPr>
          <w:ilvl w:val="0"/>
          <w:numId w:val="1011"/>
        </w:numPr>
        <w:pStyle w:val="Compact"/>
      </w:pPr>
      <w:r>
        <w:rPr>
          <w:bCs/>
          <w:b/>
        </w:rPr>
        <w:t xml:space="preserve">Product Lifespan (tdzzjmseed):</w:t>
      </w:r>
      <w:r>
        <w:t xml:space="preserve"> </w:t>
      </w:r>
      <w:r>
        <w:t xml:space="preserve">3 years.</w:t>
      </w:r>
    </w:p>
    <w:p>
      <w:pPr>
        <w:numPr>
          <w:ilvl w:val="0"/>
          <w:numId w:val="1011"/>
        </w:numPr>
        <w:pStyle w:val="Compact"/>
      </w:pPr>
      <w:r>
        <w:rPr>
          <w:bCs/>
          <w:b/>
        </w:rPr>
        <w:t xml:space="preserve">Energy Consumption in Use (vurzudemrm):</w:t>
      </w:r>
      <w:r>
        <w:t xml:space="preserve"> </w:t>
      </w:r>
      <w:r>
        <w:t xml:space="preserve">15 kWh/year.</w:t>
      </w:r>
    </w:p>
    <w:p>
      <w:pPr>
        <w:numPr>
          <w:ilvl w:val="0"/>
          <w:numId w:val="1011"/>
        </w:numPr>
        <w:pStyle w:val="Compact"/>
      </w:pPr>
      <w:r>
        <w:rPr>
          <w:bCs/>
          <w:b/>
        </w:rPr>
        <w:t xml:space="preserve">Grid Electricity Emission Factor (User Country, Assumed EU Average):</w:t>
      </w:r>
      <w:r>
        <w:t xml:space="preserve"> </w:t>
      </w:r>
      <w:r>
        <w:t xml:space="preserve">0.25 kg CO2e/kWh (source: IEA/Eurostat).</w:t>
      </w:r>
    </w:p>
    <w:bookmarkEnd w:id="38"/>
    <w:bookmarkStart w:id="39" w:name="end-of-life-eol-scenarios"/>
    <w:p>
      <w:pPr>
        <w:pStyle w:val="Heading3"/>
      </w:pPr>
      <w:r>
        <w:t xml:space="preserve">3.5. End-of-Life (EoL) Scenarios</w:t>
      </w:r>
    </w:p>
    <w:p>
      <w:pPr>
        <w:numPr>
          <w:ilvl w:val="0"/>
          <w:numId w:val="1012"/>
        </w:numPr>
        <w:pStyle w:val="Compact"/>
      </w:pPr>
      <w:r>
        <w:rPr>
          <w:bCs/>
          <w:b/>
        </w:rPr>
        <w:t xml:space="preserve">Recyclability Percentage (uggydskot):</w:t>
      </w:r>
      <w:r>
        <w:t xml:space="preserve"> </w:t>
      </w:r>
      <w:r>
        <w:t xml:space="preserve">70%.</w:t>
      </w:r>
    </w:p>
    <w:p>
      <w:pPr>
        <w:numPr>
          <w:ilvl w:val="0"/>
          <w:numId w:val="1012"/>
        </w:numPr>
        <w:pStyle w:val="Compact"/>
      </w:pPr>
      <w:r>
        <w:rPr>
          <w:bCs/>
          <w:b/>
        </w:rPr>
        <w:t xml:space="preserve">Circular/Take-back Programs (fkysllyoqx):</w:t>
      </w:r>
      <w:r>
        <w:t xml:space="preserve"> </w:t>
      </w:r>
      <w:r>
        <w:t xml:space="preserve">Product take-back program in development with a 10% return rate goal, aiming for higher recycling rates.</w:t>
      </w:r>
    </w:p>
    <w:p>
      <w:pPr>
        <w:numPr>
          <w:ilvl w:val="0"/>
          <w:numId w:val="1012"/>
        </w:numPr>
        <w:pStyle w:val="Compact"/>
      </w:pPr>
      <w:r>
        <w:rPr>
          <w:bCs/>
          <w:b/>
        </w:rPr>
        <w:t xml:space="preserve">Incineration Emission Factor (Residual Waste):</w:t>
      </w:r>
      <w:r>
        <w:t xml:space="preserve"> </w:t>
      </w:r>
      <w:r>
        <w:t xml:space="preserve">1.5 kg CO2e/kg (source: Ecoinvent).</w:t>
      </w:r>
    </w:p>
    <w:p>
      <w:pPr>
        <w:numPr>
          <w:ilvl w:val="0"/>
          <w:numId w:val="1012"/>
        </w:numPr>
        <w:pStyle w:val="Compact"/>
      </w:pPr>
      <w:r>
        <w:rPr>
          <w:bCs/>
          <w:b/>
        </w:rPr>
        <w:t xml:space="preserve">Recycling Emission Factor (Net Avoided, Plastics/Metals):</w:t>
      </w:r>
      <w:r>
        <w:t xml:space="preserve"> </w:t>
      </w:r>
      <w:r>
        <w:t xml:space="preserve">-0.5 kg CO2e/kg (for plastics) / -2.0 kg CO2e/kg (for metals), average avoided emissions (source: Ecoinvent, often reported as negative as it offsets primary production).</w:t>
      </w:r>
    </w:p>
    <w:bookmarkEnd w:id="39"/>
    <w:bookmarkEnd w:id="40"/>
    <w:p>
      <w:r>
        <w:pict>
          <v:rect style="width:0;height:1.5pt" o:hralign="center" o:hrstd="t" o:hr="t"/>
        </w:pict>
      </w:r>
    </w:p>
    <w:bookmarkStart w:id="54" w:name="X439a6e6dcb43c636bf515ffaf3f59bce0bd6490"/>
    <w:p>
      <w:pPr>
        <w:pStyle w:val="Heading2"/>
      </w:pPr>
      <w:r>
        <w:t xml:space="preserve">4. Emission Calculation (Activity * Emission Factor = CO2e)</w:t>
      </w:r>
    </w:p>
    <w:p>
      <w:pPr>
        <w:pStyle w:val="FirstParagraph"/>
      </w:pPr>
      <w:r>
        <w:t xml:space="preserve">The Product Carbon Footprint (PCF) for \'goxrovzpwj\' is calculated by aggregating emissions across its lifecycle stages. All calculations are in kg CO2e per functional unit (1.0 unit).</w:t>
      </w:r>
    </w:p>
    <w:bookmarkStart w:id="43" w:name="X24a929e806e7513be047980318b3e7b2e494d2a"/>
    <w:p>
      <w:pPr>
        <w:pStyle w:val="Heading3"/>
      </w:pPr>
      <w:r>
        <w:t xml:space="preserve">4.1. Scope 3: Upstream Emissions (Cradle-to-Gate excluding production energy)</w:t>
      </w:r>
    </w:p>
    <w:bookmarkStart w:id="41" w:name="material-acquisition-pre-processing"/>
    <w:p>
      <w:pPr>
        <w:pStyle w:val="Heading4"/>
      </w:pPr>
      <w:r>
        <w:t xml:space="preserve">4.1.1. Material Acquisition &amp; Pre-processing</w:t>
      </w:r>
    </w:p>
    <w:p>
      <w:pPr>
        <w:pStyle w:val="FirstParagraph"/>
      </w:pPr>
      <w:r>
        <w:t xml:space="preserve">Total Carbon from BOM (calculated in Section 3.1):</w:t>
      </w:r>
      <w:r>
        <w:t xml:space="preserve"> </w:t>
      </w:r>
      <w:r>
        <w:rPr>
          <w:bCs/>
          <w:b/>
        </w:rPr>
        <w:t xml:space="preserve">6.46 kg CO2e</w:t>
      </w:r>
    </w:p>
    <w:bookmarkEnd w:id="41"/>
    <w:bookmarkStart w:id="42" w:name="inbound-logistics"/>
    <w:p>
      <w:pPr>
        <w:pStyle w:val="Heading4"/>
      </w:pPr>
      <w:r>
        <w:t xml:space="preserve">4.1.2. Inbound Logistics</w:t>
      </w:r>
    </w:p>
    <w:p>
      <w:pPr>
        <w:numPr>
          <w:ilvl w:val="0"/>
          <w:numId w:val="1013"/>
        </w:numPr>
        <w:pStyle w:val="Compact"/>
      </w:pPr>
      <w:r>
        <w:t xml:space="preserve">Product Weight: 1.0 kg (0.001 tonne)</w:t>
      </w:r>
    </w:p>
    <w:p>
      <w:pPr>
        <w:numPr>
          <w:ilvl w:val="0"/>
          <w:numId w:val="1013"/>
        </w:numPr>
        <w:pStyle w:val="Compact"/>
      </w:pPr>
      <w:r>
        <w:t xml:space="preserve">Primary Transport Distance: 10,000 km</w:t>
      </w:r>
    </w:p>
    <w:p>
      <w:pPr>
        <w:numPr>
          <w:ilvl w:val="0"/>
          <w:numId w:val="1013"/>
        </w:numPr>
        <w:pStyle w:val="Compact"/>
      </w:pPr>
      <w:r>
        <w:t xml:space="preserve">Ocean Freight EF: 0.01 kg CO2e/tonne-km</w:t>
      </w:r>
    </w:p>
    <w:p>
      <w:pPr>
        <w:numPr>
          <w:ilvl w:val="0"/>
          <w:numId w:val="1013"/>
        </w:numPr>
        <w:pStyle w:val="Compact"/>
      </w:pPr>
      <w:r>
        <w:t xml:space="preserve">Calculation: 0.001 tonne * 10,000 km * 0.01 kg CO2e/tonne-km =</w:t>
      </w:r>
      <w:r>
        <w:t xml:space="preserve"> </w:t>
      </w:r>
      <w:r>
        <w:rPr>
          <w:bCs/>
          <w:b/>
        </w:rPr>
        <w:t xml:space="preserve">0.10 kg CO2e</w:t>
      </w:r>
    </w:p>
    <w:p>
      <w:pPr>
        <w:pStyle w:val="FirstParagraph"/>
      </w:pPr>
      <w:r>
        <w:rPr>
          <w:bCs/>
          <w:b/>
        </w:rPr>
        <w:t xml:space="preserve">Total Upstream (Scope 3) Material &amp; Inbound Transport: 6.46 kg CO2e + 0.10 kg CO2e = 6.56 kg CO2e</w:t>
      </w:r>
    </w:p>
    <w:bookmarkEnd w:id="42"/>
    <w:bookmarkEnd w:id="43"/>
    <w:bookmarkStart w:id="46" w:name="Xd2ddafa431676857404c19ddd14168be38757fb"/>
    <w:p>
      <w:pPr>
        <w:pStyle w:val="Heading3"/>
      </w:pPr>
      <w:r>
        <w:t xml:space="preserve">4.2. Scope 1 &amp; 2: Production Phase Emissions (Factory-Gate)</w:t>
      </w:r>
    </w:p>
    <w:bookmarkStart w:id="44" w:name="Xb40afdbfcf28977ab4ad0242bde694c90ad4632"/>
    <w:p>
      <w:pPr>
        <w:pStyle w:val="Heading4"/>
      </w:pPr>
      <w:r>
        <w:t xml:space="preserve">4.2.1. Scope 2: Purchased Electricity for Production</w:t>
      </w:r>
    </w:p>
    <w:p>
      <w:pPr>
        <w:numPr>
          <w:ilvl w:val="0"/>
          <w:numId w:val="1014"/>
        </w:numPr>
        <w:pStyle w:val="Compact"/>
      </w:pPr>
      <w:r>
        <w:t xml:space="preserve">Energy Intensity: 8 kWh/unit</w:t>
      </w:r>
    </w:p>
    <w:p>
      <w:pPr>
        <w:numPr>
          <w:ilvl w:val="0"/>
          <w:numId w:val="1014"/>
        </w:numPr>
        <w:pStyle w:val="Compact"/>
      </w:pPr>
      <w:r>
        <w:t xml:space="preserve">Renewable Energy Usage: 75% (0.75)</w:t>
      </w:r>
    </w:p>
    <w:p>
      <w:pPr>
        <w:numPr>
          <w:ilvl w:val="0"/>
          <w:numId w:val="1014"/>
        </w:numPr>
        <w:pStyle w:val="Compact"/>
      </w:pPr>
      <w:r>
        <w:t xml:space="preserve">Non-renewable Electricity Share: 1 - 0.75 = 0.25</w:t>
      </w:r>
    </w:p>
    <w:p>
      <w:pPr>
        <w:numPr>
          <w:ilvl w:val="0"/>
          <w:numId w:val="1014"/>
        </w:numPr>
        <w:pStyle w:val="Compact"/>
      </w:pPr>
      <w:r>
        <w:t xml:space="preserve">China Grid EF: 0.6 kg CO2e/kWh</w:t>
      </w:r>
    </w:p>
    <w:p>
      <w:pPr>
        <w:numPr>
          <w:ilvl w:val="0"/>
          <w:numId w:val="1014"/>
        </w:numPr>
        <w:pStyle w:val="Compact"/>
      </w:pPr>
      <w:r>
        <w:t xml:space="preserve">Calculation: 8 kWh/unit * 0.25 * 0.6 kg CO2e/kWh =</w:t>
      </w:r>
      <w:r>
        <w:t xml:space="preserve"> </w:t>
      </w:r>
      <w:r>
        <w:rPr>
          <w:bCs/>
          <w:b/>
        </w:rPr>
        <w:t xml:space="preserve">1.20 kg CO2e</w:t>
      </w:r>
    </w:p>
    <w:bookmarkEnd w:id="44"/>
    <w:bookmarkStart w:id="45" w:name="scope-1-direct-emissions-from-production"/>
    <w:p>
      <w:pPr>
        <w:pStyle w:val="Heading4"/>
      </w:pPr>
      <w:r>
        <w:t xml:space="preserve">4.2.2. Scope 1: Direct Emissions from Production</w:t>
      </w:r>
    </w:p>
    <w:p>
      <w:pPr>
        <w:pStyle w:val="FirstParagraph"/>
      </w:pPr>
      <w:r>
        <w:t xml:space="preserve">Based on the provided parameters, specific direct process emissions (e.g., from burning fuel on-site) are not quantified. Assuming efficient factory operations where primary emissions are covered by purchased electricity, direct Scope 1 emissions are considered negligible for this analysis without further data. If specific on-site fuel consumption data were provided, it would be included here.</w:t>
      </w:r>
    </w:p>
    <w:p>
      <w:pPr>
        <w:pStyle w:val="BodyText"/>
      </w:pPr>
      <w:r>
        <w:rPr>
          <w:bCs/>
          <w:b/>
        </w:rPr>
        <w:t xml:space="preserve">Total Production (Scope 1 &amp; 2): 1.20 kg CO2e</w:t>
      </w:r>
    </w:p>
    <w:bookmarkEnd w:id="45"/>
    <w:bookmarkEnd w:id="46"/>
    <w:bookmarkStart w:id="50" w:name="scope-3-downstream-emissions"/>
    <w:p>
      <w:pPr>
        <w:pStyle w:val="Heading3"/>
      </w:pPr>
      <w:r>
        <w:t xml:space="preserve">4.3. Scope 3: Downstream Emissions</w:t>
      </w:r>
    </w:p>
    <w:bookmarkStart w:id="47" w:name="outbound-last-mile-delivery"/>
    <w:p>
      <w:pPr>
        <w:pStyle w:val="Heading4"/>
      </w:pPr>
      <w:r>
        <w:t xml:space="preserve">4.3.1. Outbound &amp; Last-Mile Delivery</w:t>
      </w:r>
    </w:p>
    <w:p>
      <w:pPr>
        <w:numPr>
          <w:ilvl w:val="0"/>
          <w:numId w:val="1015"/>
        </w:numPr>
        <w:pStyle w:val="Compact"/>
      </w:pPr>
      <w:r>
        <w:t xml:space="preserve">Product Weight: 1.0 kg (0.001 tonne)</w:t>
      </w:r>
    </w:p>
    <w:p>
      <w:pPr>
        <w:numPr>
          <w:ilvl w:val="0"/>
          <w:numId w:val="1015"/>
        </w:numPr>
        <w:pStyle w:val="Compact"/>
      </w:pPr>
      <w:r>
        <w:t xml:space="preserve">Last-Mile Delivery Distance: 500 km</w:t>
      </w:r>
    </w:p>
    <w:p>
      <w:pPr>
        <w:numPr>
          <w:ilvl w:val="0"/>
          <w:numId w:val="1015"/>
        </w:numPr>
        <w:pStyle w:val="Compact"/>
      </w:pPr>
      <w:r>
        <w:t xml:space="preserve">Road Freight (Van) EF: 0.1 kg CO2e/tonne-km</w:t>
      </w:r>
    </w:p>
    <w:p>
      <w:pPr>
        <w:numPr>
          <w:ilvl w:val="0"/>
          <w:numId w:val="1015"/>
        </w:numPr>
        <w:pStyle w:val="Compact"/>
      </w:pPr>
      <w:r>
        <w:t xml:space="preserve">Calculation: 0.001 tonne * 500 km * 0.1 kg CO2e/tonne-km =</w:t>
      </w:r>
      <w:r>
        <w:t xml:space="preserve"> </w:t>
      </w:r>
      <w:r>
        <w:rPr>
          <w:bCs/>
          <w:b/>
        </w:rPr>
        <w:t xml:space="preserve">0.05 kg CO2e</w:t>
      </w:r>
    </w:p>
    <w:bookmarkEnd w:id="47"/>
    <w:bookmarkStart w:id="48" w:name="use-phase-energy-consumption"/>
    <w:p>
      <w:pPr>
        <w:pStyle w:val="Heading4"/>
      </w:pPr>
      <w:r>
        <w:t xml:space="preserve">4.3.2. Use Phase Energy Consumption</w:t>
      </w:r>
    </w:p>
    <w:p>
      <w:pPr>
        <w:numPr>
          <w:ilvl w:val="0"/>
          <w:numId w:val="1016"/>
        </w:numPr>
        <w:pStyle w:val="Compact"/>
      </w:pPr>
      <w:r>
        <w:t xml:space="preserve">Product Lifespan: 3 years</w:t>
      </w:r>
    </w:p>
    <w:p>
      <w:pPr>
        <w:numPr>
          <w:ilvl w:val="0"/>
          <w:numId w:val="1016"/>
        </w:numPr>
        <w:pStyle w:val="Compact"/>
      </w:pPr>
      <w:r>
        <w:t xml:space="preserve">Energy Consumption in Use: 15 kWh/year</w:t>
      </w:r>
    </w:p>
    <w:p>
      <w:pPr>
        <w:numPr>
          <w:ilvl w:val="0"/>
          <w:numId w:val="1016"/>
        </w:numPr>
        <w:pStyle w:val="Compact"/>
      </w:pPr>
      <w:r>
        <w:t xml:space="preserve">Assumed User Electricity Grid EF (EU Average): 0.25 kg CO2e/kWh</w:t>
      </w:r>
    </w:p>
    <w:p>
      <w:pPr>
        <w:numPr>
          <w:ilvl w:val="0"/>
          <w:numId w:val="1016"/>
        </w:numPr>
        <w:pStyle w:val="Compact"/>
      </w:pPr>
      <w:r>
        <w:t xml:space="preserve">Calculation: 3 years * 15 kWh/year * 0.25 kg CO2e/kWh =</w:t>
      </w:r>
      <w:r>
        <w:t xml:space="preserve"> </w:t>
      </w:r>
      <w:r>
        <w:rPr>
          <w:bCs/>
          <w:b/>
        </w:rPr>
        <w:t xml:space="preserve">11.25 kg CO2e</w:t>
      </w:r>
    </w:p>
    <w:bookmarkEnd w:id="48"/>
    <w:bookmarkStart w:id="49" w:name="end-of-life-eol"/>
    <w:p>
      <w:pPr>
        <w:pStyle w:val="Heading4"/>
      </w:pPr>
      <w:r>
        <w:t xml:space="preserve">4.3.3. End-of-Life (EoL)</w:t>
      </w:r>
    </w:p>
    <w:p>
      <w:pPr>
        <w:numPr>
          <w:ilvl w:val="0"/>
          <w:numId w:val="1017"/>
        </w:numPr>
        <w:pStyle w:val="Compact"/>
      </w:pPr>
      <w:r>
        <w:t xml:space="preserve">Product Weight: 1.0 kg</w:t>
      </w:r>
    </w:p>
    <w:p>
      <w:pPr>
        <w:numPr>
          <w:ilvl w:val="0"/>
          <w:numId w:val="1017"/>
        </w:numPr>
        <w:pStyle w:val="Compact"/>
      </w:pPr>
      <w:r>
        <w:t xml:space="preserve">Recyclability Percentage: 70% (0.70)</w:t>
      </w:r>
    </w:p>
    <w:p>
      <w:pPr>
        <w:numPr>
          <w:ilvl w:val="0"/>
          <w:numId w:val="1017"/>
        </w:numPr>
        <w:pStyle w:val="Compact"/>
      </w:pPr>
      <w:r>
        <w:t xml:space="preserve">Non-Recyclable (Incineration): 1.0 kg * (1 - 0.70) = 0.3 kg</w:t>
      </w:r>
    </w:p>
    <w:p>
      <w:pPr>
        <w:numPr>
          <w:ilvl w:val="0"/>
          <w:numId w:val="1017"/>
        </w:numPr>
        <w:pStyle w:val="Compact"/>
      </w:pPr>
      <w:r>
        <w:t xml:space="preserve">Incineration Emission: 0.3 kg * 1.5 kg CO2e/kg = 0.45 kg CO2e</w:t>
      </w:r>
    </w:p>
    <w:p>
      <w:pPr>
        <w:numPr>
          <w:ilvl w:val="0"/>
          <w:numId w:val="1017"/>
        </w:numPr>
        <w:pStyle w:val="Compact"/>
      </w:pPr>
      <w:r>
        <w:t xml:space="preserve">Recycled Material: 1.0 kg * 0.70 = 0.7 kg</w:t>
      </w:r>
    </w:p>
    <w:p>
      <w:pPr>
        <w:numPr>
          <w:ilvl w:val="0"/>
          <w:numId w:val="1017"/>
        </w:numPr>
        <w:pStyle w:val="Compact"/>
      </w:pPr>
      <w:r>
        <w:t xml:space="preserve">Assumed Recycling EF (average, including plastics and metals from BOM): For this example, we\'ll use an average avoided emission. Let\'s assume an average avoided emission factor of -1.0 kg CO2e/kg for the 70% recycled portion.</w:t>
      </w:r>
    </w:p>
    <w:p>
      <w:pPr>
        <w:numPr>
          <w:ilvl w:val="0"/>
          <w:numId w:val="1017"/>
        </w:numPr>
        <w:pStyle w:val="Compact"/>
      </w:pPr>
      <w:r>
        <w:t xml:space="preserve">Recycling Impact: 0.7 kg * (-1.0 kg CO2e/kg) = -0.70 kg CO2e (avoided emissions)</w:t>
      </w:r>
    </w:p>
    <w:p>
      <w:pPr>
        <w:numPr>
          <w:ilvl w:val="0"/>
          <w:numId w:val="1017"/>
        </w:numPr>
        <w:pStyle w:val="Compact"/>
      </w:pPr>
      <w:r>
        <w:t xml:space="preserve">Net EoL Emissions: 0.45 kg CO2e + (-0.70 kg CO2e) =</w:t>
      </w:r>
      <w:r>
        <w:t xml:space="preserve"> </w:t>
      </w:r>
      <w:r>
        <w:rPr>
          <w:bCs/>
          <w:b/>
        </w:rPr>
        <w:t xml:space="preserve">-0.25 kg CO2e</w:t>
      </w:r>
    </w:p>
    <w:p>
      <w:pPr>
        <w:pStyle w:val="FirstParagraph"/>
      </w:pPr>
      <w:r>
        <w:rPr>
          <w:bCs/>
          <w:b/>
        </w:rPr>
        <w:t xml:space="preserve">Total Downstream (Scope 3): 0.05 kg CO2e (Logistics) + 11.25 kg CO2e (Use) - 0.25 kg CO2e (EoL) = 11.05 kg CO2e</w:t>
      </w:r>
    </w:p>
    <w:bookmarkEnd w:id="49"/>
    <w:bookmarkEnd w:id="50"/>
    <w:bookmarkStart w:id="51" w:name="X299a3717db401fbc63eac38de0814f3ad8939f4"/>
    <w:p>
      <w:pPr>
        <w:pStyle w:val="Heading3"/>
      </w:pPr>
      <w:r>
        <w:t xml:space="preserve">4.4. Total Product Carbon Footprint (PCF) Summary</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Category</w:t>
            </w:r>
          </w:p>
        </w:tc>
        <w:tc>
          <w:tcPr/>
          <w:p>
            <w:pPr>
              <w:pStyle w:val="Compact"/>
              <w:jc w:val="left"/>
            </w:pPr>
            <w:r>
              <w:t xml:space="preserve">GHG Scope</w:t>
            </w:r>
          </w:p>
        </w:tc>
        <w:tc>
          <w:tcPr/>
          <w:p>
            <w:pPr>
              <w:pStyle w:val="Compact"/>
              <w:jc w:val="left"/>
            </w:pPr>
            <w:r>
              <w:t xml:space="preserve">Emissions (kg CO2e/unit)</w:t>
            </w:r>
          </w:p>
        </w:tc>
        <w:tc>
          <w:tcPr/>
          <w:p>
            <w:pPr>
              <w:pStyle w:val="Compact"/>
              <w:jc w:val="left"/>
            </w:pPr>
            <w:r>
              <w:t xml:space="preserve">Percentage (%)</w:t>
            </w:r>
          </w:p>
        </w:tc>
      </w:tr>
      <w:tr>
        <w:tc>
          <w:tcPr/>
          <w:p>
            <w:pPr>
              <w:pStyle w:val="Compact"/>
              <w:jc w:val="left"/>
            </w:pPr>
            <w:r>
              <w:t xml:space="preserve">Material Acquisition &amp; Pre-processing</w:t>
            </w:r>
          </w:p>
        </w:tc>
        <w:tc>
          <w:tcPr/>
          <w:p>
            <w:pPr>
              <w:pStyle w:val="Compact"/>
              <w:jc w:val="left"/>
            </w:pPr>
            <w:r>
              <w:t xml:space="preserve">Scope 3 (Upstream)</w:t>
            </w:r>
          </w:p>
        </w:tc>
        <w:tc>
          <w:tcPr/>
          <w:p>
            <w:pPr>
              <w:pStyle w:val="Compact"/>
              <w:jc w:val="left"/>
            </w:pPr>
            <w:r>
              <w:t xml:space="preserve">6.46</w:t>
            </w:r>
          </w:p>
        </w:tc>
        <w:tc>
          <w:tcPr/>
          <w:p>
            <w:pPr>
              <w:pStyle w:val="Compact"/>
              <w:jc w:val="left"/>
            </w:pPr>
            <w:r>
              <w:t xml:space="preserve">26.9%</w:t>
            </w:r>
          </w:p>
        </w:tc>
      </w:tr>
      <w:tr>
        <w:tc>
          <w:tcPr/>
          <w:p>
            <w:pPr>
              <w:pStyle w:val="Compact"/>
              <w:jc w:val="left"/>
            </w:pPr>
            <w:r>
              <w:t xml:space="preserve">Inbound Logistics</w:t>
            </w:r>
          </w:p>
        </w:tc>
        <w:tc>
          <w:tcPr/>
          <w:p>
            <w:pPr>
              <w:pStyle w:val="Compact"/>
              <w:jc w:val="left"/>
            </w:pPr>
            <w:r>
              <w:t xml:space="preserve">Scope 3 (Upstream)</w:t>
            </w:r>
          </w:p>
        </w:tc>
        <w:tc>
          <w:tcPr/>
          <w:p>
            <w:pPr>
              <w:pStyle w:val="Compact"/>
              <w:jc w:val="left"/>
            </w:pPr>
            <w:r>
              <w:t xml:space="preserve">0.10</w:t>
            </w:r>
          </w:p>
        </w:tc>
        <w:tc>
          <w:tcPr/>
          <w:p>
            <w:pPr>
              <w:pStyle w:val="Compact"/>
              <w:jc w:val="left"/>
            </w:pPr>
            <w:r>
              <w:t xml:space="preserve">0.4%</w:t>
            </w:r>
          </w:p>
        </w:tc>
      </w:tr>
      <w:tr>
        <w:tc>
          <w:tcPr/>
          <w:p>
            <w:pPr>
              <w:pStyle w:val="Compact"/>
              <w:jc w:val="left"/>
            </w:pPr>
            <w:r>
              <w:rPr>
                <w:bCs/>
                <w:b/>
              </w:rPr>
              <w:t xml:space="preserve">Subtotal Upstream (Scope 3)</w:t>
            </w:r>
          </w:p>
        </w:tc>
        <w:tc>
          <w:tcPr/>
          <w:p>
            <w:pPr>
              <w:pStyle w:val="Compact"/>
            </w:pPr>
          </w:p>
        </w:tc>
        <w:tc>
          <w:tcPr/>
          <w:p>
            <w:pPr>
              <w:pStyle w:val="Compact"/>
              <w:jc w:val="left"/>
            </w:pPr>
            <w:r>
              <w:rPr>
                <w:bCs/>
                <w:b/>
              </w:rPr>
              <w:t xml:space="preserve">6.56</w:t>
            </w:r>
          </w:p>
        </w:tc>
        <w:tc>
          <w:tcPr/>
          <w:p>
            <w:pPr>
              <w:pStyle w:val="Compact"/>
              <w:jc w:val="left"/>
            </w:pPr>
            <w:r>
              <w:rPr>
                <w:bCs/>
                <w:b/>
              </w:rPr>
              <w:t xml:space="preserve">27.3%</w:t>
            </w:r>
          </w:p>
        </w:tc>
      </w:tr>
      <w:tr>
        <w:tc>
          <w:tcPr/>
          <w:p>
            <w:pPr>
              <w:pStyle w:val="Compact"/>
              <w:jc w:val="left"/>
            </w:pPr>
            <w:r>
              <w:t xml:space="preserve">Purchased Electricity (Production)</w:t>
            </w:r>
          </w:p>
        </w:tc>
        <w:tc>
          <w:tcPr/>
          <w:p>
            <w:pPr>
              <w:pStyle w:val="Compact"/>
              <w:jc w:val="left"/>
            </w:pPr>
            <w:r>
              <w:t xml:space="preserve">Scope 2</w:t>
            </w:r>
          </w:p>
        </w:tc>
        <w:tc>
          <w:tcPr/>
          <w:p>
            <w:pPr>
              <w:pStyle w:val="Compact"/>
              <w:jc w:val="left"/>
            </w:pPr>
            <w:r>
              <w:t xml:space="preserve">1.20</w:t>
            </w:r>
          </w:p>
        </w:tc>
        <w:tc>
          <w:tcPr/>
          <w:p>
            <w:pPr>
              <w:pStyle w:val="Compact"/>
              <w:jc w:val="left"/>
            </w:pPr>
            <w:r>
              <w:t xml:space="preserve">5.0%</w:t>
            </w:r>
          </w:p>
        </w:tc>
      </w:tr>
      <w:tr>
        <w:tc>
          <w:tcPr/>
          <w:p>
            <w:pPr>
              <w:pStyle w:val="Compact"/>
              <w:jc w:val="left"/>
            </w:pPr>
            <w:r>
              <w:t xml:space="preserve">Direct Production Emissions</w:t>
            </w:r>
          </w:p>
        </w:tc>
        <w:tc>
          <w:tcPr/>
          <w:p>
            <w:pPr>
              <w:pStyle w:val="Compact"/>
              <w:jc w:val="left"/>
            </w:pPr>
            <w:r>
              <w:t xml:space="preserve">Scope 1</w:t>
            </w:r>
          </w:p>
        </w:tc>
        <w:tc>
          <w:tcPr/>
          <w:p>
            <w:pPr>
              <w:pStyle w:val="Compact"/>
              <w:jc w:val="left"/>
            </w:pPr>
            <w:r>
              <w:t xml:space="preserve">0.00</w:t>
            </w:r>
          </w:p>
        </w:tc>
        <w:tc>
          <w:tcPr/>
          <w:p>
            <w:pPr>
              <w:pStyle w:val="Compact"/>
              <w:jc w:val="left"/>
            </w:pPr>
            <w:r>
              <w:t xml:space="preserve">0.0%</w:t>
            </w:r>
          </w:p>
        </w:tc>
      </w:tr>
      <w:tr>
        <w:tc>
          <w:tcPr/>
          <w:p>
            <w:pPr>
              <w:pStyle w:val="Compact"/>
              <w:jc w:val="left"/>
            </w:pPr>
            <w:r>
              <w:rPr>
                <w:bCs/>
                <w:b/>
              </w:rPr>
              <w:t xml:space="preserve">Subtotal Production (Scope 1 &amp; 2)</w:t>
            </w:r>
          </w:p>
        </w:tc>
        <w:tc>
          <w:tcPr/>
          <w:p>
            <w:pPr>
              <w:pStyle w:val="Compact"/>
            </w:pPr>
          </w:p>
        </w:tc>
        <w:tc>
          <w:tcPr/>
          <w:p>
            <w:pPr>
              <w:pStyle w:val="Compact"/>
              <w:jc w:val="left"/>
            </w:pPr>
            <w:r>
              <w:rPr>
                <w:bCs/>
                <w:b/>
              </w:rPr>
              <w:t xml:space="preserve">1.20</w:t>
            </w:r>
          </w:p>
        </w:tc>
        <w:tc>
          <w:tcPr/>
          <w:p>
            <w:pPr>
              <w:pStyle w:val="Compact"/>
              <w:jc w:val="left"/>
            </w:pPr>
            <w:r>
              <w:rPr>
                <w:bCs/>
                <w:b/>
              </w:rPr>
              <w:t xml:space="preserve">5.0%</w:t>
            </w:r>
          </w:p>
        </w:tc>
      </w:tr>
      <w:tr>
        <w:tc>
          <w:tcPr/>
          <w:p>
            <w:pPr>
              <w:pStyle w:val="Compact"/>
              <w:jc w:val="left"/>
            </w:pPr>
            <w:r>
              <w:t xml:space="preserve">Outbound &amp; Last-Mile Logistics</w:t>
            </w:r>
          </w:p>
        </w:tc>
        <w:tc>
          <w:tcPr/>
          <w:p>
            <w:pPr>
              <w:pStyle w:val="Compact"/>
              <w:jc w:val="left"/>
            </w:pPr>
            <w:r>
              <w:t xml:space="preserve">Scope 3 (Downstream)</w:t>
            </w:r>
          </w:p>
        </w:tc>
        <w:tc>
          <w:tcPr/>
          <w:p>
            <w:pPr>
              <w:pStyle w:val="Compact"/>
              <w:jc w:val="left"/>
            </w:pPr>
            <w:r>
              <w:t xml:space="preserve">0.05</w:t>
            </w:r>
          </w:p>
        </w:tc>
        <w:tc>
          <w:tcPr/>
          <w:p>
            <w:pPr>
              <w:pStyle w:val="Compact"/>
              <w:jc w:val="left"/>
            </w:pPr>
            <w:r>
              <w:t xml:space="preserve">0.2%</w:t>
            </w:r>
          </w:p>
        </w:tc>
      </w:tr>
      <w:tr>
        <w:tc>
          <w:tcPr/>
          <w:p>
            <w:pPr>
              <w:pStyle w:val="Compact"/>
              <w:jc w:val="left"/>
            </w:pPr>
            <w:r>
              <w:t xml:space="preserve">Product Use Phase</w:t>
            </w:r>
          </w:p>
        </w:tc>
        <w:tc>
          <w:tcPr/>
          <w:p>
            <w:pPr>
              <w:pStyle w:val="Compact"/>
              <w:jc w:val="left"/>
            </w:pPr>
            <w:r>
              <w:t xml:space="preserve">Scope 3 (Downstream)</w:t>
            </w:r>
          </w:p>
        </w:tc>
        <w:tc>
          <w:tcPr/>
          <w:p>
            <w:pPr>
              <w:pStyle w:val="Compact"/>
              <w:jc w:val="left"/>
            </w:pPr>
            <w:r>
              <w:t xml:space="preserve">11.25</w:t>
            </w:r>
          </w:p>
        </w:tc>
        <w:tc>
          <w:tcPr/>
          <w:p>
            <w:pPr>
              <w:pStyle w:val="Compact"/>
              <w:jc w:val="left"/>
            </w:pPr>
            <w:r>
              <w:t xml:space="preserve">46.9%</w:t>
            </w:r>
          </w:p>
        </w:tc>
      </w:tr>
      <w:tr>
        <w:tc>
          <w:tcPr/>
          <w:p>
            <w:pPr>
              <w:pStyle w:val="Compact"/>
              <w:jc w:val="left"/>
            </w:pPr>
            <w:r>
              <w:t xml:space="preserve">End-of-Life Treatment</w:t>
            </w:r>
          </w:p>
        </w:tc>
        <w:tc>
          <w:tcPr/>
          <w:p>
            <w:pPr>
              <w:pStyle w:val="Compact"/>
              <w:jc w:val="left"/>
            </w:pPr>
            <w:r>
              <w:t xml:space="preserve">Scope 3 (Downstream)</w:t>
            </w:r>
          </w:p>
        </w:tc>
        <w:tc>
          <w:tcPr/>
          <w:p>
            <w:pPr>
              <w:pStyle w:val="Compact"/>
              <w:jc w:val="left"/>
            </w:pPr>
            <w:r>
              <w:t xml:space="preserve">-0.25</w:t>
            </w:r>
          </w:p>
        </w:tc>
        <w:tc>
          <w:tcPr/>
          <w:p>
            <w:pPr>
              <w:pStyle w:val="Compact"/>
              <w:jc w:val="left"/>
            </w:pPr>
            <w:r>
              <w:t xml:space="preserve">-1.0%</w:t>
            </w:r>
          </w:p>
        </w:tc>
      </w:tr>
      <w:tr>
        <w:tc>
          <w:tcPr/>
          <w:p>
            <w:pPr>
              <w:pStyle w:val="Compact"/>
              <w:jc w:val="left"/>
            </w:pPr>
            <w:r>
              <w:rPr>
                <w:bCs/>
                <w:b/>
              </w:rPr>
              <w:t xml:space="preserve">Subtotal Downstream (Scope 3)</w:t>
            </w:r>
          </w:p>
        </w:tc>
        <w:tc>
          <w:tcPr/>
          <w:p>
            <w:pPr>
              <w:pStyle w:val="Compact"/>
            </w:pPr>
          </w:p>
        </w:tc>
        <w:tc>
          <w:tcPr/>
          <w:p>
            <w:pPr>
              <w:pStyle w:val="Compact"/>
              <w:jc w:val="left"/>
            </w:pPr>
            <w:r>
              <w:rPr>
                <w:bCs/>
                <w:b/>
              </w:rPr>
              <w:t xml:space="preserve">11.05</w:t>
            </w:r>
          </w:p>
        </w:tc>
        <w:tc>
          <w:tcPr/>
          <w:p>
            <w:pPr>
              <w:pStyle w:val="Compact"/>
              <w:jc w:val="left"/>
            </w:pPr>
            <w:r>
              <w:rPr>
                <w:bCs/>
                <w:b/>
              </w:rPr>
              <w:t xml:space="preserve">46.1%</w:t>
            </w:r>
          </w:p>
        </w:tc>
      </w:tr>
      <w:tr>
        <w:tc>
          <w:tcPr>
            <w:gridSpan w:val="2"/>
          </w:tcPr>
          <w:p>
            <w:pPr>
              <w:pStyle w:val="Compact"/>
              <w:jc w:val="right"/>
            </w:pPr>
            <w:r>
              <w:rPr>
                <w:bCs/>
                <w:b/>
              </w:rPr>
              <w:t xml:space="preserve">TOTAL PRODUCT CARBON FOOTPRINT:</w:t>
            </w:r>
          </w:p>
        </w:tc>
        <w:tc>
          <w:tcPr/>
          <w:p>
            <w:pPr>
              <w:pStyle w:val="Compact"/>
              <w:jc w:val="left"/>
            </w:pPr>
            <w:r>
              <w:rPr>
                <w:bCs/>
                <w:b/>
              </w:rPr>
              <w:t xml:space="preserve">23.81 kg CO2e/unit</w:t>
            </w:r>
          </w:p>
        </w:tc>
        <w:tc>
          <w:tcPr/>
          <w:p>
            <w:pPr>
              <w:pStyle w:val="Compact"/>
              <w:jc w:val="left"/>
            </w:pPr>
            <w:r>
              <w:rPr>
                <w:bCs/>
                <w:b/>
              </w:rPr>
              <w:t xml:space="preserve">100.0%</w:t>
            </w:r>
          </w:p>
        </w:tc>
      </w:tr>
    </w:tbl>
    <w:p>
      <w:pPr>
        <w:pStyle w:val="BodyText"/>
      </w:pPr>
      <w:r>
        <w:rPr>
          <w:iCs/>
          <w:i/>
        </w:rPr>
        <w:t xml:space="preserve">Note: Percentages may not sum to 100% due to rounding and negative EoL emissions.</w:t>
      </w:r>
    </w:p>
    <w:bookmarkEnd w:id="51"/>
    <w:bookmarkStart w:id="52" w:name="scope-3-compliance-95-coverage"/>
    <w:p>
      <w:pPr>
        <w:pStyle w:val="Heading3"/>
      </w:pPr>
      <w:r>
        <w:t xml:space="preserve">4.5. Scope 3 Compliance (95% Coverage)</w:t>
      </w:r>
    </w:p>
    <w:p>
      <w:pPr>
        <w:pStyle w:val="FirstParagraph"/>
      </w:pPr>
      <w:r>
        <w:t xml:space="preserve">Based on the analysis, a significant portion of Scope 3 emissions (Material Acquisition, Inbound/Outbound Logistics, Use Phase, End-of-Life) has been covered. The sum of Scope 3 emissions (Upstream + Downstream) for this analysis is 6.56 kg CO2e + 11.05 kg CO2e = 17.61 kg CO2e. The total PCF is 23.81 kg CO2e.</w:t>
      </w:r>
      <w:r>
        <w:t xml:space="preserve"> </w:t>
      </w:r>
      <w:r>
        <w:t xml:space="preserve">The Scope 3 contribution is (17.61 / 23.81) * 100% = 73.96%.</w:t>
      </w:r>
      <w:r>
        <w:t xml:space="preserve"> </w:t>
      </w:r>
      <w:r>
        <w:t xml:space="preserve">While comprehensive, to achieve the</w:t>
      </w:r>
      <w:r>
        <w:t xml:space="preserve"> </w:t>
      </w:r>
      <w:r>
        <w:rPr>
          <w:bCs/>
          <w:b/>
        </w:rPr>
        <w:t xml:space="preserve">95% coverage requirement for Scope 3 as per 2026 requirements</w:t>
      </w:r>
      <w:r>
        <w:t xml:space="preserve">, further investigation into other Scope 3 categories such as capital goods, business travel, employee commuting, waste generated in operations, investments, and franchises (if applicable to iiziiumivd) would be necessary. This report provides foundational coverage for product-specific Scope 3.</w:t>
      </w:r>
    </w:p>
    <w:bookmarkEnd w:id="52"/>
    <w:bookmarkStart w:id="53" w:name="lsr-update-application"/>
    <w:p>
      <w:pPr>
        <w:pStyle w:val="Heading3"/>
      </w:pPr>
      <w:r>
        <w:t xml:space="preserve">4.6. 2026 LSR Update Application</w:t>
      </w:r>
    </w:p>
    <w:p>
      <w:pPr>
        <w:pStyle w:val="FirstParagraph"/>
      </w:pPr>
      <w:r>
        <w:t xml:space="preserve">The Land Sector and Removals (LSR) Standard was considered during the assessment. While specific land-use change data directly attributable to the product\'s raw materials or manufacturing was not explicitly provided in the parameters, the methodology acknowledges the importance of incorporating these aspects. For example, if raw materials were sourced from areas involving significant deforestation or if biogenic carbon removals were part of the product\'s lifecycle, they would be quantified and reported separately under the LSR framework. At this stage, without specific data, direct LSR calculations are not applied but the framework\'s principles are embedded for future data integration.</w:t>
      </w:r>
    </w:p>
    <w:bookmarkEnd w:id="53"/>
    <w:bookmarkEnd w:id="54"/>
    <w:p>
      <w:r>
        <w:pict>
          <v:rect style="width:0;height:1.5pt" o:hralign="center" o:hrstd="t" o:hr="t"/>
        </w:pict>
      </w:r>
    </w:p>
    <w:bookmarkStart w:id="58" w:name="review-report"/>
    <w:p>
      <w:pPr>
        <w:pStyle w:val="Heading2"/>
      </w:pPr>
      <w:r>
        <w:t xml:space="preserve">5. Review &amp; Report</w:t>
      </w:r>
    </w:p>
    <w:bookmarkStart w:id="55" w:name="hotspots-analysis"/>
    <w:p>
      <w:pPr>
        <w:pStyle w:val="Heading3"/>
      </w:pPr>
      <w:r>
        <w:t xml:space="preserve">5.1. Hotspots Analysis</w:t>
      </w:r>
    </w:p>
    <w:p>
      <w:pPr>
        <w:pStyle w:val="FirstParagraph"/>
      </w:pPr>
      <w:r>
        <w:t xml:space="preserve">The PCF analysis reveals the following major emission hotspots for \'goxrovzpwj\':</w:t>
      </w:r>
    </w:p>
    <w:p>
      <w:pPr>
        <w:numPr>
          <w:ilvl w:val="0"/>
          <w:numId w:val="1018"/>
        </w:numPr>
        <w:pStyle w:val="Compact"/>
      </w:pPr>
      <w:r>
        <w:rPr>
          <w:bCs/>
          <w:b/>
        </w:rPr>
        <w:t xml:space="preserve">Use Phase (46.9%):</w:t>
      </w:r>
      <w:r>
        <w:t xml:space="preserve"> </w:t>
      </w:r>
      <w:r>
        <w:t xml:space="preserve">This is the most significant contributor, primarily due to the product\'s energy consumption over its 3-year lifespan. This highlights a critical area for design intervention to improve energy efficiency.</w:t>
      </w:r>
    </w:p>
    <w:p>
      <w:pPr>
        <w:numPr>
          <w:ilvl w:val="0"/>
          <w:numId w:val="1018"/>
        </w:numPr>
        <w:pStyle w:val="Compact"/>
      </w:pPr>
      <w:r>
        <w:rPr>
          <w:bCs/>
          <w:b/>
        </w:rPr>
        <w:t xml:space="preserve">Material Acquisition &amp; Pre-processing (26.9%):</w:t>
      </w:r>
      <w:r>
        <w:t xml:space="preserve"> </w:t>
      </w:r>
      <w:r>
        <w:t xml:space="preserve">The production of raw materials, particularly aluminum and silicon, contributes substantially to the upstream footprint. Shifting to recycled content or lower-impact materials could yield significant reductions.</w:t>
      </w:r>
    </w:p>
    <w:p>
      <w:pPr>
        <w:numPr>
          <w:ilvl w:val="0"/>
          <w:numId w:val="1018"/>
        </w:numPr>
        <w:pStyle w:val="Compact"/>
      </w:pPr>
      <w:r>
        <w:rPr>
          <w:bCs/>
          <w:b/>
        </w:rPr>
        <w:t xml:space="preserve">Production Energy (Scope 2, 5.0%):</w:t>
      </w:r>
      <w:r>
        <w:t xml:space="preserve"> </w:t>
      </w:r>
      <w:r>
        <w:t xml:space="preserve">While \'iiziiumivd\' already utilizes 75% renewable energy, the remaining non-renewable portion still contributes. Further increasing renewable energy sourcing or improving energy efficiency in production can reduce this impact.</w:t>
      </w:r>
    </w:p>
    <w:p>
      <w:pPr>
        <w:numPr>
          <w:ilvl w:val="0"/>
          <w:numId w:val="1018"/>
        </w:numPr>
        <w:pStyle w:val="Compact"/>
      </w:pPr>
      <w:r>
        <w:rPr>
          <w:bCs/>
          <w:b/>
        </w:rPr>
        <w:t xml:space="preserve">End-of-Life (-1.0%):</w:t>
      </w:r>
      <w:r>
        <w:t xml:space="preserve"> </w:t>
      </w:r>
      <w:r>
        <w:t xml:space="preserve">The current recyclability and take-back program\'s anticipated avoided emissions show a positive impact, suggesting circularity efforts are beneficial. Increasing the recyclability and return rates of products would further enhance this.</w:t>
      </w:r>
    </w:p>
    <w:bookmarkEnd w:id="55"/>
    <w:bookmarkStart w:id="56" w:name="data-reliability-and-limitations"/>
    <w:p>
      <w:pPr>
        <w:pStyle w:val="Heading3"/>
      </w:pPr>
      <w:r>
        <w:t xml:space="preserve">5.2. Data Reliability and Limitations</w:t>
      </w:r>
    </w:p>
    <w:p>
      <w:pPr>
        <w:pStyle w:val="FirstParagraph"/>
      </w:pPr>
      <w:r>
        <w:t xml:space="preserve">The analysis relies on a combination of primary data (e.g., product design, assumed BOM structure, energy intensity) and secondary data (industry-average emission factors, generic transport data). The reliability is generally high for the core production and material impacts given the detailed BOM approach. However, certain aspects relied on assumptions due to generalized parameters:</w:t>
      </w:r>
    </w:p>
    <w:p>
      <w:pPr>
        <w:numPr>
          <w:ilvl w:val="0"/>
          <w:numId w:val="1019"/>
        </w:numPr>
        <w:pStyle w:val="Compact"/>
      </w:pPr>
      <w:r>
        <w:t xml:space="preserve">Specific content for the BOM (fxiswfte) was an example, actual BOM data would provide more precision.</w:t>
      </w:r>
    </w:p>
    <w:p>
      <w:pPr>
        <w:numPr>
          <w:ilvl w:val="0"/>
          <w:numId w:val="1019"/>
        </w:numPr>
        <w:pStyle w:val="Compact"/>
      </w:pPr>
      <w:r>
        <w:t xml:space="preserve">Generic emission factors from Ecoinvent/DEFRA are used, which are robust but may not perfectly reflect every unique supplier or process.</w:t>
      </w:r>
    </w:p>
    <w:p>
      <w:pPr>
        <w:numPr>
          <w:ilvl w:val="0"/>
          <w:numId w:val="1019"/>
        </w:numPr>
        <w:pStyle w:val="Compact"/>
      </w:pPr>
      <w:r>
        <w:t xml:space="preserve">Transport distances and modes were based on plausible scenarios (e.g., China to Europe) rather than exact routes.</w:t>
      </w:r>
    </w:p>
    <w:p>
      <w:pPr>
        <w:numPr>
          <w:ilvl w:val="0"/>
          <w:numId w:val="1019"/>
        </w:numPr>
        <w:pStyle w:val="Compact"/>
      </w:pPr>
      <w:r>
        <w:t xml:space="preserve">The use phase energy consumption assumes a constant usage pattern over the lifespan.</w:t>
      </w:r>
    </w:p>
    <w:p>
      <w:pPr>
        <w:numPr>
          <w:ilvl w:val="0"/>
          <w:numId w:val="1019"/>
        </w:numPr>
        <w:pStyle w:val="Compact"/>
      </w:pPr>
      <w:r>
        <w:t xml:space="preserve">The end-of-life scenario assumes average recycling efficiencies and avoided emission factors.</w:t>
      </w:r>
    </w:p>
    <w:p>
      <w:pPr>
        <w:numPr>
          <w:ilvl w:val="0"/>
          <w:numId w:val="1019"/>
        </w:numPr>
        <w:pStyle w:val="Compact"/>
      </w:pPr>
      <w:r>
        <w:t xml:space="preserve">Achieving 95% Scope 3 coverage would necessitate more granular data across all 15 Scope 3 categories, beyond the product-centric categories covered here.</w:t>
      </w:r>
    </w:p>
    <w:bookmarkEnd w:id="56"/>
    <w:bookmarkStart w:id="57" w:name="recommendations-for-reduction"/>
    <w:p>
      <w:pPr>
        <w:pStyle w:val="Heading3"/>
      </w:pPr>
      <w:r>
        <w:t xml:space="preserve">5.3. Recommendations for Reduction</w:t>
      </w:r>
    </w:p>
    <w:p>
      <w:pPr>
        <w:numPr>
          <w:ilvl w:val="0"/>
          <w:numId w:val="1020"/>
        </w:numPr>
        <w:pStyle w:val="Compact"/>
      </w:pPr>
      <w:r>
        <w:rPr>
          <w:bCs/>
          <w:b/>
        </w:rPr>
        <w:t xml:space="preserve">Optimize Use Phase:</w:t>
      </w:r>
      <w:r>
        <w:t xml:space="preserve"> </w:t>
      </w:r>
      <w:r>
        <w:t xml:space="preserve">Focus on designing \'goxrovzpwj\' for extreme energy efficiency during its operational life. Explore low-power modes, smarter energy management, and longer product durability to reduce the annual energy draw and extend lifespan.</w:t>
      </w:r>
    </w:p>
    <w:p>
      <w:pPr>
        <w:numPr>
          <w:ilvl w:val="0"/>
          <w:numId w:val="1020"/>
        </w:numPr>
        <w:pStyle w:val="Compact"/>
      </w:pPr>
      <w:r>
        <w:rPr>
          <w:bCs/>
          <w:b/>
        </w:rPr>
        <w:t xml:space="preserve">Material Circularity:</w:t>
      </w:r>
      <w:r>
        <w:t xml:space="preserve"> </w:t>
      </w:r>
      <w:r>
        <w:t xml:space="preserve">Investigate opportunities to increase the use of recycled content for high-impact materials (e.g., recycled aluminum, plastics). Explore bio-based or lower-carbon alternative materials where feasible.</w:t>
      </w:r>
    </w:p>
    <w:p>
      <w:pPr>
        <w:numPr>
          <w:ilvl w:val="0"/>
          <w:numId w:val="1020"/>
        </w:numPr>
        <w:pStyle w:val="Compact"/>
      </w:pPr>
      <w:r>
        <w:rPr>
          <w:bCs/>
          <w:b/>
        </w:rPr>
        <w:t xml:space="preserve">Renewable Energy Expansion:</w:t>
      </w:r>
      <w:r>
        <w:t xml:space="preserve"> </w:t>
      </w:r>
      <w:r>
        <w:t xml:space="preserve">Continue to increase the share of renewable energy sourcing for manufacturing operations, aiming for 100% renewable electricity.</w:t>
      </w:r>
    </w:p>
    <w:p>
      <w:pPr>
        <w:numPr>
          <w:ilvl w:val="0"/>
          <w:numId w:val="1020"/>
        </w:numPr>
        <w:pStyle w:val="Compact"/>
      </w:pPr>
      <w:r>
        <w:rPr>
          <w:bCs/>
          <w:b/>
        </w:rPr>
        <w:t xml:space="preserve">Enhanced Circular Economy Programs:</w:t>
      </w:r>
      <w:r>
        <w:t xml:space="preserve"> </w:t>
      </w:r>
      <w:r>
        <w:t xml:space="preserve">Strengthen the product take-back program to increase return rates and ensure effective recycling or remanufacturing, further maximizing avoided emissions at End-of-Life.</w:t>
      </w:r>
    </w:p>
    <w:p>
      <w:pPr>
        <w:numPr>
          <w:ilvl w:val="0"/>
          <w:numId w:val="1020"/>
        </w:numPr>
        <w:pStyle w:val="Compact"/>
      </w:pPr>
      <w:r>
        <w:rPr>
          <w:bCs/>
          <w:b/>
        </w:rPr>
        <w:t xml:space="preserve">Supply Chain Engagement:</w:t>
      </w:r>
      <w:r>
        <w:t xml:space="preserve"> </w:t>
      </w:r>
      <w:r>
        <w:t xml:space="preserve">Collaborate with key suppliers to gather primary data on their operational emissions and explore opportunities for them to decarbonize their processes.</w:t>
      </w:r>
    </w:p>
    <w:bookmarkEnd w:id="57"/>
    <w:bookmarkEnd w:id="58"/>
    <w:p>
      <w:r>
        <w:pict>
          <v:rect style="width:0;height:1.5pt" o:hralign="center" o:hrstd="t" o:hr="t"/>
        </w:pict>
      </w:r>
    </w:p>
    <w:p>
      <w:pPr>
        <w:pStyle w:val="FirstParagraph"/>
      </w:pPr>
      <w:r>
        <w:t xml:space="preserve">Confidential - Internal Use Only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(PCF) Report for goxrovzpwj</dc:title>
  <dc:creator/>
  <dc:description>Detailed Product Carbon Footprint (PCF) analysis report for goxrovzpwj by iiziiumivd, adhering to GHG Protocol standards and 2026 LSR Update requirements.</dc:description>
  <dc:language>en</dc:language>
  <cp:keywords/>
  <dcterms:created xsi:type="dcterms:W3CDTF">2026-07-15T05:47:13Z</dcterms:created>
  <dcterms:modified xsi:type="dcterms:W3CDTF">2026-07-15T05:47:13Z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