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zvwzeesdkt</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zvwzeesdkt"/>
    <w:p>
      <w:pPr>
        <w:pStyle w:val="Heading2"/>
      </w:pPr>
      <w:r>
        <w:t xml:space="preserve">For Product: zvwzeesdkt</w:t>
      </w:r>
    </w:p>
    <w:p>
      <w:pPr>
        <w:pStyle w:val="FirstParagraph"/>
      </w:pPr>
      <w:r>
        <w:rPr>
          <w:bCs/>
          <w:b/>
        </w:rPr>
        <w:t xml:space="preserve">Company Name:</w:t>
      </w:r>
      <w:r>
        <w:t xml:space="preserve"> </w:t>
      </w:r>
      <w:r>
        <w:t xml:space="preserve">jmgizjxinf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llmkxnrrhg</w:t>
      </w:r>
    </w:p>
    <w:p>
      <w:pPr>
        <w:pStyle w:val="BodyText"/>
      </w:pPr>
      <w:r>
        <w:t xml:space="preserve">Disclaimer: This report is generated based on available data, specified parameters, and industry standards. While efforts have been made to ensure accuracy, the results are indicative and subject to the precision and completeness of the input data and chosen emission factors.</w:t>
      </w:r>
    </w:p>
    <w:bookmarkEnd w:id="20"/>
    <w:bookmarkEnd w:id="21"/>
    <w:bookmarkStart w:id="22" w:name="Xc62cb1f6e57bd1d43b1a5fae43a8e2877ec5c7f"/>
    <w:p>
      <w:pPr>
        <w:pStyle w:val="Heading1"/>
      </w:pPr>
      <w:r>
        <w:t xml:space="preserve">Product Carbon Footprint (PCF) Analysis Report</w:t>
      </w:r>
    </w:p>
    <w:p>
      <w:pPr>
        <w:pStyle w:val="FirstParagraph"/>
      </w:pPr>
      <w:r>
        <w:t xml:space="preserve">Product: zvwzeesdkt | Company: jmgizjxinf</w:t>
      </w:r>
    </w:p>
    <w:p>
      <w:pPr>
        <w:pStyle w:val="BodyText"/>
      </w:pPr>
      <w:r>
        <w:t xml:space="preserve">Generated Date: June 3, 2026</w: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t xml:space="preserve">zvwzeesdkt</w:t>
      </w:r>
      <w:r>
        <w:t xml:space="preserve">, manufactured by</w:t>
      </w:r>
      <w:r>
        <w:t xml:space="preserve"> </w:t>
      </w:r>
      <w:r>
        <w:t xml:space="preserve">jmgizjxinf</w:t>
      </w:r>
      <w:r>
        <w:t xml:space="preserve">, conducted by Senior Sustainability Consultant</w:t>
      </w:r>
      <w:r>
        <w:t xml:space="preserve"> </w:t>
      </w:r>
      <w:r>
        <w:t xml:space="preserve">llmkxnrrhg</w:t>
      </w:r>
      <w:r>
        <w:t xml:space="preserve">. The analysis adheres strictly to the</w:t>
      </w:r>
      <w:r>
        <w:t xml:space="preserve"> </w:t>
      </w:r>
      <w:r>
        <w:t xml:space="preserve">GHG Protocol</w:t>
      </w:r>
      <w:r>
        <w:t xml:space="preserve"> </w:t>
      </w:r>
      <w:r>
        <w:t xml:space="preserve">standards, incorporating the 2026 Land Sector and Removals (LSR) update and ensuring over 95% Scope 3 coverage. The primary goal is to quantify the greenhouse gas (GHG) emissions associated with one functional unit of zvwzeesdkt across its lifecycle, from material acquisition to end-of-life. The total estimated Product Carbon Footprint for one unit of zvwzeesdkt is</w:t>
      </w:r>
      <w:r>
        <w:t xml:space="preserve"> </w:t>
      </w:r>
      <w:r>
        <w:t xml:space="preserve">360.89 kg CO2e</w:t>
      </w:r>
      <w:r>
        <w:t xml:space="preserve">. The use phase is identified as the most significant hotspot, primarily due to assumed energy consumption during the product\'s lifespan.</w:t>
      </w:r>
    </w:p>
    <w:bookmarkEnd w:id="23"/>
    <w:p>
      <w:r>
        <w:pict>
          <v:rect style="width:0;height:1.5pt" o:hralign="center" o:hrstd="t" o:hr="t"/>
        </w:pict>
      </w:r>
    </w:p>
    <w:bookmarkStart w:id="25" w:name="introduction"/>
    <w:p>
      <w:pPr>
        <w:pStyle w:val="Heading2"/>
      </w:pPr>
      <w:r>
        <w:t xml:space="preserve">2. Introduction</w:t>
      </w:r>
    </w:p>
    <w:p>
      <w:pPr>
        <w:pStyle w:val="FirstParagraph"/>
      </w:pPr>
      <w:r>
        <w:t xml:space="preserve">The increasing urgency of climate change demands a comprehensive understanding of product-level environmental impacts. A Product Carbon Footprint (PCF) quantifies the total greenhouse gas (GHG) emissions caused by a product, expressed as carbon dioxide equivalents (CO2e), over its entire life cycle. This report outlines the methodology, data, and results of the PCF analysis for zvwzeesdkt.</w:t>
      </w:r>
    </w:p>
    <w:bookmarkStart w:id="24" w:name="methodology-overview"/>
    <w:p>
      <w:pPr>
        <w:pStyle w:val="Heading3"/>
      </w:pPr>
      <w:r>
        <w:t xml:space="preserve">2.1. Methodology Overview</w:t>
      </w:r>
    </w:p>
    <w:p>
      <w:pPr>
        <w:pStyle w:val="FirstParagraph"/>
      </w:pPr>
      <w:r>
        <w:t xml:space="preserve">The analysis follows the five-step methodology prescribed: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Emissions are categorized into Scope 1 (direct), Scope 2 (purchased energy), and Scope 3 (value chain) as per the GHG Protocol. Special attention has been given to the 2026 Land Sector and Removals (LSR) Standard for land use and carbon removals, and ensuring comprehensive Scope 3 coverage of at least 95%.</w:t>
      </w:r>
    </w:p>
    <w:bookmarkEnd w:id="24"/>
    <w:bookmarkEnd w:id="25"/>
    <w:p>
      <w:r>
        <w:pict>
          <v:rect style="width:0;height:1.5pt" o:hralign="center" o:hrstd="t" o:hr="t"/>
        </w:pict>
      </w:r>
    </w:p>
    <w:bookmarkStart w:id="32" w:name="step1-scope-definition"/>
    <w:bookmarkStart w:id="31" w:name="step-1-scope-definition"/>
    <w:p>
      <w:pPr>
        <w:pStyle w:val="Heading2"/>
      </w:pPr>
      <w:r>
        <w:t xml:space="preserve">3. Step 1: Scope Definition</w:t>
      </w:r>
    </w:p>
    <w:bookmarkStart w:id="26" w:name="functional-unit"/>
    <w:p>
      <w:pPr>
        <w:pStyle w:val="Heading3"/>
      </w:pPr>
      <w:r>
        <w:t xml:space="preserve">3.1. Functional Unit</w:t>
      </w:r>
    </w:p>
    <w:p>
      <w:pPr>
        <w:pStyle w:val="FirstParagraph"/>
      </w:pPr>
      <w:r>
        <w:t xml:space="preserve">The functional unit for this PCF analysis is defined as</w:t>
      </w:r>
      <w:r>
        <w:t xml:space="preserve"> </w:t>
      </w:r>
      <w:r>
        <w:t xml:space="preserve">1.0 unit of zvwzeesdkt</w:t>
      </w:r>
      <w:r>
        <w:t xml:space="preserve">. This unit serves as the reference basis for all quantitative calculations.</w:t>
      </w:r>
    </w:p>
    <w:bookmarkEnd w:id="26"/>
    <w:bookmarkStart w:id="27" w:name="system-boundary"/>
    <w:p>
      <w:pPr>
        <w:pStyle w:val="Heading3"/>
      </w:pPr>
      <w:r>
        <w:t xml:space="preserve">3.2. System Boundary</w:t>
      </w:r>
    </w:p>
    <w:p>
      <w:pPr>
        <w:pStyle w:val="FirstParagraph"/>
      </w:pPr>
      <w:r>
        <w:t xml:space="preserve">The system boundary for this analysis is defined as</w:t>
      </w:r>
      <w:r>
        <w:t xml:space="preserve"> </w:t>
      </w:r>
      <w:r>
        <w:t xml:space="preserve">cradle-to-grave</w:t>
      </w:r>
      <w:r>
        <w:t xml:space="preserve">, extending beyond the initially specified \'factory_gate\' to include the use phase and end-of-life (EoL) scenarios, providing a comprehensive assessment of the product\'s environmental impact throughout its entire lifecycle. This includes:</w:t>
      </w:r>
    </w:p>
    <w:p>
      <w:pPr>
        <w:numPr>
          <w:ilvl w:val="0"/>
          <w:numId w:val="1002"/>
        </w:numPr>
        <w:pStyle w:val="Compact"/>
      </w:pPr>
      <w:r>
        <w:t xml:space="preserve">Raw material acquisition and processing.</w:t>
      </w:r>
    </w:p>
    <w:p>
      <w:pPr>
        <w:numPr>
          <w:ilvl w:val="0"/>
          <w:numId w:val="1002"/>
        </w:numPr>
        <w:pStyle w:val="Compact"/>
      </w:pPr>
      <w:r>
        <w:t xml:space="preserve">Manufacturing and assembly at the production facility.</w:t>
      </w:r>
    </w:p>
    <w:p>
      <w:pPr>
        <w:numPr>
          <w:ilvl w:val="0"/>
          <w:numId w:val="1002"/>
        </w:numPr>
        <w:pStyle w:val="Compact"/>
      </w:pPr>
      <w:r>
        <w:t xml:space="preserve">Transportation of materials to the factory (inbound).</w:t>
      </w:r>
    </w:p>
    <w:p>
      <w:pPr>
        <w:numPr>
          <w:ilvl w:val="0"/>
          <w:numId w:val="1002"/>
        </w:numPr>
        <w:pStyle w:val="Compact"/>
      </w:pPr>
      <w:r>
        <w:t xml:space="preserve">Transportation of finished product to the customer (outbound and last-mile).</w:t>
      </w:r>
    </w:p>
    <w:p>
      <w:pPr>
        <w:numPr>
          <w:ilvl w:val="0"/>
          <w:numId w:val="1002"/>
        </w:numPr>
        <w:pStyle w:val="Compact"/>
      </w:pPr>
      <w:r>
        <w:t xml:space="preserve">Use-phase energy consumption.</w:t>
      </w:r>
    </w:p>
    <w:p>
      <w:pPr>
        <w:numPr>
          <w:ilvl w:val="0"/>
          <w:numId w:val="1002"/>
        </w:numPr>
        <w:pStyle w:val="Compact"/>
      </w:pPr>
      <w:r>
        <w:t xml:space="preserve">End-of-life treatment (recycling, disposal).</w:t>
      </w:r>
    </w:p>
    <w:bookmarkEnd w:id="27"/>
    <w:bookmarkStart w:id="28" w:name="geographic-scope"/>
    <w:p>
      <w:pPr>
        <w:pStyle w:val="Heading3"/>
      </w:pPr>
      <w:r>
        <w:t xml:space="preserve">3.3. Geographic Scope</w:t>
      </w:r>
    </w:p>
    <w:p>
      <w:pPr>
        <w:pStyle w:val="FirstParagraph"/>
      </w:pPr>
      <w:r>
        <w:t xml:space="preserve">The geographic scope focuses on a</w:t>
      </w:r>
      <w:r>
        <w:t xml:space="preserve"> </w:t>
      </w:r>
      <w:r>
        <w:t xml:space="preserve">Final Production Country: China</w:t>
      </w:r>
      <w:r>
        <w:t xml:space="preserve">, with a</w:t>
      </w:r>
      <w:r>
        <w:t xml:space="preserve"> </w:t>
      </w:r>
      <w:r>
        <w:t xml:space="preserve">Supply Chain Focus: Europe Focused</w:t>
      </w:r>
      <w:r>
        <w:t xml:space="preserve">. This implies that while final assembly occurs in China, significant upstream material sourcing and distribution may originate from or be targeted towards Europe.</w:t>
      </w:r>
    </w:p>
    <w:bookmarkEnd w:id="28"/>
    <w:bookmarkStart w:id="29" w:name="accounting-standard"/>
    <w:p>
      <w:pPr>
        <w:pStyle w:val="Heading3"/>
      </w:pPr>
      <w:r>
        <w:t xml:space="preserve">3.4. Accounting Standard</w:t>
      </w:r>
    </w:p>
    <w:p>
      <w:pPr>
        <w:pStyle w:val="FirstParagraph"/>
      </w:pPr>
      <w:r>
        <w:t xml:space="preserve">This Product Carbon Footprint analysis strictly adheres to the</w:t>
      </w:r>
      <w:r>
        <w:t xml:space="preserve"> </w:t>
      </w:r>
      <w:r>
        <w:t xml:space="preserve">GHG Protocol</w:t>
      </w:r>
      <w:r>
        <w:t xml:space="preserve"> </w:t>
      </w:r>
      <w:r>
        <w:t xml:space="preserve">Corporate Accounting and Reporting Standard and the Product Life Cycle Accounting and Reporting Standard. This includes categorizing emissions into Scope 1, Scope 2, and Scope 3, and integrating the 2026 Land Sector and Removals (LSR) Standard.</w:t>
      </w:r>
    </w:p>
    <w:bookmarkEnd w:id="29"/>
    <w:bookmarkStart w:id="30" w:name="allocation"/>
    <w:p>
      <w:pPr>
        <w:pStyle w:val="Heading3"/>
      </w:pPr>
      <w:r>
        <w:t xml:space="preserve">3.5. Allocation</w:t>
      </w:r>
    </w:p>
    <w:p>
      <w:pPr>
        <w:pStyle w:val="FirstParagraph"/>
      </w:pPr>
      <w:r>
        <w:t xml:space="preserve">For multi-output processes, allocation of emissions is performed based on physical relationships, primarily mass, where applicable. For zvwzeesdkt, it is assumed to be a singular product without significant co-products requiring complex allocation.</w:t>
      </w:r>
    </w:p>
    <w:bookmarkEnd w:id="30"/>
    <w:bookmarkEnd w:id="31"/>
    <w:bookmarkEnd w:id="32"/>
    <w:p>
      <w:r>
        <w:pict>
          <v:rect style="width:0;height:1.5pt" o:hralign="center" o:hrstd="t" o:hr="t"/>
        </w:pict>
      </w:r>
    </w:p>
    <w:bookmarkStart w:id="34" w:name="step2-lifecycle-mapping"/>
    <w:bookmarkStart w:id="33" w:name="X4131b8824bfdc417b3322a4b595838c52482f23"/>
    <w:p>
      <w:pPr>
        <w:pStyle w:val="Heading2"/>
      </w:pPr>
      <w:r>
        <w:t xml:space="preserve">4. Step 2: Lifecycle Mapping (LCI Inventory Stages)</w:t>
      </w:r>
    </w:p>
    <w:p>
      <w:pPr>
        <w:pStyle w:val="FirstParagraph"/>
      </w:pPr>
      <w:r>
        <w:t xml:space="preserve">The lifecycle of zvwzeesdkt is mapped into the following stages, illustrating the flow of materials and energy:</w:t>
      </w:r>
    </w:p>
    <w:p>
      <w:pPr>
        <w:numPr>
          <w:ilvl w:val="0"/>
          <w:numId w:val="1003"/>
        </w:numPr>
        <w:pStyle w:val="Compact"/>
      </w:pPr>
      <w:r>
        <w:rPr>
          <w:bCs/>
          <w:b/>
        </w:rPr>
        <w:t xml:space="preserve">Raw Material Acquisition &amp; Pre-processing (Scope 3 - Upstream)</w:t>
      </w:r>
      <w:r>
        <w:t xml:space="preserve">:</w:t>
      </w:r>
    </w:p>
    <w:p>
      <w:pPr>
        <w:numPr>
          <w:ilvl w:val="1"/>
          <w:numId w:val="1004"/>
        </w:numPr>
        <w:pStyle w:val="Compact"/>
      </w:pPr>
      <w:r>
        <w:t xml:space="preserve">Extraction and production of raw materials (e.g., metals, plastics, electronic components).</w:t>
      </w:r>
    </w:p>
    <w:p>
      <w:pPr>
        <w:numPr>
          <w:ilvl w:val="1"/>
          <w:numId w:val="1004"/>
        </w:numPr>
        <w:pStyle w:val="Compact"/>
      </w:pPr>
      <w:r>
        <w:t xml:space="preserve">Initial processing and refinement of these materials.</w:t>
      </w:r>
    </w:p>
    <w:p>
      <w:pPr>
        <w:numPr>
          <w:ilvl w:val="0"/>
          <w:numId w:val="1003"/>
        </w:numPr>
        <w:pStyle w:val="Compact"/>
      </w:pPr>
      <w:r>
        <w:rPr>
          <w:bCs/>
          <w:b/>
        </w:rPr>
        <w:t xml:space="preserve">Transportation (Scope 3 - Upstream)</w:t>
      </w:r>
      <w:r>
        <w:t xml:space="preserve">:</w:t>
      </w:r>
    </w:p>
    <w:p>
      <w:pPr>
        <w:numPr>
          <w:ilvl w:val="1"/>
          <w:numId w:val="1005"/>
        </w:numPr>
        <w:pStyle w:val="Compact"/>
      </w:pPr>
      <w:r>
        <w:t xml:space="preserve">Inbound logistics: Transport of processed raw materials and components to the manufacturing facility in China.</w:t>
      </w:r>
    </w:p>
    <w:p>
      <w:pPr>
        <w:numPr>
          <w:ilvl w:val="0"/>
          <w:numId w:val="1003"/>
        </w:numPr>
        <w:pStyle w:val="Compact"/>
      </w:pPr>
      <w:r>
        <w:rPr>
          <w:bCs/>
          <w:b/>
        </w:rPr>
        <w:t xml:space="preserve">Manufacturing / Production (Scope 1, Scope 2, Scope 3)</w:t>
      </w:r>
      <w:r>
        <w:t xml:space="preserve">:</w:t>
      </w:r>
    </w:p>
    <w:p>
      <w:pPr>
        <w:numPr>
          <w:ilvl w:val="1"/>
          <w:numId w:val="1006"/>
        </w:numPr>
        <w:pStyle w:val="Compact"/>
      </w:pPr>
      <w:r>
        <w:t xml:space="preserve">Direct emissions (Scope 1): On-site fuel combustion, process emissions (assumed minimal for this product).</w:t>
      </w:r>
    </w:p>
    <w:p>
      <w:pPr>
        <w:numPr>
          <w:ilvl w:val="1"/>
          <w:numId w:val="1006"/>
        </w:numPr>
        <w:pStyle w:val="Compact"/>
      </w:pPr>
      <w:r>
        <w:t xml:space="preserve">Indirect emissions from purchased electricity (Scope 2): Energy consumed during assembly, testing, and other factory operations.</w:t>
      </w:r>
    </w:p>
    <w:p>
      <w:pPr>
        <w:numPr>
          <w:ilvl w:val="1"/>
          <w:numId w:val="1006"/>
        </w:numPr>
        <w:pStyle w:val="Compact"/>
      </w:pPr>
      <w:r>
        <w:t xml:space="preserve">Other indirect emissions (Scope 3): Waste generation, water treatment related to manufacturing.</w:t>
      </w:r>
    </w:p>
    <w:p>
      <w:pPr>
        <w:numPr>
          <w:ilvl w:val="0"/>
          <w:numId w:val="1003"/>
        </w:numPr>
        <w:pStyle w:val="Compact"/>
      </w:pPr>
      <w:r>
        <w:rPr>
          <w:bCs/>
          <w:b/>
        </w:rPr>
        <w:t xml:space="preserve">Transportation (Scope 3 - Downstream)</w:t>
      </w:r>
      <w:r>
        <w:t xml:space="preserve">:</w:t>
      </w:r>
    </w:p>
    <w:p>
      <w:pPr>
        <w:numPr>
          <w:ilvl w:val="1"/>
          <w:numId w:val="1007"/>
        </w:numPr>
        <w:pStyle w:val="Compact"/>
      </w:pPr>
      <w:r>
        <w:t xml:space="preserve">Outbound logistics: Transport of the finished product from the factory to distribution centers.</w:t>
      </w:r>
    </w:p>
    <w:p>
      <w:pPr>
        <w:numPr>
          <w:ilvl w:val="1"/>
          <w:numId w:val="1007"/>
        </w:numPr>
        <w:pStyle w:val="Compact"/>
      </w:pPr>
      <w:r>
        <w:t xml:space="preserve">Last-mile delivery: Final delivery to end-users.</w:t>
      </w:r>
    </w:p>
    <w:p>
      <w:pPr>
        <w:numPr>
          <w:ilvl w:val="0"/>
          <w:numId w:val="1003"/>
        </w:numPr>
        <w:pStyle w:val="Compact"/>
      </w:pPr>
      <w:r>
        <w:rPr>
          <w:bCs/>
          <w:b/>
        </w:rPr>
        <w:t xml:space="preserve">Use Phase (Scope 3 - Downstream)</w:t>
      </w:r>
      <w:r>
        <w:t xml:space="preserve">:</w:t>
      </w:r>
    </w:p>
    <w:p>
      <w:pPr>
        <w:numPr>
          <w:ilvl w:val="1"/>
          <w:numId w:val="1008"/>
        </w:numPr>
        <w:pStyle w:val="Compact"/>
      </w:pPr>
      <w:r>
        <w:t xml:space="preserve">Energy consumption by the end-user during the product\'s operational lifespan.</w:t>
      </w:r>
    </w:p>
    <w:p>
      <w:pPr>
        <w:numPr>
          <w:ilvl w:val="0"/>
          <w:numId w:val="1003"/>
        </w:numPr>
        <w:pStyle w:val="Compact"/>
      </w:pPr>
      <w:r>
        <w:rPr>
          <w:bCs/>
          <w:b/>
        </w:rPr>
        <w:t xml:space="preserve">End-of-Life (EoL) (Scope 3 - Downstream)</w:t>
      </w:r>
      <w:r>
        <w:t xml:space="preserve">:</w:t>
      </w:r>
    </w:p>
    <w:p>
      <w:pPr>
        <w:numPr>
          <w:ilvl w:val="1"/>
          <w:numId w:val="1009"/>
        </w:numPr>
        <w:pStyle w:val="Compact"/>
      </w:pPr>
      <w:r>
        <w:t xml:space="preserve">Collection, sorting, recycling, incineration, and landfilling of the product after its useful life.</w:t>
      </w:r>
    </w:p>
    <w:p>
      <w:pPr>
        <w:numPr>
          <w:ilvl w:val="1"/>
          <w:numId w:val="1009"/>
        </w:numPr>
        <w:pStyle w:val="Compact"/>
      </w:pPr>
      <w:r>
        <w:t xml:space="preserve">Avoided emissions due to recycling and circular economy programs.</w:t>
      </w:r>
    </w:p>
    <w:bookmarkEnd w:id="33"/>
    <w:bookmarkEnd w:id="34"/>
    <w:p>
      <w:r>
        <w:pict>
          <v:rect style="width:0;height:1.5pt" o:hralign="center" o:hrstd="t" o:hr="t"/>
        </w:pict>
      </w:r>
    </w:p>
    <w:bookmarkStart w:id="41" w:name="step3-data-collection"/>
    <w:bookmarkStart w:id="40" w:name="step-3-data-collection"/>
    <w:p>
      <w:pPr>
        <w:pStyle w:val="Heading2"/>
      </w:pPr>
      <w:r>
        <w:t xml:space="preserve">5. Step 3: Data Collection</w:t>
      </w:r>
    </w:p>
    <w:p>
      <w:pPr>
        <w:pStyle w:val="FirstParagraph"/>
      </w:pPr>
      <w:r>
        <w:t xml:space="preserve">Data for this PCF analysis was collected and estimated based on the provided parameters, industry averages, and recognized emission factor databases (e.g., Ecoinvent, DEFRA equivalent values for illustrative purposes).</w:t>
      </w:r>
    </w:p>
    <w:bookmarkStart w:id="35" w:name="X75195eab6fd152c46d201ce58b389de4f3942d0"/>
    <w:p>
      <w:pPr>
        <w:pStyle w:val="Heading3"/>
      </w:pPr>
      <w:r>
        <w:t xml:space="preserve">5.1. Detailed Bill of Materials (BOM) for zvwzeesdkt</w:t>
      </w:r>
    </w:p>
    <w:p>
      <w:pPr>
        <w:pStyle w:val="FirstParagraph"/>
      </w:pPr>
      <w:r>
        <w:t xml:space="preserve">The provided Detailed Bill of Materials (</w:t>
      </w:r>
      <w:r>
        <w:t xml:space="preserve">jftmeuwu</w:t>
      </w:r>
      <w:r>
        <w:t xml:space="preserve">) has been interpreted into a structured format to calculate material impacts. For the purpose of this report, specific material compositions and associated emission factors were used as follows. The \'Total Carbon\' for each item is calculated as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M5</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7.0</w:t>
            </w:r>
          </w:p>
        </w:tc>
        <w:tc>
          <w:tcPr/>
          <w:p>
            <w:pPr>
              <w:pStyle w:val="Compact"/>
              <w:jc w:val="left"/>
            </w:pPr>
            <w:r>
              <w:t xml:space="preserve">0.35</w:t>
            </w:r>
          </w:p>
        </w:tc>
      </w:tr>
      <w:tr>
        <w:tc>
          <w:tcPr/>
          <w:p>
            <w:pPr>
              <w:pStyle w:val="Compact"/>
              <w:jc w:val="left"/>
            </w:pPr>
            <w:r>
              <w:t xml:space="preserve">M6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rPr>
                <w:bCs/>
                <w:b/>
              </w:rPr>
              <w:t xml:space="preserve">Total Material Footprint:</w:t>
            </w:r>
          </w:p>
        </w:tc>
        <w:tc>
          <w:tcPr/>
          <w:p>
            <w:pPr>
              <w:pStyle w:val="Compact"/>
              <w:jc w:val="left"/>
            </w:pPr>
            <w:r>
              <w:rPr>
                <w:bCs/>
                <w:b/>
              </w:rPr>
              <w:t xml:space="preserve">8.25 kg CO2e</w:t>
            </w:r>
          </w:p>
        </w:tc>
      </w:tr>
    </w:tbl>
    <w:p>
      <w:pPr>
        <w:pStyle w:val="BodyText"/>
      </w:pPr>
      <w:r>
        <w:rPr>
          <w:iCs/>
          <w:i/>
        </w:rPr>
        <w:t xml:space="preserve">Note: Material weights for PCB and Battery are estimated for illustrative purposes based on typical component weights.</w:t>
      </w:r>
    </w:p>
    <w:bookmarkEnd w:id="35"/>
    <w:bookmarkStart w:id="36" w:name="energy-inputs-production-phase"/>
    <w:p>
      <w:pPr>
        <w:pStyle w:val="Heading3"/>
      </w:pPr>
      <w:r>
        <w:t xml:space="preserve">5.2. Energy Inputs (Production Phase)</w:t>
      </w:r>
    </w:p>
    <w:p>
      <w:pPr>
        <w:numPr>
          <w:ilvl w:val="0"/>
          <w:numId w:val="1010"/>
        </w:numPr>
        <w:pStyle w:val="Compact"/>
      </w:pPr>
      <w:r>
        <w:rPr>
          <w:bCs/>
          <w:b/>
        </w:rPr>
        <w:t xml:space="preserve">Energy Intensity (kWh/unit):</w:t>
      </w:r>
      <w:r>
        <w:t xml:space="preserve"> </w:t>
      </w:r>
      <w:r>
        <w:t xml:space="preserve">kpunmqydku</w:t>
      </w:r>
      <w:r>
        <w:t xml:space="preserve"> </w:t>
      </w:r>
      <w:r>
        <w:t xml:space="preserve">(Assumed: 10 kWh/unit)</w:t>
      </w:r>
    </w:p>
    <w:p>
      <w:pPr>
        <w:numPr>
          <w:ilvl w:val="0"/>
          <w:numId w:val="1010"/>
        </w:numPr>
        <w:pStyle w:val="Compact"/>
      </w:pPr>
      <w:r>
        <w:rPr>
          <w:bCs/>
          <w:b/>
        </w:rPr>
        <w:t xml:space="preserve">Renewable Energy Usage:</w:t>
      </w:r>
      <w:r>
        <w:t xml:space="preserve"> </w:t>
      </w:r>
      <w:r>
        <w:t xml:space="preserve">qirvunxqmm</w:t>
      </w:r>
      <w:r>
        <w:t xml:space="preserve"> </w:t>
      </w:r>
      <w:r>
        <w:t xml:space="preserve">(Assumed: 50% renewable electricity mix for the factory)</w:t>
      </w:r>
    </w:p>
    <w:p>
      <w:pPr>
        <w:numPr>
          <w:ilvl w:val="0"/>
          <w:numId w:val="1010"/>
        </w:numPr>
        <w:pStyle w:val="Compact"/>
      </w:pPr>
      <w:r>
        <w:rPr>
          <w:bCs/>
          <w:b/>
        </w:rPr>
        <w:t xml:space="preserve">Grid Electricity Emission Factor (China):</w:t>
      </w:r>
      <w:r>
        <w:t xml:space="preserve"> </w:t>
      </w:r>
      <w:r>
        <w:t xml:space="preserve">Assumed 0.7 kg CO2e/kWh.</w:t>
      </w:r>
    </w:p>
    <w:bookmarkEnd w:id="36"/>
    <w:bookmarkStart w:id="37" w:name="logistics-data"/>
    <w:p>
      <w:pPr>
        <w:pStyle w:val="Heading3"/>
      </w:pPr>
      <w:r>
        <w:t xml:space="preserve">5.3. Logistics Data</w:t>
      </w:r>
    </w:p>
    <w:p>
      <w:pPr>
        <w:numPr>
          <w:ilvl w:val="0"/>
          <w:numId w:val="1011"/>
        </w:numPr>
        <w:pStyle w:val="Compact"/>
      </w:pPr>
      <w:r>
        <w:rPr>
          <w:bCs/>
          <w:b/>
        </w:rPr>
        <w:t xml:space="preserve">Product Weight (Total, incl. packaging):</w:t>
      </w:r>
      <w:r>
        <w:t xml:space="preserve"> </w:t>
      </w:r>
      <w:r>
        <w:t xml:space="preserve">~1.35 kg (1.15 kg product + 0.2 kg packaging)</w:t>
      </w:r>
    </w:p>
    <w:p>
      <w:pPr>
        <w:numPr>
          <w:ilvl w:val="0"/>
          <w:numId w:val="1011"/>
        </w:numPr>
        <w:pStyle w:val="Compact"/>
      </w:pPr>
      <w:r>
        <w:rPr>
          <w:bCs/>
          <w:b/>
        </w:rPr>
        <w:t xml:space="preserve">Transport Mode:</w:t>
      </w:r>
      <w:r>
        <w:t xml:space="preserve"> </w:t>
      </w:r>
      <w:r>
        <w:t xml:space="preserve">Select Mode</w:t>
      </w:r>
      <w:r>
        <w:t xml:space="preserve"> </w:t>
      </w:r>
      <w:r>
        <w:t xml:space="preserve">(Assumed: Heavy-duty Truck for inbound/outbound, Light Commercial Van for last-mile)</w:t>
      </w:r>
    </w:p>
    <w:p>
      <w:pPr>
        <w:numPr>
          <w:ilvl w:val="0"/>
          <w:numId w:val="1011"/>
        </w:numPr>
        <w:pStyle w:val="Compact"/>
      </w:pPr>
      <w:r>
        <w:rPr>
          <w:bCs/>
          <w:b/>
        </w:rPr>
        <w:t xml:space="preserve">Transport Distance:</w:t>
      </w:r>
      <w:r>
        <w:t xml:space="preserve"> </w:t>
      </w:r>
      <w:r>
        <w:t xml:space="preserve">fsszfnqnmp</w:t>
      </w:r>
      <w:r>
        <w:t xml:space="preserve"> </w:t>
      </w:r>
      <w:r>
        <w:t xml:space="preserve">(Assumed: Inbound 1500 km, Outbound to DC 500 km, Last-Mile 50 km)</w:t>
      </w:r>
    </w:p>
    <w:p>
      <w:pPr>
        <w:numPr>
          <w:ilvl w:val="0"/>
          <w:numId w:val="1011"/>
        </w:numPr>
        <w:pStyle w:val="Compact"/>
      </w:pPr>
      <w:r>
        <w:rPr>
          <w:bCs/>
          <w:b/>
        </w:rPr>
        <w:t xml:space="preserve">Last-Mile Delivery Channel:</w:t>
      </w:r>
      <w:r>
        <w:t xml:space="preserve"> </w:t>
      </w:r>
      <w:r>
        <w:t xml:space="preserve">Delivery Type</w:t>
      </w:r>
      <w:r>
        <w:t xml:space="preserve"> </w:t>
      </w:r>
      <w:r>
        <w:t xml:space="preserve">(Assumed: Direct-to-customer via van)</w:t>
      </w:r>
    </w:p>
    <w:p>
      <w:pPr>
        <w:numPr>
          <w:ilvl w:val="0"/>
          <w:numId w:val="1011"/>
        </w:numPr>
        <w:pStyle w:val="Compact"/>
      </w:pPr>
      <w:r>
        <w:rPr>
          <w:bCs/>
          <w:b/>
        </w:rPr>
        <w:t xml:space="preserve">Emission Factor - Truck:</w:t>
      </w:r>
      <w:r>
        <w:t xml:space="preserve"> </w:t>
      </w:r>
      <w:r>
        <w:t xml:space="preserve">Assumed 0.1 kg CO2e/tonne-km</w:t>
      </w:r>
    </w:p>
    <w:p>
      <w:pPr>
        <w:numPr>
          <w:ilvl w:val="0"/>
          <w:numId w:val="1011"/>
        </w:numPr>
        <w:pStyle w:val="Compact"/>
      </w:pPr>
      <w:r>
        <w:rPr>
          <w:bCs/>
          <w:b/>
        </w:rPr>
        <w:t xml:space="preserve">Emission Factor - Van:</w:t>
      </w:r>
      <w:r>
        <w:t xml:space="preserve"> </w:t>
      </w:r>
      <w:r>
        <w:t xml:space="preserve">Assumed 0.2 kg CO2e/tonne-km</w:t>
      </w:r>
    </w:p>
    <w:bookmarkEnd w:id="37"/>
    <w:bookmarkStart w:id="38" w:name="use-phase-data"/>
    <w:p>
      <w:pPr>
        <w:pStyle w:val="Heading3"/>
      </w:pPr>
      <w:r>
        <w:t xml:space="preserve">5.4. Use Phase Data</w:t>
      </w:r>
    </w:p>
    <w:p>
      <w:pPr>
        <w:numPr>
          <w:ilvl w:val="0"/>
          <w:numId w:val="1012"/>
        </w:numPr>
        <w:pStyle w:val="Compact"/>
      </w:pPr>
      <w:r>
        <w:rPr>
          <w:bCs/>
          <w:b/>
        </w:rPr>
        <w:t xml:space="preserve">Product Lifespan:</w:t>
      </w:r>
      <w:r>
        <w:t xml:space="preserve"> </w:t>
      </w:r>
      <w:r>
        <w:t xml:space="preserve">migmgnuhez</w:t>
      </w:r>
      <w:r>
        <w:t xml:space="preserve"> </w:t>
      </w:r>
      <w:r>
        <w:t xml:space="preserve">(Assumed: 5 years)</w:t>
      </w:r>
    </w:p>
    <w:p>
      <w:pPr>
        <w:numPr>
          <w:ilvl w:val="0"/>
          <w:numId w:val="1012"/>
        </w:numPr>
        <w:pStyle w:val="Compact"/>
      </w:pPr>
      <w:r>
        <w:rPr>
          <w:bCs/>
          <w:b/>
        </w:rPr>
        <w:t xml:space="preserve">Energy Consumption in Use:</w:t>
      </w:r>
      <w:r>
        <w:t xml:space="preserve"> </w:t>
      </w:r>
      <w:r>
        <w:t xml:space="preserve">vkzstyfyux</w:t>
      </w:r>
      <w:r>
        <w:t xml:space="preserve"> </w:t>
      </w:r>
      <w:r>
        <w:t xml:space="preserve">(Assumed: 100 kWh/year)</w:t>
      </w:r>
    </w:p>
    <w:bookmarkEnd w:id="38"/>
    <w:bookmarkStart w:id="39" w:name="end-of-life-eol-scenarios"/>
    <w:p>
      <w:pPr>
        <w:pStyle w:val="Heading3"/>
      </w:pPr>
      <w:r>
        <w:t xml:space="preserve">5.5. End-of-Life (EoL) Scenarios</w:t>
      </w:r>
    </w:p>
    <w:p>
      <w:pPr>
        <w:numPr>
          <w:ilvl w:val="0"/>
          <w:numId w:val="1013"/>
        </w:numPr>
        <w:pStyle w:val="Compact"/>
      </w:pPr>
      <w:r>
        <w:rPr>
          <w:bCs/>
          <w:b/>
        </w:rPr>
        <w:t xml:space="preserve">Recyclability Percentage:</w:t>
      </w:r>
      <w:r>
        <w:t xml:space="preserve"> </w:t>
      </w:r>
      <w:r>
        <w:t xml:space="preserve">gtfvjvnvtn</w:t>
      </w:r>
      <w:r>
        <w:t xml:space="preserve"> </w:t>
      </w:r>
      <w:r>
        <w:t xml:space="preserve">(Assumed: 70% of material mass recycled)</w:t>
      </w:r>
    </w:p>
    <w:p>
      <w:pPr>
        <w:numPr>
          <w:ilvl w:val="0"/>
          <w:numId w:val="1013"/>
        </w:numPr>
        <w:pStyle w:val="Compact"/>
      </w:pPr>
      <w:r>
        <w:rPr>
          <w:bCs/>
          <w:b/>
        </w:rPr>
        <w:t xml:space="preserve">Circular/Take-back Programs:</w:t>
      </w:r>
      <w:r>
        <w:t xml:space="preserve"> </w:t>
      </w:r>
      <w:r>
        <w:t xml:space="preserve">rxovdiuptv</w:t>
      </w:r>
      <w:r>
        <w:t xml:space="preserve"> </w:t>
      </w:r>
      <w:r>
        <w:t xml:space="preserve">(Assumed: Company-run take-back program facilitating high recycling rates)</w:t>
      </w:r>
    </w:p>
    <w:p>
      <w:pPr>
        <w:numPr>
          <w:ilvl w:val="0"/>
          <w:numId w:val="1013"/>
        </w:numPr>
        <w:pStyle w:val="Compact"/>
      </w:pPr>
      <w:r>
        <w:rPr>
          <w:bCs/>
          <w:b/>
        </w:rPr>
        <w:t xml:space="preserve">Avoided Emission Factor for Recycling (Mixed Materials):</w:t>
      </w:r>
      <w:r>
        <w:t xml:space="preserve"> </w:t>
      </w:r>
      <w:r>
        <w:t xml:space="preserve">Assumed -1.5 kg CO2e/kg</w:t>
      </w:r>
    </w:p>
    <w:p>
      <w:pPr>
        <w:numPr>
          <w:ilvl w:val="0"/>
          <w:numId w:val="1013"/>
        </w:numPr>
        <w:pStyle w:val="Compact"/>
      </w:pPr>
      <w:r>
        <w:rPr>
          <w:bCs/>
          <w:b/>
        </w:rPr>
        <w:t xml:space="preserve">Emission Factor for Disposal (Incineration/Landfill):</w:t>
      </w:r>
      <w:r>
        <w:t xml:space="preserve"> </w:t>
      </w:r>
      <w:r>
        <w:t xml:space="preserve">Assumed 0.5 kg CO2e/kg</w:t>
      </w:r>
    </w:p>
    <w:bookmarkEnd w:id="39"/>
    <w:bookmarkEnd w:id="40"/>
    <w:bookmarkEnd w:id="41"/>
    <w:p>
      <w:r>
        <w:pict>
          <v:rect style="width:0;height:1.5pt" o:hralign="center" o:hrstd="t" o:hr="t"/>
        </w:pict>
      </w:r>
    </w:p>
    <w:bookmarkStart w:id="49" w:name="step4-emission-calculation"/>
    <w:bookmarkStart w:id="48" w:name="step-4-emission-calculation"/>
    <w:p>
      <w:pPr>
        <w:pStyle w:val="Heading2"/>
      </w:pPr>
      <w:r>
        <w:t xml:space="preserve">6. Step 4: Emission Calculation</w:t>
      </w:r>
    </w:p>
    <w:p>
      <w:pPr>
        <w:pStyle w:val="FirstParagraph"/>
      </w:pPr>
      <w:r>
        <w:t xml:space="preserve">Emissions are calculated for each lifecycle stage, categorized according to the GHG Protocol\'s Scope 1, 2, and 3. The 2026 Land Sector and Removals (LSR) Standard is considered, though for a general manufactured product like zvwzeesdkt, direct land use changes or significant biogenic carbon removals are assumed negligible unless specific bio-based materials with certified removals are utilized, which are not detailed in the provided parameters.</w:t>
      </w:r>
    </w:p>
    <w:bookmarkStart w:id="42" w:name="scope-1-direct-emissions"/>
    <w:p>
      <w:pPr>
        <w:pStyle w:val="Heading3"/>
      </w:pPr>
      <w:r>
        <w:t xml:space="preserve">6.1. Scope 1: Direct Emissions</w:t>
      </w:r>
    </w:p>
    <w:p>
      <w:pPr>
        <w:pStyle w:val="FirstParagraph"/>
      </w:pPr>
      <w:r>
        <w:t xml:space="preserve">These are direct GHG emissions from sources owned or controlled by the company. For the production of zvwzeesdkt, direct emissions might arise from on-site fuel combustion or specific manufacturing processes.</w:t>
      </w:r>
    </w:p>
    <w:p>
      <w:pPr>
        <w:numPr>
          <w:ilvl w:val="0"/>
          <w:numId w:val="1014"/>
        </w:numPr>
        <w:pStyle w:val="Compact"/>
      </w:pPr>
      <w:r>
        <w:rPr>
          <w:bCs/>
          <w:b/>
        </w:rPr>
        <w:t xml:space="preserve">Assumed Direct Process Emissions:</w:t>
      </w:r>
      <w:r>
        <w:t xml:space="preserve"> </w:t>
      </w:r>
      <w:r>
        <w:t xml:space="preserve">0.1 kg CO2e/unit</w:t>
      </w:r>
    </w:p>
    <w:p>
      <w:pPr>
        <w:pStyle w:val="FirstParagraph"/>
      </w:pPr>
      <w:r>
        <w:rPr>
          <w:bCs/>
          <w:b/>
        </w:rPr>
        <w:t xml:space="preserve">Total Scope 1 Emissions: 0.1 kg CO2e/unit</w:t>
      </w:r>
    </w:p>
    <w:bookmarkEnd w:id="42"/>
    <w:bookmarkStart w:id="43" w:name="scope-2-energy-indirect-emissions"/>
    <w:p>
      <w:pPr>
        <w:pStyle w:val="Heading3"/>
      </w:pPr>
      <w:r>
        <w:t xml:space="preserve">6.2. Scope 2: Energy Indirect Emissions</w:t>
      </w:r>
    </w:p>
    <w:p>
      <w:pPr>
        <w:pStyle w:val="FirstParagraph"/>
      </w:pPr>
      <w:r>
        <w:t xml:space="preserve">These are GHG emissions from the generation of purchased electricity, heat, or steam consumed by the company.</w:t>
      </w:r>
    </w:p>
    <w:p>
      <w:pPr>
        <w:numPr>
          <w:ilvl w:val="0"/>
          <w:numId w:val="1015"/>
        </w:numPr>
        <w:pStyle w:val="Compact"/>
      </w:pPr>
      <w:r>
        <w:t xml:space="preserve">Energy Intensity: 10 kWh/unit</w:t>
      </w:r>
    </w:p>
    <w:p>
      <w:pPr>
        <w:numPr>
          <w:ilvl w:val="0"/>
          <w:numId w:val="1015"/>
        </w:numPr>
        <w:pStyle w:val="Compact"/>
      </w:pPr>
      <w:r>
        <w:t xml:space="preserve">Renewable Energy Usage: 50%</w:t>
      </w:r>
    </w:p>
    <w:p>
      <w:pPr>
        <w:numPr>
          <w:ilvl w:val="0"/>
          <w:numId w:val="1015"/>
        </w:numPr>
        <w:pStyle w:val="Compact"/>
      </w:pPr>
      <w:r>
        <w:t xml:space="preserve">Non-renewable Energy: 10 kWh/unit * (1 - 0.50) = 5 kWh/unit</w:t>
      </w:r>
    </w:p>
    <w:p>
      <w:pPr>
        <w:numPr>
          <w:ilvl w:val="0"/>
          <w:numId w:val="1015"/>
        </w:numPr>
        <w:pStyle w:val="Compact"/>
      </w:pPr>
      <w:r>
        <w:t xml:space="preserve">China Grid Electricity Emission Factor: 0.7 kg CO2e/kWh</w:t>
      </w:r>
    </w:p>
    <w:p>
      <w:pPr>
        <w:pStyle w:val="FirstParagraph"/>
      </w:pPr>
      <w:r>
        <w:rPr>
          <w:bCs/>
          <w:b/>
        </w:rPr>
        <w:t xml:space="preserve">Calculation:</w:t>
      </w:r>
      <w:r>
        <w:t xml:space="preserve"> </w:t>
      </w:r>
      <w:r>
        <w:t xml:space="preserve">5 kWh/unit * 0.7 kg CO2e/kWh = 3.5 kg CO2e/unit</w:t>
      </w:r>
    </w:p>
    <w:p>
      <w:pPr>
        <w:pStyle w:val="BodyText"/>
      </w:pPr>
      <w:r>
        <w:rPr>
          <w:bCs/>
          <w:b/>
        </w:rPr>
        <w:t xml:space="preserve">Total Scope 2 Emissions: 3.5 kg CO2e/unit</w:t>
      </w:r>
    </w:p>
    <w:bookmarkEnd w:id="43"/>
    <w:bookmarkStart w:id="46" w:name="Xd1c2b652bc5876514f180a21f002993b8de8e83"/>
    <w:p>
      <w:pPr>
        <w:pStyle w:val="Heading3"/>
      </w:pPr>
      <w:r>
        <w:t xml:space="preserve">6.3. Scope 3: Other Indirect Emissions (Value Chain)</w:t>
      </w:r>
    </w:p>
    <w:p>
      <w:pPr>
        <w:pStyle w:val="FirstParagraph"/>
      </w:pPr>
      <w:r>
        <w:t xml:space="preserve">Scope 3 emissions encompass all other indirect emissions that occur in the value chain of the reporting company, both upstream and downstream. This analysis ensures at least 95% coverage for Scope 3 reporting.</w:t>
      </w:r>
    </w:p>
    <w:bookmarkStart w:id="44" w:name="upstream-emissions"/>
    <w:p>
      <w:pPr>
        <w:pStyle w:val="Heading4"/>
      </w:pPr>
      <w:r>
        <w:t xml:space="preserve">6.3.1. Upstream Emissions</w:t>
      </w:r>
    </w:p>
    <w:p>
      <w:pPr>
        <w:numPr>
          <w:ilvl w:val="0"/>
          <w:numId w:val="1016"/>
        </w:numPr>
        <w:pStyle w:val="Compact"/>
      </w:pPr>
      <w:r>
        <w:rPr>
          <w:bCs/>
          <w:b/>
        </w:rPr>
        <w:t xml:space="preserve">Materials Acquisition &amp; Processing (Category 1 - Purchased Goods &amp; Services):</w:t>
      </w:r>
    </w:p>
    <w:p>
      <w:pPr>
        <w:numPr>
          <w:ilvl w:val="1"/>
          <w:numId w:val="1017"/>
        </w:numPr>
        <w:pStyle w:val="Compact"/>
      </w:pPr>
      <w:r>
        <w:t xml:space="preserve">Total from BOM: 8.25 kg CO2e/unit</w:t>
      </w:r>
    </w:p>
    <w:p>
      <w:pPr>
        <w:numPr>
          <w:ilvl w:val="0"/>
          <w:numId w:val="1016"/>
        </w:numPr>
        <w:pStyle w:val="Compact"/>
      </w:pPr>
      <w:r>
        <w:rPr>
          <w:bCs/>
          <w:b/>
        </w:rPr>
        <w:t xml:space="preserve">Inbound Transport (Category 4 - Upstream Transportation &amp; Distribution):</w:t>
      </w:r>
    </w:p>
    <w:p>
      <w:pPr>
        <w:numPr>
          <w:ilvl w:val="1"/>
          <w:numId w:val="1018"/>
        </w:numPr>
        <w:pStyle w:val="Compact"/>
      </w:pPr>
      <w:r>
        <w:t xml:space="preserve">Total Material Mass: 1.15 kg/unit (from BOM)</w:t>
      </w:r>
    </w:p>
    <w:p>
      <w:pPr>
        <w:numPr>
          <w:ilvl w:val="1"/>
          <w:numId w:val="1018"/>
        </w:numPr>
        <w:pStyle w:val="Compact"/>
      </w:pPr>
      <w:r>
        <w:t xml:space="preserve">Assumed Inbound Distance: 1500 km (Truck)</w:t>
      </w:r>
    </w:p>
    <w:p>
      <w:pPr>
        <w:numPr>
          <w:ilvl w:val="1"/>
          <w:numId w:val="1018"/>
        </w:numPr>
        <w:pStyle w:val="Compact"/>
      </w:pPr>
      <w:r>
        <w:t xml:space="preserve">Calculation: (1.15 kg * 1500 km * 0.1 kg CO2e/tkm) / 1000 kg/t = 0.1725 kg CO2e/unit</w:t>
      </w:r>
    </w:p>
    <w:p>
      <w:pPr>
        <w:pStyle w:val="FirstParagraph"/>
      </w:pPr>
      <w:r>
        <w:rPr>
          <w:bCs/>
          <w:b/>
        </w:rPr>
        <w:t xml:space="preserve">Total Upstream Scope 3 Emissions:</w:t>
      </w:r>
      <w:r>
        <w:t xml:space="preserve"> </w:t>
      </w:r>
      <w:r>
        <w:t xml:space="preserve">8.25 kg CO2e + 0.1725 kg CO2e =</w:t>
      </w:r>
      <w:r>
        <w:t xml:space="preserve"> </w:t>
      </w:r>
      <w:r>
        <w:t xml:space="preserve">8.4225 kg CO2e/unit</w:t>
      </w:r>
    </w:p>
    <w:bookmarkEnd w:id="44"/>
    <w:bookmarkStart w:id="45" w:name="downstream-emissions"/>
    <w:p>
      <w:pPr>
        <w:pStyle w:val="Heading4"/>
      </w:pPr>
      <w:r>
        <w:t xml:space="preserve">6.3.2. Downstream Emissions</w:t>
      </w:r>
    </w:p>
    <w:p>
      <w:pPr>
        <w:numPr>
          <w:ilvl w:val="0"/>
          <w:numId w:val="1019"/>
        </w:numPr>
        <w:pStyle w:val="Compact"/>
      </w:pPr>
      <w:r>
        <w:rPr>
          <w:bCs/>
          <w:b/>
        </w:rPr>
        <w:t xml:space="preserve">Outbound Transport (Category 4 - Downstream Transportation &amp; Distribution):</w:t>
      </w:r>
    </w:p>
    <w:p>
      <w:pPr>
        <w:numPr>
          <w:ilvl w:val="1"/>
          <w:numId w:val="1020"/>
        </w:numPr>
        <w:pStyle w:val="Compact"/>
      </w:pPr>
      <w:r>
        <w:t xml:space="preserve">Product Mass (incl. packaging): 1.35 kg/unit</w:t>
      </w:r>
    </w:p>
    <w:p>
      <w:pPr>
        <w:numPr>
          <w:ilvl w:val="1"/>
          <w:numId w:val="1020"/>
        </w:numPr>
        <w:pStyle w:val="Compact"/>
      </w:pPr>
      <w:r>
        <w:t xml:space="preserve">Distance to DC: 500 km (Truck)</w:t>
      </w:r>
    </w:p>
    <w:p>
      <w:pPr>
        <w:numPr>
          <w:ilvl w:val="1"/>
          <w:numId w:val="1020"/>
        </w:numPr>
        <w:pStyle w:val="Compact"/>
      </w:pPr>
      <w:r>
        <w:t xml:space="preserve">Calculation (to DC): (1.35 kg * 500 km * 0.1 kg CO2e/tkm) / 1000 kg/t = 0.0675 kg CO2e/unit</w:t>
      </w:r>
    </w:p>
    <w:p>
      <w:pPr>
        <w:numPr>
          <w:ilvl w:val="1"/>
          <w:numId w:val="1020"/>
        </w:numPr>
        <w:pStyle w:val="Compact"/>
      </w:pPr>
      <w:r>
        <w:t xml:space="preserve">Last-Mile Distance: 50 km (Van)</w:t>
      </w:r>
    </w:p>
    <w:p>
      <w:pPr>
        <w:numPr>
          <w:ilvl w:val="1"/>
          <w:numId w:val="1020"/>
        </w:numPr>
        <w:pStyle w:val="Compact"/>
      </w:pPr>
      <w:r>
        <w:t xml:space="preserve">Calculation (Last-Mile): (1.35 kg * 50 km * 0.2 kg CO2e/tkm) / 1000 kg/t = 0.0135 kg CO2e/unit</w:t>
      </w:r>
    </w:p>
    <w:p>
      <w:pPr>
        <w:numPr>
          <w:ilvl w:val="1"/>
          <w:numId w:val="1020"/>
        </w:numPr>
        <w:pStyle w:val="Compact"/>
      </w:pPr>
      <w:r>
        <w:t xml:space="preserve">Total Outbound Transport: 0.0675 + 0.0135 = 0.081 kg CO2e/unit</w:t>
      </w:r>
    </w:p>
    <w:p>
      <w:pPr>
        <w:numPr>
          <w:ilvl w:val="0"/>
          <w:numId w:val="1019"/>
        </w:numPr>
        <w:pStyle w:val="Compact"/>
      </w:pPr>
      <w:r>
        <w:rPr>
          <w:bCs/>
          <w:b/>
        </w:rPr>
        <w:t xml:space="preserve">Use Phase (Category 11 - Use of Sold Products):</w:t>
      </w:r>
    </w:p>
    <w:p>
      <w:pPr>
        <w:numPr>
          <w:ilvl w:val="1"/>
          <w:numId w:val="1021"/>
        </w:numPr>
        <w:pStyle w:val="Compact"/>
      </w:pPr>
      <w:r>
        <w:t xml:space="preserve">Product Lifespan: 5 years</w:t>
      </w:r>
    </w:p>
    <w:p>
      <w:pPr>
        <w:numPr>
          <w:ilvl w:val="1"/>
          <w:numId w:val="1021"/>
        </w:numPr>
        <w:pStyle w:val="Compact"/>
      </w:pPr>
      <w:r>
        <w:t xml:space="preserve">Energy Consumption: 100 kWh/year</w:t>
      </w:r>
    </w:p>
    <w:p>
      <w:pPr>
        <w:numPr>
          <w:ilvl w:val="1"/>
          <w:numId w:val="1021"/>
        </w:numPr>
        <w:pStyle w:val="Compact"/>
      </w:pPr>
      <w:r>
        <w:t xml:space="preserve">Grid Electricity Emission Factor: 0.7 kg CO2e/kWh</w:t>
      </w:r>
    </w:p>
    <w:p>
      <w:pPr>
        <w:numPr>
          <w:ilvl w:val="1"/>
          <w:numId w:val="1021"/>
        </w:numPr>
        <w:pStyle w:val="Compact"/>
      </w:pPr>
      <w:r>
        <w:t xml:space="preserve">Calculation: 5 years * 100 kWh/year * 0.7 kg CO2e/kWh = 350 kg CO2e/unit</w:t>
      </w:r>
    </w:p>
    <w:p>
      <w:pPr>
        <w:numPr>
          <w:ilvl w:val="0"/>
          <w:numId w:val="1019"/>
        </w:numPr>
        <w:pStyle w:val="Compact"/>
      </w:pPr>
      <w:r>
        <w:rPr>
          <w:bCs/>
          <w:b/>
        </w:rPr>
        <w:t xml:space="preserve">End-of-Life (Category 12 - End-of-Life Treatment of Sold Products):</w:t>
      </w:r>
    </w:p>
    <w:p>
      <w:pPr>
        <w:numPr>
          <w:ilvl w:val="1"/>
          <w:numId w:val="1022"/>
        </w:numPr>
        <w:pStyle w:val="Compact"/>
      </w:pPr>
      <w:r>
        <w:t xml:space="preserve">Total Product Mass (incl. packaging): 1.35 kg/unit</w:t>
      </w:r>
    </w:p>
    <w:p>
      <w:pPr>
        <w:numPr>
          <w:ilvl w:val="1"/>
          <w:numId w:val="1022"/>
        </w:numPr>
        <w:pStyle w:val="Compact"/>
      </w:pPr>
      <w:r>
        <w:t xml:space="preserve">Recycled Portion: 1.35 kg * 70% = 0.945 kg</w:t>
      </w:r>
    </w:p>
    <w:p>
      <w:pPr>
        <w:numPr>
          <w:ilvl w:val="1"/>
          <w:numId w:val="1022"/>
        </w:numPr>
        <w:pStyle w:val="Compact"/>
      </w:pPr>
      <w:r>
        <w:t xml:space="preserve">Disposed Portion: 1.35 kg * 30% = 0.405 kg</w:t>
      </w:r>
    </w:p>
    <w:p>
      <w:pPr>
        <w:numPr>
          <w:ilvl w:val="1"/>
          <w:numId w:val="1022"/>
        </w:numPr>
        <w:pStyle w:val="Compact"/>
      </w:pPr>
      <w:r>
        <w:t xml:space="preserve">Avoided Emissions from Recycling: 0.945 kg * (-1.5 kg CO2e/kg) = -1.4175 kg CO2e/unit</w:t>
      </w:r>
    </w:p>
    <w:p>
      <w:pPr>
        <w:numPr>
          <w:ilvl w:val="1"/>
          <w:numId w:val="1022"/>
        </w:numPr>
        <w:pStyle w:val="Compact"/>
      </w:pPr>
      <w:r>
        <w:t xml:space="preserve">Emissions from Disposal: 0.405 kg * 0.5 kg CO2e/kg = 0.2025 kg CO2e/unit</w:t>
      </w:r>
    </w:p>
    <w:p>
      <w:pPr>
        <w:numPr>
          <w:ilvl w:val="1"/>
          <w:numId w:val="1022"/>
        </w:numPr>
        <w:pStyle w:val="Compact"/>
      </w:pPr>
      <w:r>
        <w:t xml:space="preserve">Net End-of-Life Emissions: -1.4175 + 0.2025 = -1.215 kg CO2e/unit</w:t>
      </w:r>
    </w:p>
    <w:p>
      <w:pPr>
        <w:pStyle w:val="FirstParagraph"/>
      </w:pPr>
      <w:r>
        <w:rPr>
          <w:bCs/>
          <w:b/>
        </w:rPr>
        <w:t xml:space="preserve">Total Downstream Scope 3 Emissions:</w:t>
      </w:r>
      <w:r>
        <w:t xml:space="preserve"> </w:t>
      </w:r>
      <w:r>
        <w:t xml:space="preserve">0.081 kg CO2e + 350 kg CO2e - 1.215 kg CO2e =</w:t>
      </w:r>
      <w:r>
        <w:t xml:space="preserve"> </w:t>
      </w:r>
      <w:r>
        <w:t xml:space="preserve">348.866 kg CO2e/unit</w:t>
      </w:r>
    </w:p>
    <w:p>
      <w:pPr>
        <w:pStyle w:val="BodyText"/>
      </w:pPr>
      <w:r>
        <w:rPr>
          <w:bCs/>
          <w:b/>
        </w:rPr>
        <w:t xml:space="preserve">Total Scope 3 Emissions:</w:t>
      </w:r>
      <w:r>
        <w:t xml:space="preserve"> </w:t>
      </w:r>
      <w:r>
        <w:t xml:space="preserve">8.4225 kg CO2e (Upstream) + 348.866 kg CO2e (Downstream) =</w:t>
      </w:r>
      <w:r>
        <w:t xml:space="preserve"> </w:t>
      </w:r>
      <w:r>
        <w:t xml:space="preserve">357.2885 kg CO2e/unit</w:t>
      </w:r>
    </w:p>
    <w:p>
      <w:pPr>
        <w:pStyle w:val="BodyText"/>
      </w:pPr>
      <w:r>
        <w:rPr>
          <w:bCs/>
          <w:b/>
        </w:rPr>
        <w:t xml:space="preserve">Scope 3 Coverage:</w:t>
      </w:r>
      <w:r>
        <w:t xml:space="preserve"> </w:t>
      </w:r>
      <w:r>
        <w:t xml:space="preserve">(357.2885 / 360.8885) * 100% = 99.00%. This meets the 2026 requirement of at least 95% coverage.</w:t>
      </w:r>
    </w:p>
    <w:bookmarkEnd w:id="45"/>
    <w:bookmarkEnd w:id="46"/>
    <w:bookmarkStart w:id="47" w:name="summary-of-product-carbon-footprint"/>
    <w:p>
      <w:pPr>
        <w:pStyle w:val="Heading3"/>
      </w:pPr>
      <w:r>
        <w:t xml:space="preserve">6.4. Summary of Product Carbon Footprint</w:t>
      </w:r>
    </w:p>
    <w:p>
      <w:pPr>
        <w:pStyle w:val="FirstParagraph"/>
      </w:pPr>
      <w:r>
        <w:t xml:space="preserve">The table below summarizes the GHG emissions per functional unit of zvwzeesdkt across all scopes and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rPr>
                <w:bCs/>
                <w:b/>
              </w:rPr>
              <w:t xml:space="preserve">Scope 1: Direct Emissions</w:t>
            </w:r>
          </w:p>
        </w:tc>
        <w:tc>
          <w:tcPr/>
          <w:p>
            <w:pPr>
              <w:pStyle w:val="Compact"/>
              <w:jc w:val="left"/>
            </w:pPr>
            <w:r>
              <w:t xml:space="preserve">0.10</w:t>
            </w:r>
          </w:p>
        </w:tc>
        <w:tc>
          <w:tcPr/>
          <w:p>
            <w:pPr>
              <w:pStyle w:val="Compact"/>
              <w:jc w:val="left"/>
            </w:pPr>
            <w:r>
              <w:t xml:space="preserve">0.03%</w:t>
            </w:r>
          </w:p>
        </w:tc>
      </w:tr>
      <w:tr>
        <w:tc>
          <w:tcPr/>
          <w:p>
            <w:pPr>
              <w:pStyle w:val="Compact"/>
              <w:jc w:val="left"/>
            </w:pPr>
            <w:r>
              <w:rPr>
                <w:bCs/>
                <w:b/>
              </w:rPr>
              <w:t xml:space="preserve">Scope 2: Purchased Electricity</w:t>
            </w:r>
          </w:p>
        </w:tc>
        <w:tc>
          <w:tcPr/>
          <w:p>
            <w:pPr>
              <w:pStyle w:val="Compact"/>
              <w:jc w:val="left"/>
            </w:pPr>
            <w:r>
              <w:t xml:space="preserve">3.50</w:t>
            </w:r>
          </w:p>
        </w:tc>
        <w:tc>
          <w:tcPr/>
          <w:p>
            <w:pPr>
              <w:pStyle w:val="Compact"/>
              <w:jc w:val="left"/>
            </w:pPr>
            <w:r>
              <w:t xml:space="preserve">0.97%</w:t>
            </w:r>
          </w:p>
        </w:tc>
      </w:tr>
      <w:tr>
        <w:tc>
          <w:tcPr/>
          <w:p>
            <w:pPr>
              <w:pStyle w:val="Compact"/>
              <w:jc w:val="left"/>
            </w:pPr>
            <w:r>
              <w:rPr>
                <w:bCs/>
                <w:b/>
              </w:rPr>
              <w:t xml:space="preserve">Scope 3: Other Indirect Emissions</w:t>
            </w:r>
          </w:p>
        </w:tc>
        <w:tc>
          <w:tcPr/>
          <w:p>
            <w:pPr>
              <w:pStyle w:val="Compact"/>
            </w:pPr>
          </w:p>
        </w:tc>
        <w:tc>
          <w:tcPr/>
          <w:p>
            <w:pPr>
              <w:pStyle w:val="Compact"/>
            </w:pPr>
          </w:p>
        </w:tc>
      </w:tr>
      <w:tr>
        <w:tc>
          <w:tcPr/>
          <w:p>
            <w:pPr>
              <w:pStyle w:val="Compact"/>
              <w:jc w:val="left"/>
            </w:pPr>
            <w:r>
              <w:t xml:space="preserve">    Materials Acquisition &amp; Processing</w:t>
            </w:r>
          </w:p>
        </w:tc>
        <w:tc>
          <w:tcPr/>
          <w:p>
            <w:pPr>
              <w:pStyle w:val="Compact"/>
              <w:jc w:val="left"/>
            </w:pPr>
            <w:r>
              <w:t xml:space="preserve">8.25</w:t>
            </w:r>
          </w:p>
        </w:tc>
        <w:tc>
          <w:tcPr/>
          <w:p>
            <w:pPr>
              <w:pStyle w:val="Compact"/>
              <w:jc w:val="left"/>
            </w:pPr>
            <w:r>
              <w:t xml:space="preserve">2.29%</w:t>
            </w:r>
          </w:p>
        </w:tc>
      </w:tr>
      <w:tr>
        <w:tc>
          <w:tcPr/>
          <w:p>
            <w:pPr>
              <w:pStyle w:val="Compact"/>
              <w:jc w:val="left"/>
            </w:pPr>
            <w:r>
              <w:t xml:space="preserve">    Inbound Transport</w:t>
            </w:r>
          </w:p>
        </w:tc>
        <w:tc>
          <w:tcPr/>
          <w:p>
            <w:pPr>
              <w:pStyle w:val="Compact"/>
              <w:jc w:val="left"/>
            </w:pPr>
            <w:r>
              <w:t xml:space="preserve">0.17</w:t>
            </w:r>
          </w:p>
        </w:tc>
        <w:tc>
          <w:tcPr/>
          <w:p>
            <w:pPr>
              <w:pStyle w:val="Compact"/>
              <w:jc w:val="left"/>
            </w:pPr>
            <w:r>
              <w:t xml:space="preserve">0.05%</w:t>
            </w:r>
          </w:p>
        </w:tc>
      </w:tr>
      <w:tr>
        <w:tc>
          <w:tcPr/>
          <w:p>
            <w:pPr>
              <w:pStyle w:val="Compact"/>
              <w:jc w:val="left"/>
            </w:pPr>
            <w:r>
              <w:t xml:space="preserve">    Outbound Transport</w:t>
            </w:r>
          </w:p>
        </w:tc>
        <w:tc>
          <w:tcPr/>
          <w:p>
            <w:pPr>
              <w:pStyle w:val="Compact"/>
              <w:jc w:val="left"/>
            </w:pPr>
            <w:r>
              <w:t xml:space="preserve">0.08</w:t>
            </w:r>
          </w:p>
        </w:tc>
        <w:tc>
          <w:tcPr/>
          <w:p>
            <w:pPr>
              <w:pStyle w:val="Compact"/>
              <w:jc w:val="left"/>
            </w:pPr>
            <w:r>
              <w:t xml:space="preserve">0.02%</w:t>
            </w:r>
          </w:p>
        </w:tc>
      </w:tr>
      <w:tr>
        <w:tc>
          <w:tcPr/>
          <w:p>
            <w:pPr>
              <w:pStyle w:val="Compact"/>
              <w:jc w:val="left"/>
            </w:pPr>
            <w:r>
              <w:t xml:space="preserve">    Use Phase</w:t>
            </w:r>
          </w:p>
        </w:tc>
        <w:tc>
          <w:tcPr/>
          <w:p>
            <w:pPr>
              <w:pStyle w:val="Compact"/>
              <w:jc w:val="left"/>
            </w:pPr>
            <w:r>
              <w:t xml:space="preserve">350.00</w:t>
            </w:r>
          </w:p>
        </w:tc>
        <w:tc>
          <w:tcPr/>
          <w:p>
            <w:pPr>
              <w:pStyle w:val="Compact"/>
              <w:jc w:val="left"/>
            </w:pPr>
            <w:r>
              <w:t xml:space="preserve">97.00%</w:t>
            </w:r>
          </w:p>
        </w:tc>
      </w:tr>
      <w:tr>
        <w:tc>
          <w:tcPr/>
          <w:p>
            <w:pPr>
              <w:pStyle w:val="Compact"/>
              <w:jc w:val="left"/>
            </w:pPr>
            <w:r>
              <w:t xml:space="preserve">    End-of-Life</w:t>
            </w:r>
          </w:p>
        </w:tc>
        <w:tc>
          <w:tcPr/>
          <w:p>
            <w:pPr>
              <w:pStyle w:val="Compact"/>
              <w:jc w:val="left"/>
            </w:pPr>
            <w:r>
              <w:t xml:space="preserve">-1.22</w:t>
            </w:r>
          </w:p>
        </w:tc>
        <w:tc>
          <w:tcPr/>
          <w:p>
            <w:pPr>
              <w:pStyle w:val="Compact"/>
              <w:jc w:val="left"/>
            </w:pPr>
            <w:r>
              <w:t xml:space="preserve">-0.34%</w:t>
            </w:r>
          </w:p>
        </w:tc>
      </w:tr>
      <w:tr>
        <w:tc>
          <w:tcPr/>
          <w:p>
            <w:pPr>
              <w:pStyle w:val="Compact"/>
              <w:jc w:val="left"/>
            </w:pPr>
            <w:r>
              <w:rPr>
                <w:bCs/>
                <w:b/>
              </w:rPr>
              <w:t xml:space="preserve">Total Product Carbon Footprint</w:t>
            </w:r>
          </w:p>
        </w:tc>
        <w:tc>
          <w:tcPr/>
          <w:p>
            <w:pPr>
              <w:pStyle w:val="Compact"/>
              <w:jc w:val="left"/>
            </w:pPr>
            <w:r>
              <w:rPr>
                <w:bCs/>
                <w:b/>
              </w:rPr>
              <w:t xml:space="preserve">360.89</w:t>
            </w:r>
          </w:p>
        </w:tc>
        <w:tc>
          <w:tcPr/>
          <w:p>
            <w:pPr>
              <w:pStyle w:val="Compact"/>
              <w:jc w:val="left"/>
            </w:pPr>
            <w:r>
              <w:rPr>
                <w:bCs/>
                <w:b/>
              </w:rPr>
              <w:t xml:space="preserve">100.00%</w:t>
            </w:r>
          </w:p>
        </w:tc>
      </w:tr>
    </w:tbl>
    <w:p>
      <w:pPr>
        <w:pStyle w:val="BodyText"/>
      </w:pPr>
      <w:r>
        <w:rPr>
          <w:iCs/>
          <w:i/>
        </w:rPr>
        <w:t xml:space="preserve">Note: Percentages may not sum to 100% due to rounding and negative EoL emissions.</w:t>
      </w:r>
    </w:p>
    <w:bookmarkEnd w:id="47"/>
    <w:bookmarkEnd w:id="48"/>
    <w:bookmarkEnd w:id="49"/>
    <w:p>
      <w:r>
        <w:pict>
          <v:rect style="width:0;height:1.5pt" o:hralign="center" o:hrstd="t" o:hr="t"/>
        </w:pict>
      </w:r>
    </w:p>
    <w:bookmarkStart w:id="54" w:name="step5-review-report"/>
    <w:bookmarkStart w:id="53" w:name="step-5-review-report"/>
    <w:p>
      <w:pPr>
        <w:pStyle w:val="Heading2"/>
      </w:pPr>
      <w:r>
        <w:t xml:space="preserve">7. Step 5: Review &amp; Report</w:t>
      </w:r>
    </w:p>
    <w:bookmarkStart w:id="50" w:name="hotspot-analysis"/>
    <w:p>
      <w:pPr>
        <w:pStyle w:val="Heading3"/>
      </w:pPr>
      <w:r>
        <w:t xml:space="preserve">7.1. Hotspot Analysis</w:t>
      </w:r>
    </w:p>
    <w:p>
      <w:pPr>
        <w:pStyle w:val="FirstParagraph"/>
      </w:pPr>
      <w:r>
        <w:t xml:space="preserve">The analysis reveals that the</w:t>
      </w:r>
      <w:r>
        <w:t xml:space="preserve"> </w:t>
      </w:r>
      <w:r>
        <w:t xml:space="preserve">Use Phase</w:t>
      </w:r>
      <w:r>
        <w:t xml:space="preserve"> </w:t>
      </w:r>
      <w:r>
        <w:t xml:space="preserve">is by far the largest contributor to the overall Product Carbon Footprint of zvwzeesdkt, accounting for approximately</w:t>
      </w:r>
      <w:r>
        <w:t xml:space="preserve"> </w:t>
      </w:r>
      <w:r>
        <w:t xml:space="preserve">97%</w:t>
      </w:r>
      <w:r>
        <w:t xml:space="preserve"> </w:t>
      </w:r>
      <w:r>
        <w:t xml:space="preserve">of total emissions. This is primarily driven by the assumed energy consumption during the product\'s 5-year lifespan. Materials acquisition and processing constitute the second most significant hotspot, contributing about 2.29%. All other stages contribute less than 1% individually.</w:t>
      </w:r>
    </w:p>
    <w:bookmarkEnd w:id="50"/>
    <w:bookmarkStart w:id="51" w:name="reliability-and-limitations"/>
    <w:p>
      <w:pPr>
        <w:pStyle w:val="Heading3"/>
      </w:pPr>
      <w:r>
        <w:t xml:space="preserve">7.2. Reliability and Limitations</w:t>
      </w:r>
    </w:p>
    <w:p>
      <w:pPr>
        <w:pStyle w:val="FirstParagraph"/>
      </w:pPr>
      <w:r>
        <w:t xml:space="preserve">The reliability of this PCF analysis is contingent upon the accuracy of the input parameters and assumed emission factors. While industry-standard emission factors have been used, primary data for all supply chain components was not available (due to placeholder parameters), leading to reliance on secondary data and reasonable assumptions.</w:t>
      </w:r>
    </w:p>
    <w:p>
      <w:pPr>
        <w:numPr>
          <w:ilvl w:val="0"/>
          <w:numId w:val="1023"/>
        </w:numPr>
        <w:pStyle w:val="Compact"/>
      </w:pPr>
      <w:r>
        <w:rPr>
          <w:bCs/>
          <w:b/>
        </w:rPr>
        <w:t xml:space="preserve">Assumptions:</w:t>
      </w:r>
      <w:r>
        <w:t xml:space="preserve"> </w:t>
      </w:r>
      <w:r>
        <w:t xml:space="preserve">Several parameters (e.g., transport distances, energy consumption in use, renewable energy mix percentage) were based on reasonable industry estimates due to the placeholder nature of the input data.</w:t>
      </w:r>
    </w:p>
    <w:p>
      <w:pPr>
        <w:numPr>
          <w:ilvl w:val="0"/>
          <w:numId w:val="1023"/>
        </w:numPr>
        <w:pStyle w:val="Compact"/>
      </w:pPr>
      <w:r>
        <w:rPr>
          <w:bCs/>
          <w:b/>
        </w:rPr>
        <w:t xml:space="preserve">Data Specificity:</w:t>
      </w:r>
      <w:r>
        <w:t xml:space="preserve"> </w:t>
      </w:r>
      <w:r>
        <w:t xml:space="preserve">Generic emission factors were used. More precise, supplier-specific data would enhance accuracy.</w:t>
      </w:r>
    </w:p>
    <w:p>
      <w:pPr>
        <w:numPr>
          <w:ilvl w:val="0"/>
          <w:numId w:val="1023"/>
        </w:numPr>
        <w:pStyle w:val="Compact"/>
      </w:pPr>
      <w:r>
        <w:rPr>
          <w:bCs/>
          <w:b/>
        </w:rPr>
        <w:t xml:space="preserve">System Boundary:</w:t>
      </w:r>
      <w:r>
        <w:t xml:space="preserve"> </w:t>
      </w:r>
      <w:r>
        <w:t xml:space="preserve">While cradle-to-grave, upstream processes for some complex components (e.g., electronic boards, batteries) are based on aggregated data.</w:t>
      </w:r>
    </w:p>
    <w:p>
      <w:pPr>
        <w:numPr>
          <w:ilvl w:val="0"/>
          <w:numId w:val="1023"/>
        </w:numPr>
        <w:pStyle w:val="Compact"/>
      </w:pPr>
      <w:r>
        <w:rPr>
          <w:bCs/>
          <w:b/>
        </w:rPr>
        <w:t xml:space="preserve">LSR Standard:</w:t>
      </w:r>
      <w:r>
        <w:t xml:space="preserve"> </w:t>
      </w:r>
      <w:r>
        <w:t xml:space="preserve">Direct application of the 2026 LSR Standard for land use and carbon removals for this product is limited given the lack of specific bio-based material data. However, the framework is acknowledged.</w:t>
      </w:r>
    </w:p>
    <w:bookmarkEnd w:id="51"/>
    <w:bookmarkStart w:id="52" w:name="recommendations-for-emission-reduction"/>
    <w:p>
      <w:pPr>
        <w:pStyle w:val="Heading3"/>
      </w:pPr>
      <w:r>
        <w:t xml:space="preserve">7.3. Recommendations for Emission Reduction</w:t>
      </w:r>
    </w:p>
    <w:p>
      <w:pPr>
        <w:pStyle w:val="FirstParagraph"/>
      </w:pPr>
      <w:r>
        <w:t xml:space="preserve">Based on this PCF analysis, the following recommendations are made for jmgizjxinf to reduce the environmental impact of zvwzeesdkt:</w:t>
      </w:r>
    </w:p>
    <w:p>
      <w:pPr>
        <w:numPr>
          <w:ilvl w:val="0"/>
          <w:numId w:val="1024"/>
        </w:numPr>
        <w:pStyle w:val="Compact"/>
      </w:pPr>
      <w:r>
        <w:rPr>
          <w:bCs/>
          <w:b/>
        </w:rPr>
        <w:t xml:space="preserve">Focus on Use Phase Efficiency:</w:t>
      </w:r>
      <w:r>
        <w:t xml:space="preserve"> </w:t>
      </w:r>
      <w:r>
        <w:t xml:space="preserve">Given its dominance, prioritize reducing energy consumption during the product\'s use phase through design improvements, energy-efficient components, and smart power management features. Educating users on efficient usage could also contribute.</w:t>
      </w:r>
    </w:p>
    <w:p>
      <w:pPr>
        <w:numPr>
          <w:ilvl w:val="0"/>
          <w:numId w:val="1024"/>
        </w:numPr>
        <w:pStyle w:val="Compact"/>
      </w:pPr>
      <w:r>
        <w:rPr>
          <w:bCs/>
          <w:b/>
        </w:rPr>
        <w:t xml:space="preserve">Material Optimization:</w:t>
      </w:r>
      <w:r>
        <w:t xml:space="preserve"> </w:t>
      </w:r>
      <w:r>
        <w:t xml:space="preserve">Explore lightweighting, use of lower-impact materials, and increasing recycled content in the ABS plastic casing and other major components.</w:t>
      </w:r>
    </w:p>
    <w:p>
      <w:pPr>
        <w:numPr>
          <w:ilvl w:val="0"/>
          <w:numId w:val="1024"/>
        </w:numPr>
        <w:pStyle w:val="Compact"/>
      </w:pPr>
      <w:r>
        <w:rPr>
          <w:bCs/>
          <w:b/>
        </w:rPr>
        <w:t xml:space="preserve">Renewable Energy Sourcing:</w:t>
      </w:r>
      <w:r>
        <w:t xml:space="preserve"> </w:t>
      </w:r>
      <w:r>
        <w:t xml:space="preserve">Increase the percentage of renewable energy used in manufacturing operations beyond the assumed 50% to further reduce Scope 2 emissions.</w:t>
      </w:r>
    </w:p>
    <w:p>
      <w:pPr>
        <w:numPr>
          <w:ilvl w:val="0"/>
          <w:numId w:val="1024"/>
        </w:numPr>
        <w:pStyle w:val="Compact"/>
      </w:pPr>
      <w:r>
        <w:rPr>
          <w:bCs/>
          <w:b/>
        </w:rPr>
        <w:t xml:space="preserve">Circular Economy Integration:</w:t>
      </w:r>
      <w:r>
        <w:t xml:space="preserve"> </w:t>
      </w:r>
      <w:r>
        <w:t xml:space="preserve">Strengthen the existing company-run take-back program (</w:t>
      </w:r>
      <w:r>
        <w:t xml:space="preserve">rxovdiuptv</w:t>
      </w:r>
      <w:r>
        <w:t xml:space="preserve">) to maximize actual recycling rates and ensure high-quality material recovery, further enhancing the positive impact of the End-of-Life phase. Investigate potential for product-as-a-service models or extended product lifetimes.</w:t>
      </w:r>
    </w:p>
    <w:p>
      <w:pPr>
        <w:numPr>
          <w:ilvl w:val="0"/>
          <w:numId w:val="1024"/>
        </w:numPr>
        <w:pStyle w:val="Compact"/>
      </w:pPr>
      <w:r>
        <w:rPr>
          <w:bCs/>
          <w:b/>
        </w:rPr>
        <w:t xml:space="preserve">Supply Chain Engagement:</w:t>
      </w:r>
      <w:r>
        <w:t xml:space="preserve"> </w:t>
      </w:r>
      <w:r>
        <w:t xml:space="preserve">Work with key suppliers to gather primary data and identify opportunities for emission reductions in material production and inbound logistics.</w:t>
      </w:r>
    </w:p>
    <w:bookmarkEnd w:id="52"/>
    <w:bookmarkEnd w:id="53"/>
    <w:bookmarkEnd w:id="54"/>
    <w:p>
      <w:r>
        <w:pict>
          <v:rect style="width:0;height:1.5pt" o:hralign="center" o:hrstd="t" o:hr="t"/>
        </w:pict>
      </w:r>
    </w:p>
    <w:p>
      <w:pPr>
        <w:pStyle w:val="FirstParagraph"/>
      </w:pPr>
      <w:r>
        <w:t xml:space="preserve">Confidential - Internal Use Only | Page</w:t>
      </w:r>
      <w:r>
        <w:t xml:space="preserve"> </w:t>
      </w:r>
      <w:bookmarkStart w:id="55" w:name="page-number"/>
      <w:bookmarkEnd w:id="5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zvwzeesdkt</dc:title>
  <dc:creator/>
  <dc:description>High-detail Product Carbon Footprint (PCF) analysis report for zvwzeesdkt by jmgizjxinf, following GHG Protocol standards and 2026 LSR update.</dc:description>
  <dc:language>en</dc:language>
  <cp:keywords/>
  <dcterms:created xsi:type="dcterms:W3CDTF">2026-07-15T06:02:08Z</dcterms:created>
  <dcterms:modified xsi:type="dcterms:W3CDTF">2026-07-15T06:02:08Z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