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zvmeuqhwyh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zvmeuqhwyh</w:t>
      </w:r>
    </w:p>
    <w:p>
      <w:pPr>
        <w:pStyle w:val="BodyText"/>
      </w:pPr>
      <w:r>
        <w:rPr>
          <w:bCs/>
          <w:b/>
        </w:rPr>
        <w:t xml:space="preserve">Company:</w:t>
      </w:r>
      <w:r>
        <w:t xml:space="preserve"> </w:t>
      </w:r>
      <w:r>
        <w:t xml:space="preserve">vtrfsgnrrr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zligrnshjl</w:t>
      </w:r>
    </w:p>
    <w:p>
      <w:pPr>
        <w:pStyle w:val="BodyText"/>
      </w:pPr>
      <w:r>
        <w:t xml:space="preserve">Disclaimer: This report is generated based on available data and industry standards, including illustrative data for certain parameters due to placeholder input. Actual values for Bill of Materials and other specific inputs would yield precise calculations.</w:t>
      </w:r>
    </w:p>
    <w:bookmarkEnd w:id="20"/>
    <w:bookmarkStart w:id="21" w:name="X0976f3124793d19bf5db304842aa6df415d302f"/>
    <w:p>
      <w:pPr>
        <w:pStyle w:val="Heading1"/>
      </w:pPr>
      <w:r>
        <w:t xml:space="preserve">Product Carbon Footprint (PCF) Analysis Report for zvmeuqhwyh</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zvmeuqhwyh, manufactured by vtrfsgnrrr. The analysis was conducted by zligrnshjl, a Senior Sustainability Consultant specializing in GHG Protocol. Adhering strictly to the GHG Protocol accounting standard, this assessment quantifies the greenhouse gas (GHG) emissions across the product\'s lifecycle from a factory-gate perspective, with an expanded view into the use and end-of-life phases. Special attention has been paid to incorporating the latest 2026 GHG Protocol updates, including the Land Sector and Removals (LSR) Standard and the stringent 95% Scope 3 coverage requirements. The aim is to identify key emission hotspots and provide a robust foundation for strategic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zvmeuqhwyh</w:t>
      </w:r>
      <w:r>
        <w:t xml:space="preserve">. This unit serves as the reference basis for quantifying all associated environmental impacts.</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encompassing all emissions from raw material acquisition, manufacturing, and transport to the factory gate. However, to provide a comprehensive view, the analysis extends beyond this initial boundary to include the product\'s use phase and end-of-life (EoL) scenarios, in line with modern PCF best practices.</w:t>
      </w:r>
    </w:p>
    <w:bookmarkEnd w:id="24"/>
    <w:bookmarkStart w:id="25" w:name="geographic-scope"/>
    <w:p>
      <w:pPr>
        <w:pStyle w:val="Heading3"/>
      </w:pPr>
      <w:r>
        <w:t xml:space="preserve">1.3 Geographic Scope</w:t>
      </w:r>
    </w:p>
    <w:p>
      <w:pPr>
        <w:pStyle w:val="FirstParagraph"/>
      </w:pPr>
      <w:r>
        <w:t xml:space="preserve">The geographic scope for the final production of zvmeuqhwyh is</w:t>
      </w:r>
      <w:r>
        <w:t xml:space="preserve"> </w:t>
      </w:r>
      <w:r>
        <w:rPr>
          <w:bCs/>
          <w:b/>
        </w:rPr>
        <w:t xml:space="preserve">China</w:t>
      </w:r>
      <w:r>
        <w:t xml:space="preserve">. The supply chain focus, particularly for raw materials and components, is primarily</w:t>
      </w:r>
      <w:r>
        <w:t xml:space="preserve"> </w:t>
      </w:r>
      <w:r>
        <w:rPr>
          <w:bCs/>
          <w:b/>
        </w:rPr>
        <w:t xml:space="preserve">Europe Focused</w:t>
      </w:r>
      <w:r>
        <w:t xml:space="preserve">.</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electricity, heat, or steam), and Scope 3 (all other indirect emissions in the value chain).</w:t>
      </w:r>
    </w:p>
    <w:p>
      <w:pPr>
        <w:numPr>
          <w:ilvl w:val="0"/>
          <w:numId w:val="1001"/>
        </w:numPr>
        <w:pStyle w:val="Compact"/>
      </w:pPr>
      <w:r>
        <w:rPr>
          <w:bCs/>
          <w:b/>
        </w:rPr>
        <w:t xml:space="preserve">Scope 1:</w:t>
      </w:r>
      <w:r>
        <w:t xml:space="preserve"> </w:t>
      </w:r>
      <w:r>
        <w:t xml:space="preserve">Direct GHG emissions from sources owned or controlled by vtrfsgnrrr. For a \'factory_gate\' boundary and a product PCF, this would typically involve emissions from on-site manufacturing processes if direct fuel combustion occurs.</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vtrfsgnrrr\'s manufacturing facilities.</w:t>
      </w:r>
    </w:p>
    <w:p>
      <w:pPr>
        <w:numPr>
          <w:ilvl w:val="0"/>
          <w:numId w:val="1001"/>
        </w:numPr>
        <w:pStyle w:val="Compact"/>
      </w:pPr>
      <w:r>
        <w:rPr>
          <w:bCs/>
          <w:b/>
        </w:rPr>
        <w:t xml:space="preserve">Scope 3:</w:t>
      </w:r>
      <w:r>
        <w:t xml:space="preserve"> </w:t>
      </w:r>
      <w:r>
        <w:t xml:space="preserve">All other indirect emissions occurring in the value chain, both upstream and downstream. This includes emissions from raw material extraction and processing, inbound transportation, employee commuting, waste generated in operations, use of sold products, and end-of-life treatment of sold products.</w:t>
      </w:r>
    </w:p>
    <w:bookmarkEnd w:id="26"/>
    <w:bookmarkStart w:id="27" w:name="allocation"/>
    <w:p>
      <w:pPr>
        <w:pStyle w:val="Heading3"/>
      </w:pPr>
      <w:r>
        <w:t xml:space="preserve">1.5 Allocation</w:t>
      </w:r>
    </w:p>
    <w:p>
      <w:pPr>
        <w:pStyle w:val="FirstParagraph"/>
      </w:pPr>
      <w:r>
        <w:t xml:space="preserve">Emissions are allocated to the functional unit (1.0 unit of zvmeuqhwyh) based on mass where appropriate, especially for material inputs and freight. For shared processes or infrastructure, economic allocation or specific attributional methods are employed to ensure fair and accurate distribution of environmental burdens.</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The lifecycle of zvmeuqhwyh is mapped across several stages to capture all relevant emissions. Data collection integrates both primary data (where specified by the user) and secondary data (industry-standard emission factors).</w:t>
      </w:r>
    </w:p>
    <w:bookmarkStart w:id="29" w:name="detailed-bill-of-materials-bom"/>
    <w:p>
      <w:pPr>
        <w:pStyle w:val="Heading3"/>
      </w:pPr>
      <w:r>
        <w:t xml:space="preserve">2.1 Detailed Bill of Materials (BOM)</w:t>
      </w:r>
    </w:p>
    <w:p>
      <w:pPr>
        <w:pStyle w:val="FirstParagraph"/>
      </w:pPr>
      <w:r>
        <w:t xml:space="preserve">The following Bill of Materials (BOM) provides a high-accuracy material impact calculation for zvmeuqhwyh. Due to the placeholder input "kjxznldw," the values below are illustrative, but they follow the specified format: ID, Description, Category, Process, Qty, Unit, Emission Factor (kgCO2e/Unit), and Total Carbon (kgCO2e).</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c>
          <w:tcPr/>
          <w:p>
            <w:pPr>
              <w:pStyle w:val="Compact"/>
              <w:jc w:val="left"/>
            </w:pPr>
            <w:r>
              <w:t xml:space="preserve">Scope 3 Category</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c>
          <w:tcPr/>
          <w:p>
            <w:pPr>
              <w:pStyle w:val="Compact"/>
              <w:jc w:val="left"/>
            </w:pPr>
            <w:r>
              <w:t xml:space="preserve">Purchased goods &amp; services</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c>
          <w:tcPr/>
          <w:p>
            <w:pPr>
              <w:pStyle w:val="Compact"/>
              <w:jc w:val="left"/>
            </w:pPr>
            <w:r>
              <w:t xml:space="preserve">Purchased goods &amp; services</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c>
          <w:tcPr/>
          <w:p>
            <w:pPr>
              <w:pStyle w:val="Compact"/>
              <w:jc w:val="left"/>
            </w:pPr>
            <w:r>
              <w:t xml:space="preserve">Purchased goods &amp; services</w:t>
            </w:r>
          </w:p>
        </w:tc>
      </w:tr>
      <w:tr>
        <w:tc>
          <w:tcPr/>
          <w:p>
            <w:pPr>
              <w:pStyle w:val="Compact"/>
              <w:jc w:val="left"/>
            </w:pPr>
            <w:r>
              <w:t xml:space="preserve">4</w:t>
            </w:r>
          </w:p>
        </w:tc>
        <w:tc>
          <w:tcPr/>
          <w:p>
            <w:pPr>
              <w:pStyle w:val="Compact"/>
              <w:jc w:val="left"/>
            </w:pPr>
            <w:r>
              <w:t xml:space="preserve">Internal Wiring (Copper)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c>
          <w:tcPr/>
          <w:p>
            <w:pPr>
              <w:pStyle w:val="Compact"/>
              <w:jc w:val="left"/>
            </w:pPr>
            <w:r>
              <w:t xml:space="preserve">Purchased goods &amp; services</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c>
          <w:tcPr/>
          <w:p>
            <w:pPr>
              <w:pStyle w:val="Compact"/>
              <w:jc w:val="left"/>
            </w:pPr>
            <w:r>
              <w:t xml:space="preserve">Purchased goods &amp; services</w:t>
            </w:r>
          </w:p>
        </w:tc>
      </w:tr>
      <w:tr>
        <w:tc>
          <w:tcPr/>
          <w:p>
            <w:pPr>
              <w:pStyle w:val="Compact"/>
              <w:jc w:val="left"/>
            </w:pPr>
            <w:r>
              <w:t xml:space="preserve">6</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c>
          <w:tcPr/>
          <w:p>
            <w:pPr>
              <w:pStyle w:val="Compact"/>
              <w:jc w:val="left"/>
            </w:pPr>
            <w:r>
              <w:t xml:space="preserve">Purchased goods &amp; services</w:t>
            </w:r>
          </w:p>
        </w:tc>
      </w:tr>
      <w:tr>
        <w:tc>
          <w:tcPr/>
          <w:p>
            <w:pPr>
              <w:pStyle w:val="Compact"/>
              <w:jc w:val="left"/>
            </w:pPr>
            <w:r>
              <w:t xml:space="preserve">7</w:t>
            </w:r>
          </w:p>
        </w:tc>
        <w:tc>
          <w:tcPr/>
          <w:p>
            <w:pPr>
              <w:pStyle w:val="Compact"/>
              <w:jc w:val="left"/>
            </w:pPr>
            <w:r>
              <w:t xml:space="preserve">Lithium-ion Battery</w:t>
            </w:r>
          </w:p>
        </w:tc>
        <w:tc>
          <w:tcPr/>
          <w:p>
            <w:pPr>
              <w:pStyle w:val="Compact"/>
              <w:jc w:val="left"/>
            </w:pPr>
            <w:r>
              <w:t xml:space="preserve">Chemical/Battery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c>
          <w:tcPr/>
          <w:p>
            <w:pPr>
              <w:pStyle w:val="Compact"/>
              <w:jc w:val="left"/>
            </w:pPr>
            <w:r>
              <w:t xml:space="preserve">Purchased goods &amp; services</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13.42</w:t>
            </w:r>
          </w:p>
        </w:tc>
        <w:tc>
          <w:tcPr/>
          <w:p>
            <w:pPr>
              <w:pStyle w:val="Compact"/>
            </w:pPr>
          </w:p>
        </w:tc>
      </w:tr>
    </w:tbl>
    <w:p>
      <w:pPr>
        <w:pStyle w:val="BodyText"/>
      </w:pPr>
      <w:r>
        <w:rPr>
          <w:iCs/>
          <w:i/>
        </w:rPr>
        <w:t xml:space="preserve">Note: The "Total Carbon" values are calculated as Qty * Emission Factor. These values are illustrative placeholders based on the provided format. Accurate calculations require specific, detailed BOM data. Emission factors are representative industry averages.</w:t>
      </w:r>
    </w:p>
    <w:bookmarkEnd w:id="29"/>
    <w:bookmarkStart w:id="30" w:name="energy-inputs-production-phase"/>
    <w:p>
      <w:pPr>
        <w:pStyle w:val="Heading3"/>
      </w:pPr>
      <w:r>
        <w:t xml:space="preserve">2.2 Energy Inputs (Production Phase)</w:t>
      </w:r>
    </w:p>
    <w:p>
      <w:pPr>
        <w:pStyle w:val="FirstParagraph"/>
      </w:pPr>
      <w:r>
        <w:t xml:space="preserve">Energy consumption during the production phase is a significant contributor to the PCF.</w:t>
      </w:r>
    </w:p>
    <w:p>
      <w:pPr>
        <w:numPr>
          <w:ilvl w:val="0"/>
          <w:numId w:val="1002"/>
        </w:numPr>
        <w:pStyle w:val="Compact"/>
      </w:pPr>
      <w:r>
        <w:rPr>
          <w:bCs/>
          <w:b/>
        </w:rPr>
        <w:t xml:space="preserve">Energy Intensity (kWh/unit):</w:t>
      </w:r>
      <w:r>
        <w:t xml:space="preserve"> </w:t>
      </w:r>
      <w:r>
        <w:t xml:space="preserve">uemqvllzwk (e.g., 5.0 kWh/unit)</w:t>
      </w:r>
    </w:p>
    <w:p>
      <w:pPr>
        <w:numPr>
          <w:ilvl w:val="0"/>
          <w:numId w:val="1002"/>
        </w:numPr>
        <w:pStyle w:val="Compact"/>
      </w:pPr>
      <w:r>
        <w:rPr>
          <w:bCs/>
          <w:b/>
        </w:rPr>
        <w:t xml:space="preserve">Renewable Energy Usage:</w:t>
      </w:r>
      <w:r>
        <w:t xml:space="preserve"> </w:t>
      </w:r>
      <w:r>
        <w:t xml:space="preserve">frfzozqhtt (e.g., 60% of electricity purchased is from renewable sources)</w:t>
      </w:r>
    </w:p>
    <w:p>
      <w:pPr>
        <w:pStyle w:val="FirstParagraph"/>
      </w:pPr>
      <w:r>
        <w:t xml:space="preserve">Illustrative Emission Factors for Electricity (based on geographic scope and renewable usage):</w:t>
      </w:r>
    </w:p>
    <w:p>
      <w:pPr>
        <w:numPr>
          <w:ilvl w:val="0"/>
          <w:numId w:val="1003"/>
        </w:numPr>
        <w:pStyle w:val="Compact"/>
      </w:pPr>
      <w:r>
        <w:t xml:space="preserve">Average China Grid Mix (Illustrative, 2021 data from Ecoinvent v3.10 suggests a range for regional conditions): ~0.60 kgCO2e/kWh.</w:t>
      </w:r>
    </w:p>
    <w:p>
      <w:pPr>
        <w:numPr>
          <w:ilvl w:val="0"/>
          <w:numId w:val="1003"/>
        </w:numPr>
        <w:pStyle w:val="Compact"/>
      </w:pPr>
      <w:r>
        <w:t xml:space="preserve">Renewable Electricity (Illustrative, life-cycle emissions): ~0.01 kgCO2e/kWh.</w:t>
      </w:r>
    </w:p>
    <w:bookmarkEnd w:id="30"/>
    <w:bookmarkStart w:id="31" w:name="transport-logistics"/>
    <w:p>
      <w:pPr>
        <w:pStyle w:val="Heading3"/>
      </w:pPr>
      <w:r>
        <w:t xml:space="preserve">2.3 Transport Logistics</w:t>
      </w:r>
    </w:p>
    <w:p>
      <w:pPr>
        <w:pStyle w:val="FirstParagraph"/>
      </w:pPr>
      <w:r>
        <w:t xml:space="preserve">Transportation of materials and finished products contributes to Scope 3 emissions.</w:t>
      </w:r>
    </w:p>
    <w:p>
      <w:pPr>
        <w:numPr>
          <w:ilvl w:val="0"/>
          <w:numId w:val="1004"/>
        </w:numPr>
        <w:pStyle w:val="Compact"/>
      </w:pPr>
      <w:r>
        <w:rPr>
          <w:bCs/>
          <w:b/>
        </w:rPr>
        <w:t xml:space="preserve">Primary Transport Mode (Upstream):</w:t>
      </w:r>
      <w:r>
        <w:t xml:space="preserve"> </w:t>
      </w:r>
      <w:r>
        <w:t xml:space="preserve">Select Mode (e.g., Sea Freight, Container Ship)</w:t>
      </w:r>
    </w:p>
    <w:p>
      <w:pPr>
        <w:numPr>
          <w:ilvl w:val="0"/>
          <w:numId w:val="1004"/>
        </w:numPr>
        <w:pStyle w:val="Compact"/>
      </w:pPr>
      <w:r>
        <w:rPr>
          <w:bCs/>
          <w:b/>
        </w:rPr>
        <w:t xml:space="preserve">Primary Transport Distance:</w:t>
      </w:r>
      <w:r>
        <w:t xml:space="preserve"> </w:t>
      </w:r>
      <w:r>
        <w:t xml:space="preserve">rrtkyslovo (e.g., 5,000 km, assuming European suppliers to China manufacturing)</w:t>
      </w:r>
    </w:p>
    <w:p>
      <w:pPr>
        <w:numPr>
          <w:ilvl w:val="0"/>
          <w:numId w:val="1004"/>
        </w:numPr>
        <w:pStyle w:val="Compact"/>
      </w:pPr>
      <w:r>
        <w:rPr>
          <w:bCs/>
          <w:b/>
        </w:rPr>
        <w:t xml:space="preserve">Last-Mile Delivery Channel (Downstream):</w:t>
      </w:r>
      <w:r>
        <w:t xml:space="preserve"> </w:t>
      </w:r>
      <w:r>
        <w:t xml:space="preserve">Delivery Type (e.g., Road Freight, Light Commercial Vehicle)</w:t>
      </w:r>
    </w:p>
    <w:p>
      <w:pPr>
        <w:numPr>
          <w:ilvl w:val="0"/>
          <w:numId w:val="1004"/>
        </w:numPr>
        <w:pStyle w:val="Compact"/>
      </w:pPr>
      <w:r>
        <w:rPr>
          <w:bCs/>
          <w:b/>
        </w:rPr>
        <w:t xml:space="preserve">Last-Mile Transport Distance:</w:t>
      </w:r>
      <w:r>
        <w:t xml:space="preserve"> </w:t>
      </w:r>
      <w:r>
        <w:t xml:space="preserve">(e.g., 100 km, for distribution to end-consumer in Europe)</w:t>
      </w:r>
    </w:p>
    <w:p>
      <w:pPr>
        <w:pStyle w:val="FirstParagraph"/>
      </w:pPr>
      <w:r>
        <w:t xml:space="preserve">Illustrative Emission Factors for Transport (kgCO2e/tonne-km):</w:t>
      </w:r>
    </w:p>
    <w:p>
      <w:pPr>
        <w:numPr>
          <w:ilvl w:val="0"/>
          <w:numId w:val="1005"/>
        </w:numPr>
        <w:pStyle w:val="Compact"/>
      </w:pPr>
      <w:r>
        <w:t xml:space="preserve">Sea Freight (Container Ship): ~0.01 kgCO2e/tonne-km</w:t>
      </w:r>
    </w:p>
    <w:p>
      <w:pPr>
        <w:numPr>
          <w:ilvl w:val="0"/>
          <w:numId w:val="1005"/>
        </w:numPr>
        <w:pStyle w:val="Compact"/>
      </w:pPr>
      <w:r>
        <w:t xml:space="preserve">Road Freight (Light Commercial Vehicle): ~0.09 kgCO2e/tonne-km</w:t>
      </w:r>
    </w:p>
    <w:bookmarkEnd w:id="31"/>
    <w:bookmarkStart w:id="32" w:name="use-phase-durability-and-consumption"/>
    <w:p>
      <w:pPr>
        <w:pStyle w:val="Heading3"/>
      </w:pPr>
      <w:r>
        <w:t xml:space="preserve">2.4 Use Phase Durability and Consumption</w:t>
      </w:r>
    </w:p>
    <w:p>
      <w:pPr>
        <w:pStyle w:val="FirstParagraph"/>
      </w:pPr>
      <w:r>
        <w:t xml:space="preserve">The emissions during the product\'s use phase are calculated based on its lifespan and energy consumption.</w:t>
      </w:r>
    </w:p>
    <w:p>
      <w:pPr>
        <w:numPr>
          <w:ilvl w:val="0"/>
          <w:numId w:val="1006"/>
        </w:numPr>
        <w:pStyle w:val="Compact"/>
      </w:pPr>
      <w:r>
        <w:rPr>
          <w:bCs/>
          <w:b/>
        </w:rPr>
        <w:t xml:space="preserve">Product Lifespan:</w:t>
      </w:r>
      <w:r>
        <w:t xml:space="preserve"> </w:t>
      </w:r>
      <w:r>
        <w:t xml:space="preserve">gguqpytsox (e.g., 5 years)</w:t>
      </w:r>
    </w:p>
    <w:p>
      <w:pPr>
        <w:numPr>
          <w:ilvl w:val="0"/>
          <w:numId w:val="1006"/>
        </w:numPr>
        <w:pStyle w:val="Compact"/>
      </w:pPr>
      <w:r>
        <w:rPr>
          <w:bCs/>
          <w:b/>
        </w:rPr>
        <w:t xml:space="preserve">Energy Consumption in Use:</w:t>
      </w:r>
      <w:r>
        <w:t xml:space="preserve"> </w:t>
      </w:r>
      <w:r>
        <w:t xml:space="preserve">mxugtmqjtg (e.g., 10 kWh/year)</w:t>
      </w:r>
    </w:p>
    <w:p>
      <w:pPr>
        <w:pStyle w:val="FirstParagraph"/>
      </w:pPr>
      <w:r>
        <w:t xml:space="preserve">Illustrative Emission Factor for electricity in use (assuming average European grid mix for consumer usage, considering "Europe Focused" supply chain for end user market): ~0.25 kgCO2e/kWh.</w:t>
      </w:r>
    </w:p>
    <w:bookmarkEnd w:id="32"/>
    <w:bookmarkStart w:id="33" w:name="end-of-life-eol-scenarios"/>
    <w:p>
      <w:pPr>
        <w:pStyle w:val="Heading3"/>
      </w:pPr>
      <w:r>
        <w:t xml:space="preserve">2.5 End-of-Life (EoL) Scenarios</w:t>
      </w:r>
    </w:p>
    <w:p>
      <w:pPr>
        <w:pStyle w:val="FirstParagraph"/>
      </w:pPr>
      <w:r>
        <w:t xml:space="preserve">End-of-life treatment impacts are considered, reflecting circular economy principles.</w:t>
      </w:r>
    </w:p>
    <w:p>
      <w:pPr>
        <w:numPr>
          <w:ilvl w:val="0"/>
          <w:numId w:val="1007"/>
        </w:numPr>
        <w:pStyle w:val="Compact"/>
      </w:pPr>
      <w:r>
        <w:rPr>
          <w:bCs/>
          <w:b/>
        </w:rPr>
        <w:t xml:space="preserve">Recyclability Percentage:</w:t>
      </w:r>
      <w:r>
        <w:t xml:space="preserve"> </w:t>
      </w:r>
      <w:r>
        <w:t xml:space="preserve">llekdenzez (e.g., 70% of product mass is recyclable)</w:t>
      </w:r>
    </w:p>
    <w:p>
      <w:pPr>
        <w:numPr>
          <w:ilvl w:val="0"/>
          <w:numId w:val="1007"/>
        </w:numPr>
        <w:pStyle w:val="Compact"/>
      </w:pPr>
      <w:r>
        <w:rPr>
          <w:bCs/>
          <w:b/>
        </w:rPr>
        <w:t xml:space="preserve">Circular/Take-back Programs:</w:t>
      </w:r>
      <w:r>
        <w:t xml:space="preserve"> </w:t>
      </w:r>
      <w:r>
        <w:t xml:space="preserve">urgeqohqgg (e.g., Yes, Manufacturer-led Take-back Program in place)</w:t>
      </w:r>
    </w:p>
    <w:p>
      <w:pPr>
        <w:pStyle w:val="FirstParagraph"/>
      </w:pPr>
      <w:r>
        <w:t xml:space="preserve">Illustrative Factors:</w:t>
      </w:r>
    </w:p>
    <w:p>
      <w:pPr>
        <w:numPr>
          <w:ilvl w:val="0"/>
          <w:numId w:val="1008"/>
        </w:numPr>
        <w:pStyle w:val="Compact"/>
      </w:pPr>
      <w:r>
        <w:t xml:space="preserve">Recycling Credit Factor: -1.0 kgCO2e/kg of recycled material (representing avoided virgin material production).</w:t>
      </w:r>
    </w:p>
    <w:p>
      <w:pPr>
        <w:numPr>
          <w:ilvl w:val="0"/>
          <w:numId w:val="1008"/>
        </w:numPr>
        <w:pStyle w:val="Compact"/>
      </w:pPr>
      <w:r>
        <w:t xml:space="preserve">Landfill Emission Factor: 0.1 kgCO2e/kg of landfilled material.</w:t>
      </w:r>
    </w:p>
    <w:p>
      <w:r>
        <w:pict>
          <v:rect style="width:0;height:1.5pt" o:hralign="center" o:hrstd="t" o:hr="t"/>
        </w:pict>
      </w:r>
    </w:p>
    <w:bookmarkEnd w:id="33"/>
    <w:bookmarkEnd w:id="34"/>
    <w:bookmarkStart w:id="44" w:name="calculation-of-emissions"/>
    <w:p>
      <w:pPr>
        <w:pStyle w:val="Heading2"/>
      </w:pPr>
      <w:r>
        <w:t xml:space="preserve">3. Calculation of Emissions</w:t>
      </w:r>
    </w:p>
    <w:p>
      <w:pPr>
        <w:pStyle w:val="FirstParagraph"/>
      </w:pPr>
      <w:r>
        <w:t xml:space="preserve">Emissions are calculated by multiplying activity data by relevant emission factors. All calculations adhere to the GHG Protocol\'s classification into Scope 1, 2, and 3. Industry-standard emission factors from recognized databases (such as Ecoinvent and DEFRA) are generally used, although illustrative values are presented here due to placeholder data.</w:t>
      </w:r>
    </w:p>
    <w:bookmarkStart w:id="35" w:name="illustrative-emission-factors-used"/>
    <w:p>
      <w:pPr>
        <w:pStyle w:val="Heading3"/>
      </w:pPr>
      <w:r>
        <w:t xml:space="preserve">3.1 Illustrative Emission Factors Used</w:t>
      </w:r>
    </w:p>
    <w:p>
      <w:pPr>
        <w:pStyle w:val="FirstParagraph"/>
      </w:pPr>
      <w:r>
        <w:t xml:space="preserve">For the purpose of demonstrating the calculation, the following illustrative emission factors (EFs) are adopted, reflecting typical values from sources like Ecoinvent and DEFRA for respective categories:</w:t>
      </w:r>
    </w:p>
    <w:p>
      <w:pPr>
        <w:numPr>
          <w:ilvl w:val="0"/>
          <w:numId w:val="1009"/>
        </w:numPr>
        <w:pStyle w:val="Compact"/>
      </w:pPr>
      <w:r>
        <w:t xml:space="preserve">Aluminum Casting: 10.0 kgCO2e/kg</w:t>
      </w:r>
    </w:p>
    <w:p>
      <w:pPr>
        <w:numPr>
          <w:ilvl w:val="0"/>
          <w:numId w:val="1009"/>
        </w:numPr>
        <w:pStyle w:val="Compact"/>
      </w:pPr>
      <w:r>
        <w:t xml:space="preserve">ABS Plastic Injection Molding: 3.0 kgCO2e/kg</w:t>
      </w:r>
    </w:p>
    <w:p>
      <w:pPr>
        <w:numPr>
          <w:ilvl w:val="0"/>
          <w:numId w:val="1009"/>
        </w:numPr>
        <w:pStyle w:val="Compact"/>
      </w:pPr>
      <w:r>
        <w:t xml:space="preserve">Electronic Components Assembly: 50.0 kgCO2e/kg</w:t>
      </w:r>
    </w:p>
    <w:p>
      <w:pPr>
        <w:numPr>
          <w:ilvl w:val="0"/>
          <w:numId w:val="1009"/>
        </w:numPr>
        <w:pStyle w:val="Compact"/>
      </w:pPr>
      <w:r>
        <w:t xml:space="preserve">Copper Extrusion: 4.0 kgCO2e/kg</w:t>
      </w:r>
    </w:p>
    <w:p>
      <w:pPr>
        <w:numPr>
          <w:ilvl w:val="0"/>
          <w:numId w:val="1009"/>
        </w:numPr>
        <w:pStyle w:val="Compact"/>
      </w:pPr>
      <w:r>
        <w:t xml:space="preserve">Paper Converting/Printing: 1.5 - 2.0 kgCO2e/kg</w:t>
      </w:r>
    </w:p>
    <w:p>
      <w:pPr>
        <w:numPr>
          <w:ilvl w:val="0"/>
          <w:numId w:val="1009"/>
        </w:numPr>
        <w:pStyle w:val="Compact"/>
      </w:pPr>
      <w:r>
        <w:t xml:space="preserve">Lithium-ion Battery Manufacturing: 25.0 kgCO2e/kg</w:t>
      </w:r>
    </w:p>
    <w:p>
      <w:pPr>
        <w:numPr>
          <w:ilvl w:val="0"/>
          <w:numId w:val="1009"/>
        </w:numPr>
        <w:pStyle w:val="Compact"/>
      </w:pPr>
      <w:r>
        <w:t xml:space="preserve">Electricity (China Grid Mix): 0.60 kgCO2e/kWh</w:t>
      </w:r>
    </w:p>
    <w:p>
      <w:pPr>
        <w:numPr>
          <w:ilvl w:val="0"/>
          <w:numId w:val="1009"/>
        </w:numPr>
        <w:pStyle w:val="Compact"/>
      </w:pPr>
      <w:r>
        <w:t xml:space="preserve">Electricity (Renewable): 0.01 kgCO2e/kWh</w:t>
      </w:r>
    </w:p>
    <w:p>
      <w:pPr>
        <w:numPr>
          <w:ilvl w:val="0"/>
          <w:numId w:val="1009"/>
        </w:numPr>
        <w:pStyle w:val="Compact"/>
      </w:pPr>
      <w:r>
        <w:t xml:space="preserve">Electricity (European Grid Mix): 0.25 kgCO2e/kWh</w:t>
      </w:r>
    </w:p>
    <w:p>
      <w:pPr>
        <w:numPr>
          <w:ilvl w:val="0"/>
          <w:numId w:val="1009"/>
        </w:numPr>
        <w:pStyle w:val="Compact"/>
      </w:pPr>
      <w:r>
        <w:t xml:space="preserve">Sea Freight (Container Ship): 0.01 kgCO2e/tonne-km</w:t>
      </w:r>
    </w:p>
    <w:p>
      <w:pPr>
        <w:numPr>
          <w:ilvl w:val="0"/>
          <w:numId w:val="1009"/>
        </w:numPr>
        <w:pStyle w:val="Compact"/>
      </w:pPr>
      <w:r>
        <w:t xml:space="preserve">Road Freight (Light Commercial Vehicle): 0.09 kgCO2e/tonne-km</w:t>
      </w:r>
    </w:p>
    <w:p>
      <w:pPr>
        <w:numPr>
          <w:ilvl w:val="0"/>
          <w:numId w:val="1009"/>
        </w:numPr>
        <w:pStyle w:val="Compact"/>
      </w:pPr>
      <w:r>
        <w:t xml:space="preserve">Waste to Landfill: 0.1 kgCO2e/kg</w:t>
      </w:r>
    </w:p>
    <w:p>
      <w:pPr>
        <w:numPr>
          <w:ilvl w:val="0"/>
          <w:numId w:val="1009"/>
        </w:numPr>
        <w:pStyle w:val="Compact"/>
      </w:pPr>
      <w:r>
        <w:t xml:space="preserve">Recycling Credit: -1.0 kgCO2e/kg</w:t>
      </w:r>
    </w:p>
    <w:bookmarkEnd w:id="35"/>
    <w:bookmarkStart w:id="36" w:name="scope-1-emissions-direct-emissions"/>
    <w:p>
      <w:pPr>
        <w:pStyle w:val="Heading3"/>
      </w:pPr>
      <w:r>
        <w:t xml:space="preserve">3.2 Scope 1 Emissions (Direct Emissions)</w:t>
      </w:r>
    </w:p>
    <w:p>
      <w:pPr>
        <w:pStyle w:val="FirstParagraph"/>
      </w:pPr>
      <w:r>
        <w:t xml:space="preserve">Given a \'factory_gate\' system boundary for product PCF and no specific direct fuel combustion activities provided for zvmeuqhwyh\'s production in the parameters, direct operational emissions from owned or controlled sources of vtrfsgnrrr (Scope 1) are assumed to be negligible or covered under upstream processes for this product-level analysis. In a broader corporate inventory, this would include emissions from company-owned vehicles or on-site combustion.</w:t>
      </w:r>
    </w:p>
    <w:p>
      <w:pPr>
        <w:pStyle w:val="BodyText"/>
      </w:pPr>
      <w:r>
        <w:rPr>
          <w:bCs/>
          <w:b/>
        </w:rPr>
        <w:t xml:space="preserve">Total Illustrative Scope 1 Emissions: 0.00 kgCO2e/unit</w:t>
      </w:r>
      <w:r>
        <w:t xml:space="preserve"> </w:t>
      </w:r>
      <w:r>
        <w:t xml:space="preserve">(Assumed negligible for product manufacturing at factory-gate, without specific direct combustion data.)</w:t>
      </w:r>
    </w:p>
    <w:bookmarkEnd w:id="36"/>
    <w:bookmarkStart w:id="37" w:name="scope-2-emissions-purchased-energy"/>
    <w:p>
      <w:pPr>
        <w:pStyle w:val="Heading3"/>
      </w:pPr>
      <w:r>
        <w:t xml:space="preserve">3.3 Scope 2 Emissions (Purchased Energy)</w:t>
      </w:r>
    </w:p>
    <w:p>
      <w:pPr>
        <w:pStyle w:val="FirstParagraph"/>
      </w:pPr>
      <w:r>
        <w:t xml:space="preserve">These are indirect emissions from the generation of purchased electricity for the manufacturing of zvmeuqhwyh in China.</w:t>
      </w:r>
    </w:p>
    <w:p>
      <w:pPr>
        <w:numPr>
          <w:ilvl w:val="0"/>
          <w:numId w:val="1010"/>
        </w:numPr>
        <w:pStyle w:val="Compact"/>
      </w:pPr>
      <w:r>
        <w:t xml:space="preserve">Total Energy Intensity: 5.0 kWh/unit</w:t>
      </w:r>
    </w:p>
    <w:p>
      <w:pPr>
        <w:numPr>
          <w:ilvl w:val="0"/>
          <w:numId w:val="1010"/>
        </w:numPr>
        <w:pStyle w:val="Compact"/>
      </w:pPr>
      <w:r>
        <w:t xml:space="preserve">Renewable Energy Usage: 60%</w:t>
      </w:r>
    </w:p>
    <w:p>
      <w:pPr>
        <w:numPr>
          <w:ilvl w:val="0"/>
          <w:numId w:val="1010"/>
        </w:numPr>
        <w:pStyle w:val="Compact"/>
      </w:pPr>
      <w:r>
        <w:t xml:space="preserve">Non-Renewable Energy Usage: 40%</w:t>
      </w:r>
    </w:p>
    <w:p>
      <w:pPr>
        <w:numPr>
          <w:ilvl w:val="0"/>
          <w:numId w:val="1010"/>
        </w:numPr>
        <w:pStyle w:val="Compact"/>
      </w:pPr>
      <w:r>
        <w:t xml:space="preserve">Non-Renewable Energy (kWh/unit): 5.0 kWh/unit * 0.40 = 2.0 kWh/unit</w:t>
      </w:r>
    </w:p>
    <w:p>
      <w:pPr>
        <w:numPr>
          <w:ilvl w:val="0"/>
          <w:numId w:val="1010"/>
        </w:numPr>
        <w:pStyle w:val="Compact"/>
      </w:pPr>
      <w:r>
        <w:t xml:space="preserve">Renewable Energy (kWh/unit): 5.0 kWh/unit * 0.60 = 3.0 kWh/unit</w:t>
      </w:r>
    </w:p>
    <w:p>
      <w:pPr>
        <w:pStyle w:val="FirstParagraph"/>
      </w:pPr>
      <w:r>
        <w:t xml:space="preserve">Calculation:</w:t>
      </w:r>
    </w:p>
    <w:p>
      <w:pPr>
        <w:numPr>
          <w:ilvl w:val="0"/>
          <w:numId w:val="1011"/>
        </w:numPr>
        <w:pStyle w:val="Compact"/>
      </w:pPr>
      <w:r>
        <w:t xml:space="preserve">Emissions from non-renewable electricity: 2.0 kWh/unit * 0.60 kgCO2e/kWh (China Grid) = 1.20 kgCO2e/unit</w:t>
      </w:r>
    </w:p>
    <w:p>
      <w:pPr>
        <w:numPr>
          <w:ilvl w:val="0"/>
          <w:numId w:val="1011"/>
        </w:numPr>
        <w:pStyle w:val="Compact"/>
      </w:pPr>
      <w:r>
        <w:t xml:space="preserve">Emissions from renewable electricity: 3.0 kWh/unit * 0.01 kgCO2e/kWh (Renewable EF) = 0.03 kgCO2e/unit</w:t>
      </w:r>
    </w:p>
    <w:p>
      <w:pPr>
        <w:pStyle w:val="FirstParagraph"/>
      </w:pPr>
      <w:r>
        <w:rPr>
          <w:bCs/>
          <w:b/>
        </w:rPr>
        <w:t xml:space="preserve">Total Illustrative Scope 2 Emissions: 1.23 kgCO2e/unit</w:t>
      </w:r>
    </w:p>
    <w:bookmarkEnd w:id="37"/>
    <w:bookmarkStart w:id="41" w:name="scope-3-emissions-value-chain-emissions"/>
    <w:p>
      <w:pPr>
        <w:pStyle w:val="Heading3"/>
      </w:pPr>
      <w:r>
        <w:t xml:space="preserve">3.4 Scope 3 Emissions (Value Chain Emissions)</w:t>
      </w:r>
    </w:p>
    <w:p>
      <w:pPr>
        <w:pStyle w:val="FirstParagraph"/>
      </w:pPr>
      <w:r>
        <w:t xml:space="preserve">Scope 3 emissions comprise all indirect emissions not covered in Scope 2, occurring across the product\'s value chain. This category is typically the largest contributor to a product\'s carbon footprint.</w:t>
      </w:r>
    </w:p>
    <w:bookmarkStart w:id="38" w:name="upstream-emissions-categories-1-8"/>
    <w:p>
      <w:pPr>
        <w:pStyle w:val="Heading4"/>
      </w:pPr>
      <w:r>
        <w:t xml:space="preserve">3.4.1 Upstream Emissions (Categories 1-8)</w:t>
      </w:r>
    </w:p>
    <w:p>
      <w:pPr>
        <w:pStyle w:val="FirstParagraph"/>
      </w:pPr>
      <w:r>
        <w:rPr>
          <w:bCs/>
          <w:b/>
        </w:rPr>
        <w:t xml:space="preserve">Category 1: Purchased Goods and Services (Materials)</w:t>
      </w:r>
    </w:p>
    <w:p>
      <w:pPr>
        <w:pStyle w:val="BodyText"/>
      </w:pPr>
      <w:r>
        <w:t xml:space="preserve">Based on the illustrative BOM:</w:t>
      </w:r>
    </w:p>
    <w:p>
      <w:pPr>
        <w:numPr>
          <w:ilvl w:val="0"/>
          <w:numId w:val="1012"/>
        </w:numPr>
        <w:pStyle w:val="Compact"/>
      </w:pPr>
      <w:r>
        <w:t xml:space="preserve">Aluminum Casing: 0.5 kg * 10.0 kgCO2e/kg = 5.00 kgCO2e</w:t>
      </w:r>
    </w:p>
    <w:p>
      <w:pPr>
        <w:numPr>
          <w:ilvl w:val="0"/>
          <w:numId w:val="1012"/>
        </w:numPr>
        <w:pStyle w:val="Compact"/>
      </w:pPr>
      <w:r>
        <w:t xml:space="preserve">ABS Plastic Housing: 0.3 kg * 3.0 kgCO2e/kg = 0.90 kgCO2e</w:t>
      </w:r>
    </w:p>
    <w:p>
      <w:pPr>
        <w:numPr>
          <w:ilvl w:val="0"/>
          <w:numId w:val="1012"/>
        </w:numPr>
        <w:pStyle w:val="Compact"/>
      </w:pPr>
      <w:r>
        <w:t xml:space="preserve">Electronic Components: 0.1 kg * 50.0 kgCO2e/kg = 5.00 kgCO2e</w:t>
      </w:r>
    </w:p>
    <w:p>
      <w:pPr>
        <w:numPr>
          <w:ilvl w:val="0"/>
          <w:numId w:val="1012"/>
        </w:numPr>
        <w:pStyle w:val="Compact"/>
      </w:pPr>
      <w:r>
        <w:t xml:space="preserve">Internal Wiring (Copper): 0.05 kg * 4.0 kgCO2e/kg = 0.20 kgCO2e</w:t>
      </w:r>
    </w:p>
    <w:p>
      <w:pPr>
        <w:numPr>
          <w:ilvl w:val="0"/>
          <w:numId w:val="1012"/>
        </w:numPr>
        <w:pStyle w:val="Compact"/>
      </w:pPr>
      <w:r>
        <w:t xml:space="preserve">Packaging Cardboard: 0.2 kg * 1.5 kgCO2e/kg = 0.30 kgCO2e</w:t>
      </w:r>
    </w:p>
    <w:p>
      <w:pPr>
        <w:numPr>
          <w:ilvl w:val="0"/>
          <w:numId w:val="1012"/>
        </w:numPr>
        <w:pStyle w:val="Compact"/>
      </w:pPr>
      <w:r>
        <w:t xml:space="preserve">User Manual (Paper): 0.01 kg * 2.0 kgCO2e/kg = 0.02 kgCO2e</w:t>
      </w:r>
    </w:p>
    <w:p>
      <w:pPr>
        <w:numPr>
          <w:ilvl w:val="0"/>
          <w:numId w:val="1012"/>
        </w:numPr>
        <w:pStyle w:val="Compact"/>
      </w:pPr>
      <w:r>
        <w:t xml:space="preserve">Lithium-ion Battery: 0.08 kg * 25.0 kgCO2e/kg = 2.00 kgCO2e</w:t>
      </w:r>
    </w:p>
    <w:p>
      <w:pPr>
        <w:pStyle w:val="FirstParagraph"/>
      </w:pPr>
      <w:r>
        <w:rPr>
          <w:bCs/>
          <w:b/>
        </w:rPr>
        <w:t xml:space="preserve">Total Illustrative Category 1 Emissions: 13.42 kgCO2e/unit</w:t>
      </w:r>
    </w:p>
    <w:p>
      <w:pPr>
        <w:pStyle w:val="BodyText"/>
      </w:pPr>
      <w:r>
        <w:rPr>
          <w:bCs/>
          <w:b/>
        </w:rPr>
        <w:t xml:space="preserve">Category 4: Upstream Transportation and Distribution</w:t>
      </w:r>
    </w:p>
    <w:p>
      <w:pPr>
        <w:pStyle w:val="BodyText"/>
      </w:pPr>
      <w:r>
        <w:t xml:space="preserve">Assuming the total material weight from BOM is ~1.14 kg (0.5+0.3+0.1+0.05+0.2+0.01+0.08).</w:t>
      </w:r>
    </w:p>
    <w:p>
      <w:pPr>
        <w:numPr>
          <w:ilvl w:val="0"/>
          <w:numId w:val="1013"/>
        </w:numPr>
        <w:pStyle w:val="Compact"/>
      </w:pPr>
      <w:r>
        <w:t xml:space="preserve">Primary Transport (Europe to China, e.g., 5,000 km Sea Freight for raw materials): 1.14 kg * (5000 km / 1000 kg/tonne) * 0.01 kgCO2e/tonne-km = 0.057 kgCO2e/unit</w:t>
      </w:r>
    </w:p>
    <w:p>
      <w:pPr>
        <w:pStyle w:val="FirstParagraph"/>
      </w:pPr>
      <w:r>
        <w:rPr>
          <w:bCs/>
          <w:b/>
        </w:rPr>
        <w:t xml:space="preserve">Total Illustrative Category 4 Emissions (Upstream): 0.057 kgCO2e/unit</w:t>
      </w:r>
    </w:p>
    <w:bookmarkEnd w:id="38"/>
    <w:bookmarkStart w:id="39" w:name="downstream-emissions-categories-9-15"/>
    <w:p>
      <w:pPr>
        <w:pStyle w:val="Heading4"/>
      </w:pPr>
      <w:r>
        <w:t xml:space="preserve">3.4.2 Downstream Emissions (Categories 9-15)</w:t>
      </w:r>
    </w:p>
    <w:p>
      <w:pPr>
        <w:pStyle w:val="FirstParagraph"/>
      </w:pPr>
      <w:r>
        <w:rPr>
          <w:bCs/>
          <w:b/>
        </w:rPr>
        <w:t xml:space="preserve">Category 9: Downstream Transportation and Distribution (Last-Mile Delivery)</w:t>
      </w:r>
    </w:p>
    <w:p>
      <w:pPr>
        <w:numPr>
          <w:ilvl w:val="0"/>
          <w:numId w:val="1014"/>
        </w:numPr>
        <w:pStyle w:val="Compact"/>
      </w:pPr>
      <w:r>
        <w:t xml:space="preserve">Last-Mile Delivery (China to Europe, e.g., 100 km Road Freight for finished product): 1.14 kg * (100 km / 1000 kg/tonne) * 0.09 kgCO2e/tonne-km = 0.010 kgCO2e/unit</w:t>
      </w:r>
    </w:p>
    <w:p>
      <w:pPr>
        <w:pStyle w:val="FirstParagraph"/>
      </w:pPr>
      <w:r>
        <w:rPr>
          <w:bCs/>
          <w:b/>
        </w:rPr>
        <w:t xml:space="preserve">Total Illustrative Category 9 Emissions: 0.010 kgCO2e/unit</w:t>
      </w:r>
    </w:p>
    <w:p>
      <w:pPr>
        <w:pStyle w:val="BodyText"/>
      </w:pPr>
      <w:r>
        <w:rPr>
          <w:bCs/>
          <w:b/>
        </w:rPr>
        <w:t xml:space="preserve">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consumed over lifespan: 5 years * 10 kWh/year = 50 kWh</w:t>
      </w:r>
    </w:p>
    <w:p>
      <w:pPr>
        <w:numPr>
          <w:ilvl w:val="0"/>
          <w:numId w:val="1015"/>
        </w:numPr>
        <w:pStyle w:val="Compact"/>
      </w:pPr>
      <w:r>
        <w:t xml:space="preserve">Emissions from use: 50 kWh * 0.25 kgCO2e/kWh (European Grid Mix) = 12.50 kgCO2e/unit</w:t>
      </w:r>
    </w:p>
    <w:p>
      <w:pPr>
        <w:pStyle w:val="FirstParagraph"/>
      </w:pPr>
      <w:r>
        <w:rPr>
          <w:bCs/>
          <w:b/>
        </w:rPr>
        <w:t xml:space="preserve">Total Illustrative Category 11 Emissions: 12.50 kgCO2e/unit</w:t>
      </w:r>
    </w:p>
    <w:p>
      <w:pPr>
        <w:pStyle w:val="BodyText"/>
      </w:pPr>
      <w:r>
        <w:rPr>
          <w:bCs/>
          <w:b/>
        </w:rPr>
        <w:t xml:space="preserve">Category 12: End-of-Life Treatment of Sold Products</w:t>
      </w:r>
    </w:p>
    <w:p>
      <w:pPr>
        <w:pStyle w:val="BodyText"/>
      </w:pPr>
      <w:r>
        <w:t xml:space="preserve">Assuming product weight is ~1.14 kg.</w:t>
      </w:r>
    </w:p>
    <w:p>
      <w:pPr>
        <w:numPr>
          <w:ilvl w:val="0"/>
          <w:numId w:val="1016"/>
        </w:numPr>
        <w:pStyle w:val="Compact"/>
      </w:pPr>
      <w:r>
        <w:t xml:space="preserve">Recyclability Percentage: 70%</w:t>
      </w:r>
    </w:p>
    <w:p>
      <w:pPr>
        <w:numPr>
          <w:ilvl w:val="0"/>
          <w:numId w:val="1016"/>
        </w:numPr>
        <w:pStyle w:val="Compact"/>
      </w:pPr>
      <w:r>
        <w:t xml:space="preserve">Recycled Material: 1.14 kg * 0.70 = 0.798 kg</w:t>
      </w:r>
    </w:p>
    <w:p>
      <w:pPr>
        <w:numPr>
          <w:ilvl w:val="0"/>
          <w:numId w:val="1016"/>
        </w:numPr>
        <w:pStyle w:val="Compact"/>
      </w:pPr>
      <w:r>
        <w:t xml:space="preserve">Landfilled Material: 1.14 kg * 0.30 = 0.342 kg</w:t>
      </w:r>
    </w:p>
    <w:p>
      <w:pPr>
        <w:pStyle w:val="FirstParagraph"/>
      </w:pPr>
      <w:r>
        <w:t xml:space="preserve">Calculation:</w:t>
      </w:r>
    </w:p>
    <w:p>
      <w:pPr>
        <w:numPr>
          <w:ilvl w:val="0"/>
          <w:numId w:val="1017"/>
        </w:numPr>
        <w:pStyle w:val="Compact"/>
      </w:pPr>
      <w:r>
        <w:t xml:space="preserve">Recycling Credit: 0.798 kg * -1.0 kgCO2e/kg = -0.798 kgCO2e</w:t>
      </w:r>
    </w:p>
    <w:p>
      <w:pPr>
        <w:numPr>
          <w:ilvl w:val="0"/>
          <w:numId w:val="1017"/>
        </w:numPr>
        <w:pStyle w:val="Compact"/>
      </w:pPr>
      <w:r>
        <w:t xml:space="preserve">Landfill Emissions: 0.342 kg * 0.1 kgCO2e/kg = 0.034 kgCO2e</w:t>
      </w:r>
    </w:p>
    <w:p>
      <w:pPr>
        <w:pStyle w:val="FirstParagraph"/>
      </w:pPr>
      <w:r>
        <w:rPr>
          <w:bCs/>
          <w:b/>
        </w:rPr>
        <w:t xml:space="preserve">Total Illustrative Category 12 Emissions: -0.764 kgCO2e/unit</w:t>
      </w:r>
      <w:r>
        <w:t xml:space="preserve"> </w:t>
      </w:r>
      <w:r>
        <w:t xml:space="preserve">(Net credit due to high recyclability)</w:t>
      </w:r>
    </w:p>
    <w:bookmarkEnd w:id="39"/>
    <w:bookmarkStart w:id="40" w:name="total-illustrative-scope-3-emissions"/>
    <w:p>
      <w:pPr>
        <w:pStyle w:val="Heading4"/>
      </w:pPr>
      <w:r>
        <w:t xml:space="preserve">3.4.3 Total Illustrative Scope 3 Emissions</w:t>
      </w:r>
    </w:p>
    <w:p>
      <w:pPr>
        <w:pStyle w:val="FirstParagraph"/>
      </w:pPr>
      <w:r>
        <w:t xml:space="preserve">Total Scope 3 = Category 1 + Category 4 + Category 9 + Category 11 + Category 12</w:t>
      </w:r>
    </w:p>
    <w:p>
      <w:pPr>
        <w:pStyle w:val="BodyText"/>
      </w:pPr>
      <w:r>
        <w:t xml:space="preserve">Total Scope 3 = 13.42 + 0.057 + 0.010 + 12.50 - 0.764 =</w:t>
      </w:r>
      <w:r>
        <w:t xml:space="preserve"> </w:t>
      </w:r>
      <w:r>
        <w:rPr>
          <w:bCs/>
          <w:b/>
        </w:rPr>
        <w:t xml:space="preserve">25.223 kgCO2e/unit</w:t>
      </w:r>
    </w:p>
    <w:bookmarkEnd w:id="40"/>
    <w:bookmarkEnd w:id="41"/>
    <w:bookmarkStart w:id="42" w:name="Xde40696b805bc4b01081560ce7efe76b38f233a"/>
    <w:p>
      <w:pPr>
        <w:pStyle w:val="Heading3"/>
      </w:pPr>
      <w:r>
        <w:t xml:space="preserve">3.5 2026 GHG Protocol Updates (LSR and Scope 3 Coverage)</w:t>
      </w:r>
    </w:p>
    <w:p>
      <w:pPr>
        <w:pStyle w:val="FirstParagraph"/>
      </w:pPr>
      <w:r>
        <w:t xml:space="preserve">This analysis incorporates the latest GHG Protocol updates for 2026:</w:t>
      </w:r>
    </w:p>
    <w:p>
      <w:pPr>
        <w:numPr>
          <w:ilvl w:val="0"/>
          <w:numId w:val="1018"/>
        </w:numPr>
        <w:pStyle w:val="Compact"/>
      </w:pPr>
      <w:r>
        <w:rPr>
          <w:bCs/>
          <w:b/>
        </w:rPr>
        <w:t xml:space="preserve">Land Sector and Removals (LSR) Standard:</w:t>
      </w:r>
      <w:r>
        <w:t xml:space="preserve"> </w:t>
      </w:r>
      <w:r>
        <w:t xml:space="preserve">The LSR Standard, effective January 1, 2027, provides guidance for accounting for emissions and carbon dioxide removals from land use and agricultural activities. While the direct land use for zvmeuqhwyh manufacturing might be outside a factory-gate boundary, the LSR Standard is relevant for upstream material impacts if any raw materials (e.g., bio-based plastics, wood pulp for packaging) originate from land-intensive sectors. This analysis accounts for emissions associated with raw material production which would implicitly include land use impacts within their emission factors. For future, more granular analyses, the LSR Standard will allow for more precise quantification and reporting of such impacts and any potential carbon removals.</w:t>
      </w:r>
    </w:p>
    <w:p>
      <w:pPr>
        <w:numPr>
          <w:ilvl w:val="0"/>
          <w:numId w:val="1018"/>
        </w:numPr>
        <w:pStyle w:val="Compact"/>
      </w:pPr>
      <w:r>
        <w:rPr>
          <w:bCs/>
          <w:b/>
        </w:rPr>
        <w:t xml:space="preserve">Scope 3 95% Coverage:</w:t>
      </w:r>
      <w:r>
        <w:t xml:space="preserve"> </w:t>
      </w:r>
      <w:r>
        <w:t xml:space="preserve">The 2026 requirements mandate at least 95% coverage for Scope 3 reporting. This analysis aims for comprehensive coverage by including all significant upstream (materials, upstream transport) and downstream (downstream transport, use phase, end-of-life) activities, even with illustrative data. Any future exclusions would be less than 5% of total Scope 3 emissions and would be fully quantified, disclosed, and justified.</w:t>
      </w:r>
    </w:p>
    <w:bookmarkEnd w:id="42"/>
    <w:bookmarkStart w:id="43" w:name="X9b435f9006cf04294f943c0bc3e88ac8be6bd1a"/>
    <w:p>
      <w:pPr>
        <w:pStyle w:val="Heading3"/>
      </w:pPr>
      <w:r>
        <w:t xml:space="preserve">3.6 Total Product Carbon Footprint (Illustrative)</w:t>
      </w:r>
    </w:p>
    <w:p>
      <w:pPr>
        <w:pStyle w:val="FirstParagraph"/>
      </w:pPr>
      <w:r>
        <w:t xml:space="preserve">Total PCF = Scope 1 + Scope 2 + Scope 3</w:t>
      </w:r>
    </w:p>
    <w:p>
      <w:pPr>
        <w:pStyle w:val="BodyText"/>
      </w:pPr>
      <w:r>
        <w:t xml:space="preserve">Total PCF = 0.00 kgCO2e/unit + 1.23 kgCO2e/unit + 25.223 kgCO2e/unit =</w:t>
      </w:r>
      <w:r>
        <w:t xml:space="preserve"> </w:t>
      </w:r>
      <w:r>
        <w:rPr>
          <w:bCs/>
          <w:b/>
        </w:rPr>
        <w:t xml:space="preserve">26.453 kgCO2e/unit</w:t>
      </w:r>
    </w:p>
    <w:p>
      <w:r>
        <w:pict>
          <v:rect style="width:0;height:1.5pt" o:hralign="center" o:hrstd="t" o:hr="t"/>
        </w:pict>
      </w:r>
    </w:p>
    <w:bookmarkEnd w:id="43"/>
    <w:bookmarkEnd w:id="44"/>
    <w:bookmarkStart w:id="48" w:name="review-and-report"/>
    <w:p>
      <w:pPr>
        <w:pStyle w:val="Heading2"/>
      </w:pPr>
      <w:r>
        <w:t xml:space="preserve">4. Review and Report</w:t>
      </w:r>
    </w:p>
    <w:bookmarkStart w:id="45" w:name="emission-hotspots-identification"/>
    <w:p>
      <w:pPr>
        <w:pStyle w:val="Heading3"/>
      </w:pPr>
      <w:r>
        <w:t xml:space="preserve">4.1 Emission Hotspots Identification</w:t>
      </w:r>
    </w:p>
    <w:p>
      <w:pPr>
        <w:pStyle w:val="FirstParagraph"/>
      </w:pPr>
      <w:r>
        <w:t xml:space="preserve">Based on the illustrative calculations, the primary emission hotspots for zvmeuqhwyh are:</w:t>
      </w:r>
    </w:p>
    <w:p>
      <w:pPr>
        <w:numPr>
          <w:ilvl w:val="0"/>
          <w:numId w:val="1019"/>
        </w:numPr>
        <w:pStyle w:val="Compact"/>
      </w:pPr>
      <w:r>
        <w:rPr>
          <w:bCs/>
          <w:b/>
        </w:rPr>
        <w:t xml:space="preserve">Purchased Goods and Services (Materials):</w:t>
      </w:r>
      <w:r>
        <w:t xml:space="preserve"> </w:t>
      </w:r>
      <w:r>
        <w:t xml:space="preserve">At 13.42 kgCO2e/unit, the materials constitute a significant portion of the footprint. Electronic components and aluminum casing are particularly impactful due to their high illustrative emission factors.</w:t>
      </w:r>
    </w:p>
    <w:p>
      <w:pPr>
        <w:numPr>
          <w:ilvl w:val="0"/>
          <w:numId w:val="1019"/>
        </w:numPr>
        <w:pStyle w:val="Compact"/>
      </w:pPr>
      <w:r>
        <w:rPr>
          <w:bCs/>
          <w:b/>
        </w:rPr>
        <w:t xml:space="preserve">Use of Sold Products:</w:t>
      </w:r>
      <w:r>
        <w:t xml:space="preserve"> </w:t>
      </w:r>
      <w:r>
        <w:t xml:space="preserve">The energy consumption during the 5-year lifespan contributes 12.50 kgCO2e/unit, representing another major hotspot. This highlights the importance of energy efficiency during product operation and the impact of the energy grid mix.</w:t>
      </w:r>
    </w:p>
    <w:p>
      <w:pPr>
        <w:numPr>
          <w:ilvl w:val="0"/>
          <w:numId w:val="1019"/>
        </w:numPr>
        <w:pStyle w:val="Compact"/>
      </w:pPr>
      <w:r>
        <w:rPr>
          <w:bCs/>
          <w:b/>
        </w:rPr>
        <w:t xml:space="preserve">Production Energy (Scope 2):</w:t>
      </w:r>
      <w:r>
        <w:t xml:space="preserve"> </w:t>
      </w:r>
      <w:r>
        <w:t xml:space="preserve">Although smaller than materials or use phase, the purchased electricity for manufacturing in China (1.23 kgCO2e/unit) is a notable area, despite 60% renewable energy usage. The remaining 40% from the grid mix still carries a considerable footprint.</w:t>
      </w:r>
    </w:p>
    <w:bookmarkEnd w:id="45"/>
    <w:bookmarkStart w:id="46" w:name="reliability-and-limitations"/>
    <w:p>
      <w:pPr>
        <w:pStyle w:val="Heading3"/>
      </w:pPr>
      <w:r>
        <w:t xml:space="preserve">4.2 Reliability and Limitations</w:t>
      </w:r>
    </w:p>
    <w:p>
      <w:pPr>
        <w:pStyle w:val="FirstParagraph"/>
      </w:pPr>
      <w:r>
        <w:t xml:space="preserve">The reliability of this report is high in terms of methodological adherence to the GHG Protocol. However, a significant limitation stems from the use of illustrative data for the Detailed Bill of Materials and other specific parameters (e.g., transport distance, energy intensity, renewable energy usage, product lifespan, energy consumption in use, recyclability percentage, and circular programs). In a real-world scenario, primary data for these parameters and specific, up-to-date emission factors from databases like Ecoinvent or DEFRA would be crucial for precise calculations.</w:t>
      </w:r>
    </w:p>
    <w:p>
      <w:pPr>
        <w:pStyle w:val="BodyText"/>
      </w:pPr>
      <w:r>
        <w:t xml:space="preserve">The illustrative emission factors are generic averages and may not perfectly reflect the specific processes, technologies, and regional energy mixes of vtrfsgnrrr\'s actual supply chain and manufacturing operations. Future analyses should prioritize collecting highly specific primary data from suppliers and manufacturing sites to enhance accuracy.</w:t>
      </w:r>
    </w:p>
    <w:bookmarkEnd w:id="46"/>
    <w:bookmarkStart w:id="47" w:name="recommendations-for-reduction"/>
    <w:p>
      <w:pPr>
        <w:pStyle w:val="Heading3"/>
      </w:pPr>
      <w:r>
        <w:t xml:space="preserve">4.3 Recommendations for Reduction</w:t>
      </w:r>
    </w:p>
    <w:p>
      <w:pPr>
        <w:numPr>
          <w:ilvl w:val="0"/>
          <w:numId w:val="1020"/>
        </w:numPr>
        <w:pStyle w:val="Compact"/>
      </w:pPr>
      <w:r>
        <w:rPr>
          <w:bCs/>
          <w:b/>
        </w:rPr>
        <w:t xml:space="preserve">Material Optimization:</w:t>
      </w:r>
      <w:r>
        <w:t xml:space="preserve"> </w:t>
      </w:r>
      <w:r>
        <w:t xml:space="preserve">Focus on sourcing lower-carbon alternative materials, optimizing material usage to reduce weight, and exploring recycled content for high-impact components like aluminum and plastics. Engage with suppliers to identify their emission reduction efforts.</w:t>
      </w:r>
    </w:p>
    <w:p>
      <w:pPr>
        <w:numPr>
          <w:ilvl w:val="0"/>
          <w:numId w:val="1020"/>
        </w:numPr>
        <w:pStyle w:val="Compact"/>
      </w:pPr>
      <w:r>
        <w:rPr>
          <w:bCs/>
          <w:b/>
        </w:rPr>
        <w:t xml:space="preserve">Energy Efficiency in Use:</w:t>
      </w:r>
      <w:r>
        <w:t xml:space="preserve"> </w:t>
      </w:r>
      <w:r>
        <w:t xml:space="preserve">Design zvmeuqhwyh for maximum energy efficiency during its operational lifespan. Provide clear guidance to consumers on energy-saving usage and explore options for integration with smart home energy management systems.</w:t>
      </w:r>
    </w:p>
    <w:p>
      <w:pPr>
        <w:numPr>
          <w:ilvl w:val="0"/>
          <w:numId w:val="1020"/>
        </w:numPr>
        <w:pStyle w:val="Compact"/>
      </w:pPr>
      <w:r>
        <w:rPr>
          <w:bCs/>
          <w:b/>
        </w:rPr>
        <w:t xml:space="preserve">Renewable Energy Procurement (Production):</w:t>
      </w:r>
      <w:r>
        <w:t xml:space="preserve"> </w:t>
      </w:r>
      <w:r>
        <w:t xml:space="preserve">While 60% renewable energy is commendable, further increasing the share of renewable electricity at manufacturing facilities in China or ensuring procurement of high-quality energy attribute certificates for the remaining grid electricity can significantly reduce Scope 2 emissions.</w:t>
      </w:r>
    </w:p>
    <w:p>
      <w:pPr>
        <w:numPr>
          <w:ilvl w:val="0"/>
          <w:numId w:val="1020"/>
        </w:numPr>
        <w:pStyle w:val="Compact"/>
      </w:pPr>
      <w:r>
        <w:rPr>
          <w:bCs/>
          <w:b/>
        </w:rPr>
        <w:t xml:space="preserve">Circular Economy Integration:</w:t>
      </w:r>
      <w:r>
        <w:t xml:space="preserve"> </w:t>
      </w:r>
      <w:r>
        <w:t xml:space="preserve">Strengthen the existing manufacturer-led take-back program and increase the recyclability rate beyond 70%. Investigate design for disassembly and material recovery to maximize the benefits of circularity and minimize end-of-life emissions.</w:t>
      </w:r>
    </w:p>
    <w:p>
      <w:pPr>
        <w:numPr>
          <w:ilvl w:val="0"/>
          <w:numId w:val="1020"/>
        </w:numPr>
        <w:pStyle w:val="Compact"/>
      </w:pPr>
      <w:r>
        <w:rPr>
          <w:bCs/>
          <w:b/>
        </w:rPr>
        <w:t xml:space="preserve">Supply Chain Engagement:</w:t>
      </w:r>
      <w:r>
        <w:t xml:space="preserve"> </w:t>
      </w:r>
      <w:r>
        <w:t xml:space="preserve">Collaborate closely with upstream suppliers to identify and implement GHG reduction initiatives, especially for high-impact electronic components and raw material processing.</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zvmeuqhwyh</dc:title>
  <dc:creator/>
  <dc:description>High-detail Product Carbon Footprint (PCF) analysis report for zvmeuqhwyh, conducted by zligrnshjl, Senior Sustainability Consultant for vtrfsgnrrr, adhering to GHG Protocol standards and 2026 updates.</dc:description>
  <dc:language>en</dc:language>
  <cp:keywords/>
  <dcterms:created xsi:type="dcterms:W3CDTF">2026-07-15T01:03:32Z</dcterms:created>
  <dcterms:modified xsi:type="dcterms:W3CDTF">2026-07-15T01:03:32Z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