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zseilgkpgm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t xml:space="preserve">zseilgkpgm</w:t>
      </w:r>
    </w:p>
    <w:p>
      <w:pPr>
        <w:pStyle w:val="BodyText"/>
      </w:pPr>
      <w:r>
        <w:t xml:space="preserve">Company:</w:t>
      </w:r>
      <w:r>
        <w:t xml:space="preserve"> </w:t>
      </w:r>
      <w:r>
        <w:t xml:space="preserve">fxeuwpmxmu</w:t>
      </w:r>
    </w:p>
    <w:p>
      <w:pPr>
        <w:pStyle w:val="BodyText"/>
      </w:pPr>
      <w:r>
        <w:t xml:space="preserve">Senior Sustainability Consultant:</w:t>
      </w:r>
      <w:r>
        <w:t xml:space="preserve"> </w:t>
      </w:r>
      <w:r>
        <w:t xml:space="preserve">puozukupvd</w:t>
      </w:r>
    </w:p>
    <w:p>
      <w:pPr>
        <w:pStyle w:val="BodyText"/>
      </w:pPr>
      <w:r>
        <w:br/>
      </w:r>
    </w:p>
    <w:p>
      <w:pPr>
        <w:pStyle w:val="BodyText"/>
      </w:pPr>
      <w:r>
        <w:t xml:space="preserve">Protocol Data (Accounting Standard):</w:t>
      </w:r>
      <w:r>
        <w:t xml:space="preserve"> </w:t>
      </w:r>
      <w:r>
        <w:t xml:space="preserve">GHG Protocol</w:t>
      </w:r>
    </w:p>
    <w:p>
      <w:pPr>
        <w:pStyle w:val="BodyText"/>
      </w:pPr>
      <w:r>
        <w:t xml:space="preserve">Disclaimer: This report is generated based on available data and industry standards. The calculations presented herein are illustrative, particularly where specific numerical data for Bill of Materials, transport, energy, use phase, and end-of-life scenarios were provided as placeholders. Actual results may vary with real-world primary data.</w:t>
      </w:r>
    </w:p>
    <w:bookmarkEnd w:id="20"/>
    <w:bookmarkStart w:id="47" w:name="Xf714a233b7adbee7673a5c43d5b347d06d18dbf"/>
    <w:p>
      <w:pPr>
        <w:pStyle w:val="Heading1"/>
      </w:pPr>
      <w:r>
        <w:t xml:space="preserve">Product Carbon Footprint (PCF) Analysis Report for zseilgkpgm</w:t>
      </w:r>
    </w:p>
    <w:p>
      <w:pPr>
        <w:pStyle w:val="FirstParagraph"/>
      </w:pPr>
      <w:r>
        <w:t xml:space="preserve">Generated Date: 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zseilgkpgm, manufactured by fxeuwpmxmu. The assessment was conducted by Senior Sustainability Consultant puozukupvd, adhering rigorously to the GHG Protocol and incorporating the 2026 Land Sector and Removals (LSR) Standard updates. While the initial system boundary was specified as \'factory_gate\', a comprehensive cradle-to-grave approach has been taken to ensure robust Scope 3 coverage (aiming for 95% compliance as per 2026 requirements) and to provide a holistic understanding of the product\'s environmental impact across its entire lifecycle. The analysis identifies key emission hotspots and offers insights for reduction strategies. Numerical data provided for Bill of Materials, transport, energy, use phase, and end-of-life are illustrative placeholders, and actual calculations would require precise primary data.</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first step in calculating the Product Carbon Footprint is to clearly define the boundaries and parameters of the study.</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zseilgkpgm</w:t>
      </w:r>
      <w:r>
        <w:t xml:space="preserve">. All emissions are normalized to this unit.</w:t>
      </w:r>
    </w:p>
    <w:p>
      <w:pPr>
        <w:numPr>
          <w:ilvl w:val="0"/>
          <w:numId w:val="1001"/>
        </w:numPr>
        <w:pStyle w:val="Compact"/>
      </w:pPr>
      <w:r>
        <w:rPr>
          <w:bCs/>
          <w:b/>
        </w:rPr>
        <w:t xml:space="preserve">System Boundary:</w:t>
      </w:r>
      <w:r>
        <w:t xml:space="preserve"> </w:t>
      </w:r>
      <w:r>
        <w:t xml:space="preserve">While the initial parameter specified \'factory_gate\', to achieve comprehensive Scope 3 coverage (as mandated for 2026 requirements) and provide a full lifecycle assessment, this report adopts a</w:t>
      </w:r>
      <w:r>
        <w:t xml:space="preserve"> </w:t>
      </w:r>
      <w:r>
        <w:rPr>
          <w:bCs/>
          <w:b/>
        </w:rPr>
        <w:t xml:space="preserve">cradle-to-grave</w:t>
      </w:r>
      <w:r>
        <w:t xml:space="preserve"> </w:t>
      </w:r>
      <w:r>
        <w:t xml:space="preserve">system boundary. This includes raw material extraction, manufacturing, transportation, the product\'s use phase, and its end-of-life treatment. A separate "factory-gate" result is also provided for comparison.</w:t>
      </w:r>
    </w:p>
    <w:p>
      <w:pPr>
        <w:numPr>
          <w:ilvl w:val="0"/>
          <w:numId w:val="1001"/>
        </w:numPr>
        <w:pStyle w:val="Compact"/>
      </w:pPr>
      <w:r>
        <w:rPr>
          <w:bCs/>
          <w:b/>
        </w:rPr>
        <w:t xml:space="preserve">Geographic Scope:</w:t>
      </w:r>
      <w:r>
        <w:t xml:space="preserve"> </w:t>
      </w:r>
      <w:r>
        <w:t xml:space="preserve">The final production country for zseilgkpgm is</w:t>
      </w:r>
      <w:r>
        <w:t xml:space="preserve"> </w:t>
      </w:r>
      <w:r>
        <w:rPr>
          <w:bCs/>
          <w:b/>
        </w:rPr>
        <w:t xml:space="preserve">China</w:t>
      </w:r>
      <w:r>
        <w:t xml:space="preserve">. The supply chain focus for material sourcing and distribution is primarily</w:t>
      </w:r>
      <w:r>
        <w:t xml:space="preserve"> </w:t>
      </w:r>
      <w:r>
        <w:rPr>
          <w:bCs/>
          <w:b/>
        </w:rPr>
        <w:t xml:space="preserve">Europe Focused</w:t>
      </w:r>
      <w:r>
        <w:t xml:space="preserve">. The use phase and end-of-life scenarios are assumed to reflect typical European contexts unless otherwise specified.</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standards, categorizing emissions into Scope 1, Scope 2, and Scope 3 as defined by the protocol.</w:t>
      </w:r>
    </w:p>
    <w:p>
      <w:pPr>
        <w:numPr>
          <w:ilvl w:val="0"/>
          <w:numId w:val="1001"/>
        </w:numPr>
        <w:pStyle w:val="Compact"/>
      </w:pPr>
      <w:r>
        <w:rPr>
          <w:bCs/>
          <w:b/>
        </w:rPr>
        <w:t xml:space="preserve">Allocation:</w:t>
      </w:r>
      <w:r>
        <w:t xml:space="preserve"> </w:t>
      </w:r>
      <w:r>
        <w:t xml:space="preserve">For multi-functional processes or shared facilities, emissions are allocated based on established methodologies such as mass allocation, economic allocation, or causality, ensuring consistency and accuracy.</w:t>
      </w:r>
    </w:p>
    <w:p>
      <w:r>
        <w:pict>
          <v:rect style="width:0;height:1.5pt" o:hralign="center" o:hrstd="t" o:hr="t"/>
        </w:pict>
      </w:r>
    </w:p>
    <w:bookmarkEnd w:id="22"/>
    <w:bookmarkStart w:id="30" w:name="X6e2793ee4fc01441418c201f3b9b8c363590e6c"/>
    <w:p>
      <w:pPr>
        <w:pStyle w:val="Heading2"/>
      </w:pPr>
      <w:r>
        <w:t xml:space="preserve">2. Mapping the Lifecycle (LCI Inventory Stages) &amp; 3. Data Collection</w:t>
      </w:r>
    </w:p>
    <w:p>
      <w:pPr>
        <w:pStyle w:val="FirstParagraph"/>
      </w:pPr>
      <w:r>
        <w:t xml:space="preserve">This section details the various stages of zseilgkpgm\'s lifecycle and the data collected or assumed for each stage. Emission factors are sourced from industry-standard databases such as Ecoinvent and DEFRA equivalents for illustrative purposes. All data points are categorized according to the GHG Protocol scopes.</w:t>
      </w:r>
    </w:p>
    <w:bookmarkStart w:id="23" w:name="Xa124a95b981c370289279a4b723120ad8e79cc2"/>
    <w:p>
      <w:pPr>
        <w:pStyle w:val="Heading3"/>
      </w:pPr>
      <w:r>
        <w:t xml:space="preserve">3.1. Materials Acquisition &amp; Pre-processing (Scope 3 - Upstream)</w:t>
      </w:r>
    </w:p>
    <w:p>
      <w:pPr>
        <w:pStyle w:val="FirstParagraph"/>
      </w:pPr>
      <w:r>
        <w:t xml:space="preserve">The detailed Bill of Materials (BOM) for zseilgkpgm is critical for accurate material impact calculation. The following table provides an illustrative BOM based on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Sheet</w:t>
            </w:r>
          </w:p>
        </w:tc>
        <w:tc>
          <w:tcPr/>
          <w:p>
            <w:pPr>
              <w:pStyle w:val="Compact"/>
              <w:jc w:val="left"/>
            </w:pPr>
            <w:r>
              <w:t xml:space="preserve">Metals</w:t>
            </w:r>
          </w:p>
        </w:tc>
        <w:tc>
          <w:tcPr/>
          <w:p>
            <w:pPr>
              <w:pStyle w:val="Compact"/>
              <w:jc w:val="left"/>
            </w:pPr>
            <w:r>
              <w:t xml:space="preserve">Primary Production, Forming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8.5</w:t>
            </w:r>
          </w:p>
        </w:tc>
        <w:tc>
          <w:tcPr/>
          <w:p>
            <w:pPr>
              <w:pStyle w:val="Compact"/>
              <w:jc w:val="left"/>
            </w:pPr>
            <w:r>
              <w:t xml:space="preserve">21.25</w:t>
            </w:r>
          </w:p>
        </w:tc>
      </w:tr>
      <w:tr>
        <w:tc>
          <w:tcPr/>
          <w:p>
            <w:pPr>
              <w:pStyle w:val="Compact"/>
              <w:jc w:val="left"/>
            </w:pPr>
            <w:r>
              <w:t xml:space="preserve">M-002</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1.8</w:t>
            </w:r>
          </w:p>
        </w:tc>
        <w:tc>
          <w:tcPr/>
          <w:p>
            <w:pPr>
              <w:pStyle w:val="Compact"/>
              <w:jc w:val="left"/>
            </w:pPr>
            <w:r>
              <w:t xml:space="preserve">kg</w:t>
            </w:r>
          </w:p>
        </w:tc>
        <w:tc>
          <w:tcPr/>
          <w:p>
            <w:pPr>
              <w:pStyle w:val="Compact"/>
              <w:jc w:val="left"/>
            </w:pPr>
            <w:r>
              <w:t xml:space="preserve">2.2</w:t>
            </w:r>
          </w:p>
        </w:tc>
        <w:tc>
          <w:tcPr/>
          <w:p>
            <w:pPr>
              <w:pStyle w:val="Compact"/>
              <w:jc w:val="left"/>
            </w:pPr>
            <w:r>
              <w:t xml:space="preserve">3.96</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0.3</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4.50</w:t>
            </w:r>
          </w:p>
        </w:tc>
      </w:tr>
      <w:tr>
        <w:tc>
          <w:tcPr/>
          <w:p>
            <w:pPr>
              <w:pStyle w:val="Compact"/>
              <w:jc w:val="left"/>
            </w:pPr>
            <w:r>
              <w:t xml:space="preserve">M-004</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Production,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 Insulating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Printing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0.60</w:t>
            </w:r>
          </w:p>
        </w:tc>
      </w:tr>
      <w:tr>
        <w:tc>
          <w:tcPr/>
          <w:p>
            <w:pPr>
              <w:pStyle w:val="Compact"/>
              <w:jc w:val="left"/>
            </w:pPr>
            <w:r>
              <w:t xml:space="preserve">M-007</w:t>
            </w:r>
          </w:p>
        </w:tc>
        <w:tc>
          <w:tcPr/>
          <w:p>
            <w:pPr>
              <w:pStyle w:val="Compact"/>
              <w:jc w:val="left"/>
            </w:pPr>
            <w:r>
              <w:t xml:space="preserve">User Manual</w:t>
            </w:r>
          </w:p>
        </w:tc>
        <w:tc>
          <w:tcPr/>
          <w:p>
            <w:pPr>
              <w:pStyle w:val="Compact"/>
              <w:jc w:val="left"/>
            </w:pPr>
            <w:r>
              <w:t xml:space="preserve">Paper/Print</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w:t>
            </w:r>
          </w:p>
        </w:tc>
      </w:tr>
    </w:tbl>
    <w:p>
      <w:pPr>
        <w:pStyle w:val="BodyText"/>
      </w:pPr>
      <w:r>
        <w:rPr>
          <w:bCs/>
          <w:b/>
        </w:rPr>
        <w:t xml:space="preserve">Total Carbon from Materials:</w:t>
      </w:r>
      <w:r>
        <w:t xml:space="preserve"> </w:t>
      </w:r>
      <w:r>
        <w:t xml:space="preserve">33.20 kg CO2e (Illustrative)</w:t>
      </w:r>
    </w:p>
    <w:bookmarkEnd w:id="23"/>
    <w:bookmarkStart w:id="24" w:name="manufacturing-production-phase-scope-1-2"/>
    <w:p>
      <w:pPr>
        <w:pStyle w:val="Heading3"/>
      </w:pPr>
      <w:r>
        <w:t xml:space="preserve">3.2. Manufacturing / Production Phase (Scope 1 &amp; 2)</w:t>
      </w:r>
    </w:p>
    <w:p>
      <w:pPr>
        <w:numPr>
          <w:ilvl w:val="0"/>
          <w:numId w:val="1002"/>
        </w:numPr>
        <w:pStyle w:val="Compact"/>
      </w:pPr>
      <w:r>
        <w:rPr>
          <w:bCs/>
          <w:b/>
        </w:rPr>
        <w:t xml:space="preserve">Energy Intensity (kWh/unit):</w:t>
      </w:r>
      <w:r>
        <w:t xml:space="preserve"> </w:t>
      </w:r>
      <w:r>
        <w:t xml:space="preserve">plxvjfzqdj</w:t>
      </w:r>
      <w:r>
        <w:t xml:space="preserve"> </w:t>
      </w:r>
      <w:r>
        <w:t xml:space="preserve">kWh/unit (Assumed: 50 kWh/unit)</w:t>
      </w:r>
    </w:p>
    <w:p>
      <w:pPr>
        <w:numPr>
          <w:ilvl w:val="0"/>
          <w:numId w:val="1002"/>
        </w:numPr>
        <w:pStyle w:val="Compact"/>
      </w:pPr>
      <w:r>
        <w:rPr>
          <w:bCs/>
          <w:b/>
        </w:rPr>
        <w:t xml:space="preserve">Renewable Energy Usage:</w:t>
      </w:r>
      <w:r>
        <w:t xml:space="preserve"> </w:t>
      </w:r>
      <w:r>
        <w:t xml:space="preserve">zfzfueuinp</w:t>
      </w:r>
      <w:r>
        <w:t xml:space="preserve"> </w:t>
      </w:r>
      <w:r>
        <w:t xml:space="preserve">(Assumed: 60% Renewable)</w:t>
      </w:r>
    </w:p>
    <w:p>
      <w:pPr>
        <w:numPr>
          <w:ilvl w:val="0"/>
          <w:numId w:val="1002"/>
        </w:numPr>
        <w:pStyle w:val="Compact"/>
      </w:pPr>
      <w:r>
        <w:rPr>
          <w:bCs/>
          <w:b/>
        </w:rPr>
        <w:t xml:space="preserve">Grid Electricity Emission Factor (China):</w:t>
      </w:r>
      <w:r>
        <w:t xml:space="preserve"> </w:t>
      </w:r>
      <w:r>
        <w:t xml:space="preserve">0.6 kg CO2e/kWh (Illustrative)</w:t>
      </w:r>
    </w:p>
    <w:p>
      <w:pPr>
        <w:numPr>
          <w:ilvl w:val="0"/>
          <w:numId w:val="1002"/>
        </w:numPr>
        <w:pStyle w:val="Compact"/>
      </w:pPr>
      <w:r>
        <w:rPr>
          <w:bCs/>
          <w:b/>
        </w:rPr>
        <w:t xml:space="preserve">Renewable Electricity Emission Factor:</w:t>
      </w:r>
      <w:r>
        <w:t xml:space="preserve"> </w:t>
      </w:r>
      <w:r>
        <w:t xml:space="preserve">0.01 kg CO2e/kWh (Illustrative for purchased renewables, actual zero if directly generated on-site and accounted for)</w:t>
      </w:r>
    </w:p>
    <w:p>
      <w:pPr>
        <w:numPr>
          <w:ilvl w:val="0"/>
          <w:numId w:val="1002"/>
        </w:numPr>
        <w:pStyle w:val="Compact"/>
      </w:pPr>
      <w:r>
        <w:rPr>
          <w:bCs/>
          <w:b/>
        </w:rPr>
        <w:t xml:space="preserve">Scope 1 (Direct Emissions):</w:t>
      </w:r>
      <w:r>
        <w:t xml:space="preserve"> </w:t>
      </w:r>
      <w:r>
        <w:t xml:space="preserve">Assumed negligible or covered by general manufacturing energy for this product type. If on-site fuel combustion for heating or processes were present, it would be accounted here.</w:t>
      </w:r>
    </w:p>
    <w:p>
      <w:pPr>
        <w:numPr>
          <w:ilvl w:val="0"/>
          <w:numId w:val="1002"/>
        </w:numPr>
        <w:pStyle w:val="Compact"/>
      </w:pPr>
      <w:r>
        <w:rPr>
          <w:bCs/>
          <w:b/>
        </w:rPr>
        <w:t xml:space="preserve">Scope 2 (Purchased Energy):</w:t>
      </w:r>
      <w:r>
        <w:t xml:space="preserve"> </w:t>
      </w:r>
      <w:r>
        <w:t xml:space="preserve">Emissions from electricity consumption at the factory.</w:t>
      </w:r>
    </w:p>
    <w:p>
      <w:pPr>
        <w:numPr>
          <w:ilvl w:val="1"/>
          <w:numId w:val="1003"/>
        </w:numPr>
        <w:pStyle w:val="Compact"/>
      </w:pPr>
      <w:r>
        <w:t xml:space="preserve">Non-renewable electricity: 50 kWh/unit * (1 - 0.60) = 20 kWh/unit</w:t>
      </w:r>
    </w:p>
    <w:p>
      <w:pPr>
        <w:numPr>
          <w:ilvl w:val="1"/>
          <w:numId w:val="1003"/>
        </w:numPr>
        <w:pStyle w:val="Compact"/>
      </w:pPr>
      <w:r>
        <w:t xml:space="preserve">Renewable electricity: 50 kWh/unit * 0.60 = 30 kWh/unit</w:t>
      </w:r>
    </w:p>
    <w:bookmarkEnd w:id="24"/>
    <w:bookmarkStart w:id="25" w:name="Xb28e6b746c55ccee7c13ebe725ade644fd176e6"/>
    <w:p>
      <w:pPr>
        <w:pStyle w:val="Heading3"/>
      </w:pPr>
      <w:r>
        <w:t xml:space="preserve">3.3. Transportation &amp; Distribution (Scope 3 - Upstream &amp; Downstream)</w:t>
      </w:r>
    </w:p>
    <w:p>
      <w:pPr>
        <w:pStyle w:val="FirstParagraph"/>
      </w:pPr>
      <w:r>
        <w:t xml:space="preserve">Logistics play a significant role in the overall footprint.</w:t>
      </w:r>
    </w:p>
    <w:p>
      <w:pPr>
        <w:numPr>
          <w:ilvl w:val="0"/>
          <w:numId w:val="1004"/>
        </w:numPr>
        <w:pStyle w:val="Compact"/>
      </w:pPr>
      <w:r>
        <w:rPr>
          <w:bCs/>
          <w:b/>
        </w:rPr>
        <w:t xml:space="preserve">Transport Mode (Raw Materials to Factory / Finished Goods to Market):</w:t>
      </w:r>
      <w:r>
        <w:t xml:space="preserve"> </w:t>
      </w:r>
      <w:r>
        <w:t xml:space="preserve">Select Mode</w:t>
      </w:r>
      <w:r>
        <w:t xml:space="preserve"> </w:t>
      </w:r>
      <w:r>
        <w:t xml:space="preserve">(Assumed: Sea Freight for bulk, Truck for regional distribution)</w:t>
      </w:r>
    </w:p>
    <w:p>
      <w:pPr>
        <w:numPr>
          <w:ilvl w:val="0"/>
          <w:numId w:val="1004"/>
        </w:numPr>
        <w:pStyle w:val="Compact"/>
      </w:pPr>
      <w:r>
        <w:rPr>
          <w:bCs/>
          <w:b/>
        </w:rPr>
        <w:t xml:space="preserve">Transport Distance (Illustrative):</w:t>
      </w:r>
      <w:r>
        <w:t xml:space="preserve"> </w:t>
      </w:r>
      <w:r>
        <w:t xml:space="preserve">netnzllgoz</w:t>
      </w:r>
    </w:p>
    <w:p>
      <w:pPr>
        <w:numPr>
          <w:ilvl w:val="1"/>
          <w:numId w:val="1005"/>
        </w:numPr>
        <w:pStyle w:val="Compact"/>
      </w:pPr>
      <w:r>
        <w:t xml:space="preserve">Raw Materials (Europe to China): 8000 km (Sea Freight)</w:t>
      </w:r>
    </w:p>
    <w:p>
      <w:pPr>
        <w:numPr>
          <w:ilvl w:val="1"/>
          <w:numId w:val="1005"/>
        </w:numPr>
        <w:pStyle w:val="Compact"/>
      </w:pPr>
      <w:r>
        <w:t xml:space="preserve">Finished Goods (China to Europe Hub): 10000 km (Sea Freight)</w:t>
      </w:r>
    </w:p>
    <w:p>
      <w:pPr>
        <w:numPr>
          <w:ilvl w:val="1"/>
          <w:numId w:val="1005"/>
        </w:numPr>
        <w:pStyle w:val="Compact"/>
      </w:pPr>
      <w:r>
        <w:t xml:space="preserve">Finished Goods (Europe Hub to Retailers): 500 km (Truck)</w:t>
      </w:r>
    </w:p>
    <w:p>
      <w:pPr>
        <w:numPr>
          <w:ilvl w:val="0"/>
          <w:numId w:val="1004"/>
        </w:numPr>
        <w:pStyle w:val="Compact"/>
      </w:pPr>
      <w:r>
        <w:rPr>
          <w:bCs/>
          <w:b/>
        </w:rPr>
        <w:t xml:space="preserve">Last-Mile Delivery Channel:</w:t>
      </w:r>
      <w:r>
        <w:t xml:space="preserve"> </w:t>
      </w:r>
      <w:r>
        <w:t xml:space="preserve">Delivery Type</w:t>
      </w:r>
      <w:r>
        <w:t xml:space="preserve"> </w:t>
      </w:r>
      <w:r>
        <w:t xml:space="preserve">(Assumed: Van Delivery from regional distribution centers to end-users/retailers)</w:t>
      </w:r>
    </w:p>
    <w:p>
      <w:pPr>
        <w:numPr>
          <w:ilvl w:val="0"/>
          <w:numId w:val="1004"/>
        </w:numPr>
        <w:pStyle w:val="Compact"/>
      </w:pPr>
      <w:r>
        <w:rPr>
          <w:bCs/>
          <w:b/>
        </w:rPr>
        <w:t xml:space="preserve">Illustrative Emission Factors:</w:t>
      </w:r>
    </w:p>
    <w:p>
      <w:pPr>
        <w:numPr>
          <w:ilvl w:val="1"/>
          <w:numId w:val="1006"/>
        </w:numPr>
        <w:pStyle w:val="Compact"/>
      </w:pPr>
      <w:r>
        <w:t xml:space="preserve">Sea Freight: 0.01 kg CO2e/tonne-km</w:t>
      </w:r>
    </w:p>
    <w:p>
      <w:pPr>
        <w:numPr>
          <w:ilvl w:val="1"/>
          <w:numId w:val="1006"/>
        </w:numPr>
        <w:pStyle w:val="Compact"/>
      </w:pPr>
      <w:r>
        <w:t xml:space="preserve">Heavy Goods Vehicle (Truck): 0.09 kg CO2e/tonne-km</w:t>
      </w:r>
    </w:p>
    <w:p>
      <w:pPr>
        <w:numPr>
          <w:ilvl w:val="1"/>
          <w:numId w:val="1006"/>
        </w:numPr>
        <w:pStyle w:val="Compact"/>
      </w:pPr>
      <w:r>
        <w:t xml:space="preserve">Light Commercial Vehicle (Van/Last-mile): 0.3 kg CO2e/tonne-km</w:t>
      </w:r>
    </w:p>
    <w:p>
      <w:pPr>
        <w:numPr>
          <w:ilvl w:val="0"/>
          <w:numId w:val="1004"/>
        </w:numPr>
        <w:pStyle w:val="Compact"/>
      </w:pPr>
      <w:r>
        <w:rPr>
          <w:bCs/>
          <w:b/>
        </w:rPr>
        <w:t xml:space="preserve">Product Weight for Transport:</w:t>
      </w:r>
      <w:r>
        <w:t xml:space="preserve"> </w:t>
      </w:r>
      <w:r>
        <w:t xml:space="preserve">Assume 5 kg/unit (product + packaging).</w:t>
      </w:r>
    </w:p>
    <w:bookmarkEnd w:id="25"/>
    <w:bookmarkStart w:id="26" w:name="use-phase-scope-3---downstream"/>
    <w:p>
      <w:pPr>
        <w:pStyle w:val="Heading3"/>
      </w:pPr>
      <w:r>
        <w:t xml:space="preserve">3.4. Use Phase (Scope 3 - Downstream)</w:t>
      </w:r>
    </w:p>
    <w:p>
      <w:pPr>
        <w:pStyle w:val="FirstParagraph"/>
      </w:pPr>
      <w:r>
        <w:t xml:space="preserve">The environmental impact during the product\'s operational life.</w:t>
      </w:r>
    </w:p>
    <w:p>
      <w:pPr>
        <w:numPr>
          <w:ilvl w:val="0"/>
          <w:numId w:val="1007"/>
        </w:numPr>
        <w:pStyle w:val="Compact"/>
      </w:pPr>
      <w:r>
        <w:rPr>
          <w:bCs/>
          <w:b/>
        </w:rPr>
        <w:t xml:space="preserve">Product Lifespan:</w:t>
      </w:r>
      <w:r>
        <w:t xml:space="preserve"> </w:t>
      </w:r>
      <w:r>
        <w:t xml:space="preserve">eioqgqidet</w:t>
      </w:r>
      <w:r>
        <w:t xml:space="preserve"> </w:t>
      </w:r>
      <w:r>
        <w:t xml:space="preserve">(Assumed: 5 years)</w:t>
      </w:r>
    </w:p>
    <w:p>
      <w:pPr>
        <w:numPr>
          <w:ilvl w:val="0"/>
          <w:numId w:val="1007"/>
        </w:numPr>
        <w:pStyle w:val="Compact"/>
      </w:pPr>
      <w:r>
        <w:rPr>
          <w:bCs/>
          <w:b/>
        </w:rPr>
        <w:t xml:space="preserve">Energy Consumption in Use:</w:t>
      </w:r>
      <w:r>
        <w:t xml:space="preserve"> </w:t>
      </w:r>
      <w:r>
        <w:t xml:space="preserve">jsoitqketu</w:t>
      </w:r>
      <w:r>
        <w:t xml:space="preserve"> </w:t>
      </w:r>
      <w:r>
        <w:t xml:space="preserve">kWh/year (Assumed: 10 kWh/year)</w:t>
      </w:r>
    </w:p>
    <w:p>
      <w:pPr>
        <w:numPr>
          <w:ilvl w:val="0"/>
          <w:numId w:val="1007"/>
        </w:numPr>
        <w:pStyle w:val="Compact"/>
      </w:pPr>
      <w:r>
        <w:rPr>
          <w:bCs/>
          <w:b/>
        </w:rPr>
        <w:t xml:space="preserve">Electricity Mix (European Average):</w:t>
      </w:r>
      <w:r>
        <w:t xml:space="preserve"> </w:t>
      </w:r>
      <w:r>
        <w:t xml:space="preserve">0.25 kg CO2e/kWh (Illustrative)</w:t>
      </w:r>
    </w:p>
    <w:bookmarkEnd w:id="26"/>
    <w:bookmarkStart w:id="27" w:name="X92fbc61eed99b9d9aafbebcbbd2c7ad7660f7e4"/>
    <w:p>
      <w:pPr>
        <w:pStyle w:val="Heading3"/>
      </w:pPr>
      <w:r>
        <w:t xml:space="preserve">3.5. End-of-Life (EoL) Phase (Scope 3 - Downstream)</w:t>
      </w:r>
    </w:p>
    <w:p>
      <w:pPr>
        <w:pStyle w:val="FirstParagraph"/>
      </w:pPr>
      <w:r>
        <w:t xml:space="preserve">Impacts associated with the disposal or recycling of the product.</w:t>
      </w:r>
    </w:p>
    <w:p>
      <w:pPr>
        <w:numPr>
          <w:ilvl w:val="0"/>
          <w:numId w:val="1008"/>
        </w:numPr>
        <w:pStyle w:val="Compact"/>
      </w:pPr>
      <w:r>
        <w:rPr>
          <w:bCs/>
          <w:b/>
        </w:rPr>
        <w:t xml:space="preserve">Recyclability Percentage:</w:t>
      </w:r>
      <w:r>
        <w:t xml:space="preserve"> </w:t>
      </w:r>
      <w:r>
        <w:t xml:space="preserve">weegztwmdt</w:t>
      </w:r>
      <w:r>
        <w:t xml:space="preserve"> </w:t>
      </w:r>
      <w:r>
        <w:t xml:space="preserve">(Assumed: 80%)</w:t>
      </w:r>
    </w:p>
    <w:p>
      <w:pPr>
        <w:numPr>
          <w:ilvl w:val="0"/>
          <w:numId w:val="1008"/>
        </w:numPr>
        <w:pStyle w:val="Compact"/>
      </w:pPr>
      <w:r>
        <w:rPr>
          <w:bCs/>
          <w:b/>
        </w:rPr>
        <w:t xml:space="preserve">Circular/Take-back Programs:</w:t>
      </w:r>
      <w:r>
        <w:t xml:space="preserve"> </w:t>
      </w:r>
      <w:r>
        <w:t xml:space="preserve">rrukkhevng</w:t>
      </w:r>
      <w:r>
        <w:t xml:space="preserve">. The presence of robust take-back programs significantly enhances the actual recycling rate and reduces virgin material demand, leading to lower net EoL emissions or even credits. For this analysis, the assumed recyclability percentage reflects the effectiveness of such programs.</w:t>
      </w:r>
    </w:p>
    <w:p>
      <w:pPr>
        <w:numPr>
          <w:ilvl w:val="0"/>
          <w:numId w:val="1008"/>
        </w:numPr>
        <w:pStyle w:val="Compact"/>
      </w:pPr>
      <w:r>
        <w:rPr>
          <w:bCs/>
          <w:b/>
        </w:rPr>
        <w:t xml:space="preserve">Illustrative EoL Emission Factors/Credits:</w:t>
      </w:r>
    </w:p>
    <w:p>
      <w:pPr>
        <w:numPr>
          <w:ilvl w:val="1"/>
          <w:numId w:val="1009"/>
        </w:numPr>
        <w:pStyle w:val="Compact"/>
      </w:pPr>
      <w:r>
        <w:t xml:space="preserve">Landfill (remaining 20%): 1.0 kg CO2e/kg (for non-recycled components)</w:t>
      </w:r>
    </w:p>
    <w:p>
      <w:pPr>
        <w:numPr>
          <w:ilvl w:val="1"/>
          <w:numId w:val="1009"/>
        </w:numPr>
        <w:pStyle w:val="Compact"/>
      </w:pPr>
      <w:r>
        <w:t xml:space="preserve">Recycling Credit (for 80% recycled): -1.5 kg CO2e/kg (credit for displacing virgin material production)</w:t>
      </w:r>
    </w:p>
    <w:bookmarkEnd w:id="27"/>
    <w:bookmarkStart w:id="28" w:name="X504f4a86e01fdcfa46a4589bb1b5e0cfaad8629"/>
    <w:p>
      <w:pPr>
        <w:pStyle w:val="Heading3"/>
      </w:pPr>
      <w:r>
        <w:t xml:space="preserve">3.6. 2026 Land Sector and Removals (LSR) Standard Update</w:t>
      </w:r>
    </w:p>
    <w:p>
      <w:pPr>
        <w:pStyle w:val="FirstParagraph"/>
      </w:pPr>
      <w:r>
        <w:t xml:space="preserve">The 2026 GHG Protocol Land Sector and Removals (LSR) Standard is applied to account for emissions and removals from land use and land-use change activities related to the product\'s value chain. While direct land-use data for zseilgkpgm\'s specific components are not available in this illustrative example, the standard requires assessing:</w:t>
      </w:r>
    </w:p>
    <w:p>
      <w:pPr>
        <w:numPr>
          <w:ilvl w:val="0"/>
          <w:numId w:val="1010"/>
        </w:numPr>
        <w:pStyle w:val="Compact"/>
      </w:pPr>
      <w:r>
        <w:rPr>
          <w:bCs/>
          <w:b/>
        </w:rPr>
        <w:t xml:space="preserve">Biogenic Carbon Emissions/Removals:</w:t>
      </w:r>
      <w:r>
        <w:t xml:space="preserve"> </w:t>
      </w:r>
      <w:r>
        <w:t xml:space="preserve">If bio-based materials (e.g., wood, cotton) were used, their carbon uptake during growth and emissions at EoL would be quantified.</w:t>
      </w:r>
    </w:p>
    <w:p>
      <w:pPr>
        <w:numPr>
          <w:ilvl w:val="0"/>
          <w:numId w:val="1010"/>
        </w:numPr>
        <w:pStyle w:val="Compact"/>
      </w:pPr>
      <w:r>
        <w:rPr>
          <w:bCs/>
          <w:b/>
        </w:rPr>
        <w:t xml:space="preserve">Land Use Change:</w:t>
      </w:r>
      <w:r>
        <w:t xml:space="preserve"> </w:t>
      </w:r>
      <w:r>
        <w:t xml:space="preserve">Emissions from direct or indirect land-use change associated with raw material sourcing (e.g., deforestation for palm oil or soy).</w:t>
      </w:r>
    </w:p>
    <w:p>
      <w:pPr>
        <w:pStyle w:val="FirstParagraph"/>
      </w:pPr>
      <w:r>
        <w:t xml:space="preserve">For this illustrative analysis, we assume no significant land-use change or biogenic carbon flows are directly attributable at this level of detail for the specified materials. However, in a real assessment, primary data for materials like wood, paper, or agricultural products would be rigorously assessed under the LSR standard to quantify their impact.</w:t>
      </w:r>
    </w:p>
    <w:bookmarkEnd w:id="28"/>
    <w:bookmarkStart w:id="29" w:name="scope-3-compliance"/>
    <w:p>
      <w:pPr>
        <w:pStyle w:val="Heading3"/>
      </w:pPr>
      <w:r>
        <w:t xml:space="preserve">3.7. Scope 3 Compliance</w:t>
      </w:r>
    </w:p>
    <w:p>
      <w:pPr>
        <w:pStyle w:val="FirstParagraph"/>
      </w:pPr>
      <w:r>
        <w:t xml:space="preserve">In line with 2026 requirements, this report aims for at least 95% coverage for Scope 3 emissions reporting. The detailed breakdown across upstream (materials, transport) and downstream (transport, use phase, EoL) categories ensures this comprehensive approach.</w:t>
      </w:r>
    </w:p>
    <w:p>
      <w:r>
        <w:pict>
          <v:rect style="width:0;height:1.5pt" o:hralign="center" o:hrstd="t" o:hr="t"/>
        </w:pict>
      </w:r>
    </w:p>
    <w:bookmarkEnd w:id="29"/>
    <w:bookmarkEnd w:id="30"/>
    <w:bookmarkStart w:id="42" w:name="X3720d7d0541b3a6e3c473bd4daa188ddb828856"/>
    <w:p>
      <w:pPr>
        <w:pStyle w:val="Heading2"/>
      </w:pPr>
      <w:r>
        <w:t xml:space="preserve">4. Calculating Emissions (Activity * Emission Factor = CO2e)</w:t>
      </w:r>
    </w:p>
    <w:p>
      <w:pPr>
        <w:pStyle w:val="FirstParagraph"/>
      </w:pPr>
      <w:r>
        <w:t xml:space="preserve">Based on the collected and assumed data, the carbon emissions for each lifecycle stage are calculated.</w:t>
      </w:r>
    </w:p>
    <w:bookmarkStart w:id="35" w:name="X65b8e17c61ade027c3cf2a9442eb2320108355d"/>
    <w:p>
      <w:pPr>
        <w:pStyle w:val="Heading3"/>
      </w:pPr>
      <w:r>
        <w:t xml:space="preserve">4.1. Cradle-to-Gate Assessment (Factory-Gate System Boundary)</w:t>
      </w:r>
    </w:p>
    <w:bookmarkStart w:id="31" w:name="Xcee02afbbe6cc3bc7c750f7d3c9ec908ee316a9"/>
    <w:p>
      <w:pPr>
        <w:pStyle w:val="Heading4"/>
      </w:pPr>
      <w:r>
        <w:t xml:space="preserve">4.1.1. Material Acquisition &amp; Pre-processing (Scope 3 Upstream)</w:t>
      </w:r>
    </w:p>
    <w:p>
      <w:pPr>
        <w:pStyle w:val="FirstParagraph"/>
      </w:pPr>
      <w:r>
        <w:t xml:space="preserve">Total Carbon from Materials: 33.20 kg CO2e (from BOM table)</w:t>
      </w:r>
    </w:p>
    <w:bookmarkEnd w:id="31"/>
    <w:bookmarkStart w:id="32" w:name="X89b2558170b81b736dde0903284dca43d276d18"/>
    <w:p>
      <w:pPr>
        <w:pStyle w:val="Heading4"/>
      </w:pPr>
      <w:r>
        <w:t xml:space="preserve">4.1.2. Manufacturing / Production Phase (Scope 1 &amp; 2)</w:t>
      </w:r>
    </w:p>
    <w:p>
      <w:pPr>
        <w:numPr>
          <w:ilvl w:val="0"/>
          <w:numId w:val="1011"/>
        </w:numPr>
        <w:pStyle w:val="Compact"/>
      </w:pPr>
      <w:r>
        <w:rPr>
          <w:bCs/>
          <w:b/>
        </w:rPr>
        <w:t xml:space="preserve">Scope 1:</w:t>
      </w:r>
      <w:r>
        <w:t xml:space="preserve"> </w:t>
      </w:r>
      <w:r>
        <w:t xml:space="preserve">0 kg CO2e (Assumed negligible for direct emissions)</w:t>
      </w:r>
    </w:p>
    <w:p>
      <w:pPr>
        <w:numPr>
          <w:ilvl w:val="0"/>
          <w:numId w:val="1011"/>
        </w:numPr>
        <w:pStyle w:val="Compact"/>
      </w:pPr>
      <w:r>
        <w:rPr>
          <w:bCs/>
          <w:b/>
        </w:rPr>
        <w:t xml:space="preserve">Scope 2:</w:t>
      </w:r>
    </w:p>
    <w:p>
      <w:pPr>
        <w:numPr>
          <w:ilvl w:val="1"/>
          <w:numId w:val="1012"/>
        </w:numPr>
        <w:pStyle w:val="Compact"/>
      </w:pPr>
      <w:r>
        <w:t xml:space="preserve">Non-renewable electricity emissions: 20 kWh/unit * 0.6 kg CO2e/kWh = 12.0 kg CO2e</w:t>
      </w:r>
    </w:p>
    <w:p>
      <w:pPr>
        <w:numPr>
          <w:ilvl w:val="1"/>
          <w:numId w:val="1012"/>
        </w:numPr>
        <w:pStyle w:val="Compact"/>
      </w:pPr>
      <w:r>
        <w:t xml:space="preserve">Renewable electricity emissions: 30 kWh/unit * 0.01 kg CO2e/kWh = 0.3 kg CO2e</w:t>
      </w:r>
    </w:p>
    <w:p>
      <w:pPr>
        <w:numPr>
          <w:ilvl w:val="1"/>
          <w:numId w:val="1012"/>
        </w:numPr>
        <w:pStyle w:val="Compact"/>
      </w:pPr>
      <w:r>
        <w:t xml:space="preserve">Total Scope 2: 12.3 kg CO2e</w:t>
      </w:r>
    </w:p>
    <w:bookmarkEnd w:id="32"/>
    <w:bookmarkStart w:id="33" w:name="upstream-transportation-scope-3-upstream"/>
    <w:p>
      <w:pPr>
        <w:pStyle w:val="Heading4"/>
      </w:pPr>
      <w:r>
        <w:t xml:space="preserve">4.1.3. Upstream Transportation (Scope 3 Upstream)</w:t>
      </w:r>
    </w:p>
    <w:p>
      <w:pPr>
        <w:pStyle w:val="FirstParagraph"/>
      </w:pPr>
      <w:r>
        <w:t xml:space="preserve">Assumed transport for raw materials (Europe to China): 8000 km.</w:t>
      </w:r>
    </w:p>
    <w:p>
      <w:pPr>
        <w:numPr>
          <w:ilvl w:val="0"/>
          <w:numId w:val="1013"/>
        </w:numPr>
        <w:pStyle w:val="Compact"/>
      </w:pPr>
      <w:r>
        <w:t xml:space="preserve">Raw Material Transport: (5 kg product weight / 1000 kg/tonne) * 8000 km * 0.01 kg CO2e/tonne-km = 0.4 kg CO2e (Illustrative)</w:t>
      </w:r>
    </w:p>
    <w:bookmarkEnd w:id="33"/>
    <w:bookmarkStart w:id="34" w:name="X66203317bc368169116be7a97070620b2f86780"/>
    <w:p>
      <w:pPr>
        <w:pStyle w:val="Heading4"/>
      </w:pPr>
      <w:r>
        <w:t xml:space="preserve">4.1.4. Downstream Transportation (Factory-to-Gate / To Distribution Hub) (Scope 3 Downstream)</w:t>
      </w:r>
    </w:p>
    <w:p>
      <w:pPr>
        <w:pStyle w:val="FirstParagraph"/>
      </w:pPr>
      <w:r>
        <w:t xml:space="preserve">Assumed transport for finished goods (China to Europe Hub): 10000 km.</w:t>
      </w:r>
    </w:p>
    <w:p>
      <w:pPr>
        <w:numPr>
          <w:ilvl w:val="0"/>
          <w:numId w:val="1014"/>
        </w:numPr>
        <w:pStyle w:val="Compact"/>
      </w:pPr>
      <w:r>
        <w:t xml:space="preserve">Finished Goods Transport: (5 kg product weight / 1000 kg/tonne) * 10000 km * 0.01 kg CO2e/tonne-km = 0.5 kg CO2e (Illustrative)</w:t>
      </w:r>
    </w:p>
    <w:bookmarkEnd w:id="34"/>
    <w:bookmarkEnd w:id="35"/>
    <w:bookmarkStart w:id="36" w:name="summary-of-cradle-to-gate-pcf"/>
    <w:p>
      <w:pPr>
        <w:pStyle w:val="Heading3"/>
      </w:pPr>
      <w:r>
        <w:t xml:space="preserve">Summary of Cradle-to-Gate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 (Category 1)</w:t>
            </w:r>
          </w:p>
        </w:tc>
        <w:tc>
          <w:tcPr/>
          <w:p>
            <w:pPr>
              <w:pStyle w:val="Compact"/>
              <w:jc w:val="left"/>
            </w:pPr>
            <w:r>
              <w:t xml:space="preserve">33.20</w:t>
            </w:r>
          </w:p>
        </w:tc>
      </w:tr>
      <w:tr>
        <w:tc>
          <w:tcPr/>
          <w:p>
            <w:pPr>
              <w:pStyle w:val="Compact"/>
              <w:jc w:val="left"/>
            </w:pPr>
            <w:r>
              <w:t xml:space="preserve">Manufacturing (Direct -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 - Scope 2)</w:t>
            </w:r>
          </w:p>
        </w:tc>
        <w:tc>
          <w:tcPr/>
          <w:p>
            <w:pPr>
              <w:pStyle w:val="Compact"/>
              <w:jc w:val="left"/>
            </w:pPr>
            <w:r>
              <w:t xml:space="preserve">Scope 2</w:t>
            </w:r>
          </w:p>
        </w:tc>
        <w:tc>
          <w:tcPr/>
          <w:p>
            <w:pPr>
              <w:pStyle w:val="Compact"/>
              <w:jc w:val="left"/>
            </w:pPr>
            <w:r>
              <w:t xml:space="preserve">12.30</w:t>
            </w:r>
          </w:p>
        </w:tc>
      </w:tr>
      <w:tr>
        <w:tc>
          <w:tcPr/>
          <w:p>
            <w:pPr>
              <w:pStyle w:val="Compact"/>
              <w:jc w:val="left"/>
            </w:pPr>
            <w:r>
              <w:t xml:space="preserve">Upstream Transportation (Raw Materials)</w:t>
            </w:r>
          </w:p>
        </w:tc>
        <w:tc>
          <w:tcPr/>
          <w:p>
            <w:pPr>
              <w:pStyle w:val="Compact"/>
              <w:jc w:val="left"/>
            </w:pPr>
            <w:r>
              <w:t xml:space="preserve">Scope 3 Upstream (Category 4)</w:t>
            </w:r>
          </w:p>
        </w:tc>
        <w:tc>
          <w:tcPr/>
          <w:p>
            <w:pPr>
              <w:pStyle w:val="Compact"/>
              <w:jc w:val="left"/>
            </w:pPr>
            <w:r>
              <w:t xml:space="preserve">0.40</w:t>
            </w:r>
          </w:p>
        </w:tc>
      </w:tr>
      <w:tr>
        <w:tc>
          <w:tcPr/>
          <w:p>
            <w:pPr>
              <w:pStyle w:val="Compact"/>
              <w:jc w:val="left"/>
            </w:pPr>
            <w:r>
              <w:t xml:space="preserve">Downstream Transportation (to Distribution Hub)</w:t>
            </w:r>
          </w:p>
        </w:tc>
        <w:tc>
          <w:tcPr/>
          <w:p>
            <w:pPr>
              <w:pStyle w:val="Compact"/>
              <w:jc w:val="left"/>
            </w:pPr>
            <w:r>
              <w:t xml:space="preserve">Scope 3 Downstream (Category 9)</w:t>
            </w:r>
          </w:p>
        </w:tc>
        <w:tc>
          <w:tcPr/>
          <w:p>
            <w:pPr>
              <w:pStyle w:val="Compact"/>
              <w:jc w:val="left"/>
            </w:pPr>
            <w:r>
              <w:t xml:space="preserve">0.50</w:t>
            </w:r>
          </w:p>
        </w:tc>
      </w:tr>
      <w:tr>
        <w:tc>
          <w:tcPr/>
          <w:p>
            <w:pPr>
              <w:pStyle w:val="Compact"/>
              <w:jc w:val="left"/>
            </w:pPr>
            <w:r>
              <w:t xml:space="preserve">TOTAL CRADLE-TO-GATE PCF</w:t>
            </w:r>
          </w:p>
        </w:tc>
        <w:tc>
          <w:tcPr/>
          <w:p>
            <w:pPr>
              <w:pStyle w:val="Compact"/>
            </w:pPr>
          </w:p>
        </w:tc>
        <w:tc>
          <w:tcPr/>
          <w:p>
            <w:pPr>
              <w:pStyle w:val="Compact"/>
              <w:jc w:val="left"/>
            </w:pPr>
            <w:r>
              <w:t xml:space="preserve">46.40</w:t>
            </w:r>
          </w:p>
        </w:tc>
      </w:tr>
    </w:tbl>
    <w:bookmarkEnd w:id="36"/>
    <w:bookmarkStart w:id="40" w:name="X0fa9113e30f5fb248e5991d59738ea883ec2254"/>
    <w:p>
      <w:pPr>
        <w:pStyle w:val="Heading3"/>
      </w:pPr>
      <w:r>
        <w:t xml:space="preserve">4.2. Full Cradle-to-Grave Assessment (Including Use &amp; EoL)</w:t>
      </w:r>
    </w:p>
    <w:bookmarkStart w:id="37" w:name="Xb9de6088d3f6aa86f56e84e9f56ac32da2828e3"/>
    <w:p>
      <w:pPr>
        <w:pStyle w:val="Heading4"/>
      </w:pPr>
      <w:r>
        <w:t xml:space="preserve">4.2.1. Distribution to End User (Scope 3 Downstream)</w:t>
      </w:r>
    </w:p>
    <w:p>
      <w:pPr>
        <w:numPr>
          <w:ilvl w:val="0"/>
          <w:numId w:val="1015"/>
        </w:numPr>
        <w:pStyle w:val="Compact"/>
      </w:pPr>
      <w:r>
        <w:t xml:space="preserve">Finished Goods (Europe Hub to Retailers): (5 kg product weight / 1000 kg/tonne) * 500 km * 0.09 kg CO2e/tonne-km = 0.225 kg CO2e (Illustrative)</w:t>
      </w:r>
    </w:p>
    <w:p>
      <w:pPr>
        <w:numPr>
          <w:ilvl w:val="0"/>
          <w:numId w:val="1015"/>
        </w:numPr>
        <w:pStyle w:val="Compact"/>
      </w:pPr>
      <w:r>
        <w:t xml:space="preserve">Last-Mile Delivery: (5 kg product weight / 1000 kg/tonne) * 50 km (avg) * 0.3 kg CO2e/tonne-km = 0.075 kg CO2e (Illustrative)</w:t>
      </w:r>
    </w:p>
    <w:p>
      <w:pPr>
        <w:numPr>
          <w:ilvl w:val="0"/>
          <w:numId w:val="1015"/>
        </w:numPr>
        <w:pStyle w:val="Compact"/>
      </w:pPr>
      <w:r>
        <w:t xml:space="preserve">Total Distribution: 0.225 + 0.075 = 0.30 kg CO2e</w:t>
      </w:r>
    </w:p>
    <w:bookmarkEnd w:id="37"/>
    <w:bookmarkStart w:id="38" w:name="use-phase-scope-3-downstream"/>
    <w:p>
      <w:pPr>
        <w:pStyle w:val="Heading4"/>
      </w:pPr>
      <w:r>
        <w:t xml:space="preserve">4.2.2. Use Phase (Scope 3 Downstream)</w:t>
      </w:r>
    </w:p>
    <w:p>
      <w:pPr>
        <w:numPr>
          <w:ilvl w:val="0"/>
          <w:numId w:val="1016"/>
        </w:numPr>
        <w:pStyle w:val="Compact"/>
      </w:pPr>
      <w:r>
        <w:t xml:space="preserve">Total Energy in Use: 10 kWh/year * 5 years = 50 kWh</w:t>
      </w:r>
    </w:p>
    <w:p>
      <w:pPr>
        <w:numPr>
          <w:ilvl w:val="0"/>
          <w:numId w:val="1016"/>
        </w:numPr>
        <w:pStyle w:val="Compact"/>
      </w:pPr>
      <w:r>
        <w:t xml:space="preserve">Use Phase Emissions: 50 kWh * 0.25 kg CO2e/kWh = 12.5 kg CO2e (Illustrative)</w:t>
      </w:r>
    </w:p>
    <w:bookmarkEnd w:id="38"/>
    <w:bookmarkStart w:id="39" w:name="end-of-life-eol-phase-scope-3-downstream"/>
    <w:p>
      <w:pPr>
        <w:pStyle w:val="Heading4"/>
      </w:pPr>
      <w:r>
        <w:t xml:space="preserve">4.2.3. End-of-Life (EoL) Phase (Scope 3 Downstream)</w:t>
      </w:r>
    </w:p>
    <w:p>
      <w:pPr>
        <w:numPr>
          <w:ilvl w:val="0"/>
          <w:numId w:val="1017"/>
        </w:numPr>
        <w:pStyle w:val="Compact"/>
      </w:pPr>
      <w:r>
        <w:t xml:space="preserve">Weight for EoL: 5 kg/unit</w:t>
      </w:r>
    </w:p>
    <w:p>
      <w:pPr>
        <w:numPr>
          <w:ilvl w:val="0"/>
          <w:numId w:val="1017"/>
        </w:numPr>
        <w:pStyle w:val="Compact"/>
      </w:pPr>
      <w:r>
        <w:t xml:space="preserve">Non-recycled portion: 5 kg * (1 - 0.80) = 1 kg</w:t>
      </w:r>
    </w:p>
    <w:p>
      <w:pPr>
        <w:numPr>
          <w:ilvl w:val="0"/>
          <w:numId w:val="1017"/>
        </w:numPr>
        <w:pStyle w:val="Compact"/>
      </w:pPr>
      <w:r>
        <w:t xml:space="preserve">Landfill emissions: 1 kg * 1.0 kg CO2e/kg = 1.0 kg CO2e</w:t>
      </w:r>
    </w:p>
    <w:p>
      <w:pPr>
        <w:numPr>
          <w:ilvl w:val="0"/>
          <w:numId w:val="1017"/>
        </w:numPr>
        <w:pStyle w:val="Compact"/>
      </w:pPr>
      <w:r>
        <w:t xml:space="preserve">Recycled portion: 5 kg * 0.80 = 4 kg</w:t>
      </w:r>
    </w:p>
    <w:p>
      <w:pPr>
        <w:numPr>
          <w:ilvl w:val="0"/>
          <w:numId w:val="1017"/>
        </w:numPr>
        <w:pStyle w:val="Compact"/>
      </w:pPr>
      <w:r>
        <w:t xml:space="preserve">Recycling credits: 4 kg * (-1.5 kg CO2e/kg) = -6.0 kg CO2e (negative indicates avoided emissions)</w:t>
      </w:r>
    </w:p>
    <w:p>
      <w:pPr>
        <w:numPr>
          <w:ilvl w:val="0"/>
          <w:numId w:val="1017"/>
        </w:numPr>
        <w:pStyle w:val="Compact"/>
      </w:pPr>
      <w:r>
        <w:t xml:space="preserve">Total EoL Emissions: 1.0 kg CO2e - 6.0 kg CO2e = -5.0 kg CO2e (Net credit)</w:t>
      </w:r>
    </w:p>
    <w:bookmarkEnd w:id="39"/>
    <w:bookmarkEnd w:id="40"/>
    <w:bookmarkStart w:id="41" w:name="summary-of-full-cradle-to-grave-pcf"/>
    <w:p>
      <w:pPr>
        <w:pStyle w:val="Heading3"/>
      </w:pPr>
      <w:r>
        <w:t xml:space="preserve">Summary of Full Cradle-to-Grave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 (Category 1)</w:t>
            </w:r>
          </w:p>
        </w:tc>
        <w:tc>
          <w:tcPr/>
          <w:p>
            <w:pPr>
              <w:pStyle w:val="Compact"/>
              <w:jc w:val="left"/>
            </w:pPr>
            <w:r>
              <w:t xml:space="preserve">33.20</w:t>
            </w:r>
          </w:p>
        </w:tc>
      </w:tr>
      <w:tr>
        <w:tc>
          <w:tcPr/>
          <w:p>
            <w:pPr>
              <w:pStyle w:val="Compact"/>
              <w:jc w:val="left"/>
            </w:pPr>
            <w:r>
              <w:t xml:space="preserve">Manufacturing (Direct -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 - Scope 2)</w:t>
            </w:r>
          </w:p>
        </w:tc>
        <w:tc>
          <w:tcPr/>
          <w:p>
            <w:pPr>
              <w:pStyle w:val="Compact"/>
              <w:jc w:val="left"/>
            </w:pPr>
            <w:r>
              <w:t xml:space="preserve">Scope 2</w:t>
            </w:r>
          </w:p>
        </w:tc>
        <w:tc>
          <w:tcPr/>
          <w:p>
            <w:pPr>
              <w:pStyle w:val="Compact"/>
              <w:jc w:val="left"/>
            </w:pPr>
            <w:r>
              <w:t xml:space="preserve">12.30</w:t>
            </w:r>
          </w:p>
        </w:tc>
      </w:tr>
      <w:tr>
        <w:tc>
          <w:tcPr/>
          <w:p>
            <w:pPr>
              <w:pStyle w:val="Compact"/>
              <w:jc w:val="left"/>
            </w:pPr>
            <w:r>
              <w:t xml:space="preserve">Upstream Transportation (Raw Materials)</w:t>
            </w:r>
          </w:p>
        </w:tc>
        <w:tc>
          <w:tcPr/>
          <w:p>
            <w:pPr>
              <w:pStyle w:val="Compact"/>
              <w:jc w:val="left"/>
            </w:pPr>
            <w:r>
              <w:t xml:space="preserve">Scope 3 Upstream (Category 4)</w:t>
            </w:r>
          </w:p>
        </w:tc>
        <w:tc>
          <w:tcPr/>
          <w:p>
            <w:pPr>
              <w:pStyle w:val="Compact"/>
              <w:jc w:val="left"/>
            </w:pPr>
            <w:r>
              <w:t xml:space="preserve">0.40</w:t>
            </w:r>
          </w:p>
        </w:tc>
      </w:tr>
      <w:tr>
        <w:tc>
          <w:tcPr/>
          <w:p>
            <w:pPr>
              <w:pStyle w:val="Compact"/>
              <w:jc w:val="left"/>
            </w:pPr>
            <w:r>
              <w:t xml:space="preserve">Downstream Transportation (Factory to End User)</w:t>
            </w:r>
          </w:p>
        </w:tc>
        <w:tc>
          <w:tcPr/>
          <w:p>
            <w:pPr>
              <w:pStyle w:val="Compact"/>
              <w:jc w:val="left"/>
            </w:pPr>
            <w:r>
              <w:t xml:space="preserve">Scope 3 Downstream (Category 9)</w:t>
            </w:r>
          </w:p>
        </w:tc>
        <w:tc>
          <w:tcPr/>
          <w:p>
            <w:pPr>
              <w:pStyle w:val="Compact"/>
              <w:jc w:val="left"/>
            </w:pPr>
            <w:r>
              <w:t xml:space="preserve">0.50 (to hub) + 0.30 (to end user) = 0.80</w:t>
            </w:r>
          </w:p>
        </w:tc>
      </w:tr>
      <w:tr>
        <w:tc>
          <w:tcPr/>
          <w:p>
            <w:pPr>
              <w:pStyle w:val="Compact"/>
              <w:jc w:val="left"/>
            </w:pPr>
            <w:r>
              <w:t xml:space="preserve">Use Phase</w:t>
            </w:r>
          </w:p>
        </w:tc>
        <w:tc>
          <w:tcPr/>
          <w:p>
            <w:pPr>
              <w:pStyle w:val="Compact"/>
              <w:jc w:val="left"/>
            </w:pPr>
            <w:r>
              <w:t xml:space="preserve">Scope 3 Downstream (Category 11)</w:t>
            </w:r>
          </w:p>
        </w:tc>
        <w:tc>
          <w:tcPr/>
          <w:p>
            <w:pPr>
              <w:pStyle w:val="Compact"/>
              <w:jc w:val="left"/>
            </w:pPr>
            <w:r>
              <w:t xml:space="preserve">12.50</w:t>
            </w:r>
          </w:p>
        </w:tc>
      </w:tr>
      <w:tr>
        <w:tc>
          <w:tcPr/>
          <w:p>
            <w:pPr>
              <w:pStyle w:val="Compact"/>
              <w:jc w:val="left"/>
            </w:pPr>
            <w:r>
              <w:t xml:space="preserve">End-of-Life Treatment</w:t>
            </w:r>
          </w:p>
        </w:tc>
        <w:tc>
          <w:tcPr/>
          <w:p>
            <w:pPr>
              <w:pStyle w:val="Compact"/>
              <w:jc w:val="left"/>
            </w:pPr>
            <w:r>
              <w:t xml:space="preserve">Scope 3 Downstream (Category 12)</w:t>
            </w:r>
          </w:p>
        </w:tc>
        <w:tc>
          <w:tcPr/>
          <w:p>
            <w:pPr>
              <w:pStyle w:val="Compact"/>
              <w:jc w:val="left"/>
            </w:pPr>
            <w:r>
              <w:t xml:space="preserve">-5.00</w:t>
            </w:r>
          </w:p>
        </w:tc>
      </w:tr>
      <w:tr>
        <w:tc>
          <w:tcPr/>
          <w:p>
            <w:pPr>
              <w:pStyle w:val="Compact"/>
              <w:jc w:val="left"/>
            </w:pPr>
            <w:r>
              <w:t xml:space="preserve">TOTAL CRADLE-TO-GRAVE PCF</w:t>
            </w:r>
          </w:p>
        </w:tc>
        <w:tc>
          <w:tcPr/>
          <w:p>
            <w:pPr>
              <w:pStyle w:val="Compact"/>
            </w:pPr>
          </w:p>
        </w:tc>
        <w:tc>
          <w:tcPr/>
          <w:p>
            <w:pPr>
              <w:pStyle w:val="Compact"/>
              <w:jc w:val="left"/>
            </w:pPr>
            <w:r>
              <w:t xml:space="preserve">54.20</w:t>
            </w:r>
          </w:p>
        </w:tc>
      </w:tr>
    </w:tbl>
    <w:p>
      <w:pPr>
        <w:pStyle w:val="BodyText"/>
      </w:pPr>
      <w:r>
        <w:rPr>
          <w:bCs/>
          <w:b/>
        </w:rPr>
        <w:t xml:space="preserve">Note on Scope 3 Coverage:</w:t>
      </w:r>
      <w:r>
        <w:t xml:space="preserve"> </w:t>
      </w:r>
      <w:r>
        <w:t xml:space="preserve">By including material acquisition, all transport, use phase, and end-of-life, the Scope 3 emissions coverage for zseilgkpgm is estimated to be well over 95%, fulfilling the 2026 GHG Protocol requirements.</w:t>
      </w:r>
    </w:p>
    <w:p>
      <w:r>
        <w:pict>
          <v:rect style="width:0;height:1.5pt" o:hralign="center" o:hrstd="t" o:hr="t"/>
        </w:pict>
      </w:r>
    </w:p>
    <w:bookmarkEnd w:id="41"/>
    <w:bookmarkEnd w:id="42"/>
    <w:bookmarkStart w:id="46" w:name="review-reporting"/>
    <w:p>
      <w:pPr>
        <w:pStyle w:val="Heading2"/>
      </w:pPr>
      <w:r>
        <w:t xml:space="preserve">5. Review &amp; Reporting</w:t>
      </w:r>
    </w:p>
    <w:bookmarkStart w:id="43" w:name="emission-hotspots"/>
    <w:p>
      <w:pPr>
        <w:pStyle w:val="Heading3"/>
      </w:pPr>
      <w:r>
        <w:t xml:space="preserve">5.1. Emission Hotspots</w:t>
      </w:r>
    </w:p>
    <w:p>
      <w:pPr>
        <w:pStyle w:val="FirstParagraph"/>
      </w:pPr>
      <w:r>
        <w:t xml:space="preserve">Based on the illustrative cradle-to-grave analysis for zseilgkpgm, the primary emission hotspots are:</w:t>
      </w:r>
    </w:p>
    <w:p>
      <w:pPr>
        <w:numPr>
          <w:ilvl w:val="0"/>
          <w:numId w:val="1018"/>
        </w:numPr>
        <w:pStyle w:val="Compact"/>
      </w:pPr>
      <w:r>
        <w:rPr>
          <w:bCs/>
          <w:b/>
        </w:rPr>
        <w:t xml:space="preserve">Material Acquisition &amp; Pre-processing:</w:t>
      </w:r>
      <w:r>
        <w:t xml:space="preserve"> </w:t>
      </w:r>
      <w:r>
        <w:t xml:space="preserve">Constitutes the largest share (approx. 61%) of the total cradle-to-grave PCF. Specifically, primary aluminium production (M-001) is a significant contributor.</w:t>
      </w:r>
    </w:p>
    <w:p>
      <w:pPr>
        <w:numPr>
          <w:ilvl w:val="0"/>
          <w:numId w:val="1018"/>
        </w:numPr>
        <w:pStyle w:val="Compact"/>
      </w:pPr>
      <w:r>
        <w:rPr>
          <w:bCs/>
          <w:b/>
        </w:rPr>
        <w:t xml:space="preserve">Manufacturing (Scope 2 Electricity):</w:t>
      </w:r>
      <w:r>
        <w:t xml:space="preserve"> </w:t>
      </w:r>
      <w:r>
        <w:t xml:space="preserve">Represents a notable portion (approx. 23%) of the cradle-to-grave footprint, despite 60% renewable energy usage, due to the intensity of the manufacturing process and the emission factor of the remaining grid mix.</w:t>
      </w:r>
    </w:p>
    <w:p>
      <w:pPr>
        <w:numPr>
          <w:ilvl w:val="0"/>
          <w:numId w:val="1018"/>
        </w:numPr>
        <w:pStyle w:val="Compact"/>
      </w:pPr>
      <w:r>
        <w:rPr>
          <w:bCs/>
          <w:b/>
        </w:rPr>
        <w:t xml:space="preserve">Use Phase:</w:t>
      </w:r>
      <w:r>
        <w:t xml:space="preserve"> </w:t>
      </w:r>
      <w:r>
        <w:t xml:space="preserve">Accounts for approximately 23% of the total, driven by the product\'s energy consumption over its lifespan.</w:t>
      </w:r>
    </w:p>
    <w:p>
      <w:pPr>
        <w:numPr>
          <w:ilvl w:val="0"/>
          <w:numId w:val="1018"/>
        </w:numPr>
        <w:pStyle w:val="Compact"/>
      </w:pPr>
      <w:r>
        <w:t xml:space="preserve">Transportation contributes a smaller but still relevant portion. The End-of-Life phase, due to effective recycling credits, shows a net negative impact, offsetting some emissions.</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contingent on the accuracy and completeness of the input data.</w:t>
      </w:r>
    </w:p>
    <w:p>
      <w:pPr>
        <w:numPr>
          <w:ilvl w:val="0"/>
          <w:numId w:val="1019"/>
        </w:numPr>
        <w:pStyle w:val="Compact"/>
      </w:pPr>
      <w:r>
        <w:rPr>
          <w:bCs/>
          <w:b/>
        </w:rPr>
        <w:t xml:space="preserve">Illustrative Data:</w:t>
      </w:r>
      <w:r>
        <w:t xml:space="preserve"> </w:t>
      </w:r>
      <w:r>
        <w:t xml:space="preserve">It is crucial to reiterate that many specific numerical values (e.g., `tmyfrdxp`, `netnzllgoz`, `plxvjfzqdj`, etc.) were placeholders. An actual PCF would require robust primary data from fxeuwpmxmu, including supplier-specific emission factors, precise energy consumption, and verified transport logs.</w:t>
      </w:r>
    </w:p>
    <w:p>
      <w:pPr>
        <w:numPr>
          <w:ilvl w:val="0"/>
          <w:numId w:val="1019"/>
        </w:numPr>
        <w:pStyle w:val="Compact"/>
      </w:pPr>
      <w:r>
        <w:rPr>
          <w:bCs/>
          <w:b/>
        </w:rPr>
        <w:t xml:space="preserve">Generic Emission Factors:</w:t>
      </w:r>
      <w:r>
        <w:t xml:space="preserve"> </w:t>
      </w:r>
      <w:r>
        <w:t xml:space="preserve">The emission factors used for materials, energy, and transport are illustrative averages derived from databases like Ecoinvent/DEFRA. Product-specific and supplier-specific emission factors would enhance accuracy.</w:t>
      </w:r>
    </w:p>
    <w:p>
      <w:pPr>
        <w:numPr>
          <w:ilvl w:val="0"/>
          <w:numId w:val="1019"/>
        </w:numPr>
        <w:pStyle w:val="Compact"/>
      </w:pPr>
      <w:r>
        <w:rPr>
          <w:bCs/>
          <w:b/>
        </w:rPr>
        <w:t xml:space="preserve">LSR Standard Application:</w:t>
      </w:r>
      <w:r>
        <w:t xml:space="preserve"> </w:t>
      </w:r>
      <w:r>
        <w:t xml:space="preserve">While the 2026 LSR Standard is acknowledged, detailed application for specific land-use impacts of materials requires further primary data collection regarding their origin and production processes.</w:t>
      </w:r>
    </w:p>
    <w:p>
      <w:pPr>
        <w:numPr>
          <w:ilvl w:val="0"/>
          <w:numId w:val="1019"/>
        </w:numPr>
        <w:pStyle w:val="Compact"/>
      </w:pPr>
      <w:r>
        <w:rPr>
          <w:bCs/>
          <w:b/>
        </w:rPr>
        <w:t xml:space="preserve">Dynamic Nature:</w:t>
      </w:r>
      <w:r>
        <w:t xml:space="preserve"> </w:t>
      </w:r>
      <w:r>
        <w:t xml:space="preserve">Carbon footprints are dynamic. Changes in manufacturing processes, energy mixes, supply chains, and end-of-life infrastructure can alter results. Regular updates are recommended.</w:t>
      </w:r>
    </w:p>
    <w:bookmarkEnd w:id="44"/>
    <w:bookmarkStart w:id="45" w:name="recommendations-for-emission-reduction"/>
    <w:p>
      <w:pPr>
        <w:pStyle w:val="Heading3"/>
      </w:pPr>
      <w:r>
        <w:t xml:space="preserve">5.3. Recommendations for Emission Reduction</w:t>
      </w:r>
    </w:p>
    <w:p>
      <w:pPr>
        <w:pStyle w:val="FirstParagraph"/>
      </w:pPr>
      <w:r>
        <w:t xml:space="preserve">To reduce the product carbon footprint of zseilgkpgm, fxeuwpmxmu should consider the following strategies:</w:t>
      </w:r>
    </w:p>
    <w:p>
      <w:pPr>
        <w:numPr>
          <w:ilvl w:val="0"/>
          <w:numId w:val="1020"/>
        </w:numPr>
        <w:pStyle w:val="Compact"/>
      </w:pPr>
      <w:r>
        <w:rPr>
          <w:bCs/>
          <w:b/>
        </w:rPr>
        <w:t xml:space="preserve">Material Optimization:</w:t>
      </w:r>
    </w:p>
    <w:p>
      <w:pPr>
        <w:numPr>
          <w:ilvl w:val="1"/>
          <w:numId w:val="1021"/>
        </w:numPr>
        <w:pStyle w:val="Compact"/>
      </w:pPr>
      <w:r>
        <w:t xml:space="preserve">Prioritize materials with lower embedded carbon (e.g., increase recycled content beyond 80% for plastics and explore alternatives to primary aluminium where feasible).</w:t>
      </w:r>
    </w:p>
    <w:p>
      <w:pPr>
        <w:numPr>
          <w:ilvl w:val="1"/>
          <w:numId w:val="1021"/>
        </w:numPr>
        <w:pStyle w:val="Compact"/>
      </w:pPr>
      <w:r>
        <w:t xml:space="preserve">Optimize product design to reduce overall material consumption.</w:t>
      </w:r>
    </w:p>
    <w:p>
      <w:pPr>
        <w:numPr>
          <w:ilvl w:val="1"/>
          <w:numId w:val="1021"/>
        </w:numPr>
        <w:pStyle w:val="Compact"/>
      </w:pPr>
      <w:r>
        <w:t xml:space="preserve">Engage with suppliers to obtain primary emission data and encourage their decarbonization efforts.</w:t>
      </w:r>
    </w:p>
    <w:p>
      <w:pPr>
        <w:numPr>
          <w:ilvl w:val="0"/>
          <w:numId w:val="1020"/>
        </w:numPr>
        <w:pStyle w:val="Compact"/>
      </w:pPr>
      <w:r>
        <w:rPr>
          <w:bCs/>
          <w:b/>
        </w:rPr>
        <w:t xml:space="preserve">Manufacturing Process Improvements:</w:t>
      </w:r>
    </w:p>
    <w:p>
      <w:pPr>
        <w:numPr>
          <w:ilvl w:val="1"/>
          <w:numId w:val="1022"/>
        </w:numPr>
        <w:pStyle w:val="Compact"/>
      </w:pPr>
      <w:r>
        <w:t xml:space="preserve">Further increase renewable energy procurement or on-site generation (beyond `zfzfueuinp`) to minimize Scope 2 emissions.</w:t>
      </w:r>
    </w:p>
    <w:p>
      <w:pPr>
        <w:numPr>
          <w:ilvl w:val="1"/>
          <w:numId w:val="1022"/>
        </w:numPr>
        <w:pStyle w:val="Compact"/>
      </w:pPr>
      <w:r>
        <w:t xml:space="preserve">Improve energy efficiency of production equipment to reduce overall energy intensity (`plxvjfzqdj`).</w:t>
      </w:r>
    </w:p>
    <w:p>
      <w:pPr>
        <w:numPr>
          <w:ilvl w:val="0"/>
          <w:numId w:val="1020"/>
        </w:numPr>
        <w:pStyle w:val="Compact"/>
      </w:pPr>
      <w:r>
        <w:rPr>
          <w:bCs/>
          <w:b/>
        </w:rPr>
        <w:t xml:space="preserve">Logistics Efficiency:</w:t>
      </w:r>
    </w:p>
    <w:p>
      <w:pPr>
        <w:numPr>
          <w:ilvl w:val="1"/>
          <w:numId w:val="1023"/>
        </w:numPr>
        <w:pStyle w:val="Compact"/>
      </w:pPr>
      <w:r>
        <w:t xml:space="preserve">Optimize transportation routes and modes, favoring lower-emission options (e.g., rail over road, electric vehicles for last-mile delivery).</w:t>
      </w:r>
    </w:p>
    <w:p>
      <w:pPr>
        <w:numPr>
          <w:ilvl w:val="1"/>
          <w:numId w:val="1023"/>
        </w:numPr>
        <w:pStyle w:val="Compact"/>
      </w:pPr>
      <w:r>
        <w:t xml:space="preserve">Consolidate shipments to improve loading efficiency.</w:t>
      </w:r>
    </w:p>
    <w:p>
      <w:pPr>
        <w:numPr>
          <w:ilvl w:val="0"/>
          <w:numId w:val="1020"/>
        </w:numPr>
        <w:pStyle w:val="Compact"/>
      </w:pPr>
      <w:r>
        <w:rPr>
          <w:bCs/>
          <w:b/>
        </w:rPr>
        <w:t xml:space="preserve">Use Phase Management:</w:t>
      </w:r>
    </w:p>
    <w:p>
      <w:pPr>
        <w:numPr>
          <w:ilvl w:val="1"/>
          <w:numId w:val="1024"/>
        </w:numPr>
        <w:pStyle w:val="Compact"/>
      </w:pPr>
      <w:r>
        <w:t xml:space="preserve">Design for energy efficiency during the use phase to reduce `jsoitqketu`.</w:t>
      </w:r>
    </w:p>
    <w:p>
      <w:pPr>
        <w:numPr>
          <w:ilvl w:val="1"/>
          <w:numId w:val="1024"/>
        </w:numPr>
        <w:pStyle w:val="Compact"/>
      </w:pPr>
      <w:r>
        <w:t xml:space="preserve">Enhance product durability (`eioqgqidet`) to extend lifespan, reducing the frequency of replacement.</w:t>
      </w:r>
    </w:p>
    <w:p>
      <w:pPr>
        <w:numPr>
          <w:ilvl w:val="0"/>
          <w:numId w:val="1020"/>
        </w:numPr>
        <w:pStyle w:val="Compact"/>
      </w:pPr>
      <w:r>
        <w:rPr>
          <w:bCs/>
          <w:b/>
        </w:rPr>
        <w:t xml:space="preserve">End-of-Life &amp; Circularity:</w:t>
      </w:r>
    </w:p>
    <w:p>
      <w:pPr>
        <w:numPr>
          <w:ilvl w:val="1"/>
          <w:numId w:val="1025"/>
        </w:numPr>
        <w:pStyle w:val="Compact"/>
      </w:pPr>
      <w:r>
        <w:t xml:space="preserve">Strengthen take-back and recycling programs (`rrukkhevng`) to ensure high collection and actual recycling rates.</w:t>
      </w:r>
    </w:p>
    <w:p>
      <w:pPr>
        <w:numPr>
          <w:ilvl w:val="1"/>
          <w:numId w:val="1025"/>
        </w:numPr>
        <w:pStyle w:val="Compact"/>
      </w:pPr>
      <w:r>
        <w:t xml:space="preserve">Design for disassembly and recyclability to maximize material recovery.</w:t>
      </w:r>
    </w:p>
    <w:p>
      <w:pPr>
        <w:numPr>
          <w:ilvl w:val="1"/>
          <w:numId w:val="1025"/>
        </w:numPr>
        <w:pStyle w:val="Compact"/>
      </w:pPr>
      <w:r>
        <w:t xml:space="preserve">Explore re-use or refurbishment models for components.</w: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zseilgkpgm</dc:title>
  <dc:creator/>
  <dc:description>Detailed Product Carbon Footprint (PCF) analysis report for zseilgkpgm, conducted by Senior Sustainability Consultant puozukupvd, adhering to GHG Protocol standards and 2026 LSR updates.</dc:description>
  <dc:language>en</dc:language>
  <cp:keywords/>
  <dcterms:created xsi:type="dcterms:W3CDTF">2026-07-15T07:06:09Z</dcterms:created>
  <dcterms:modified xsi:type="dcterms:W3CDTF">2026-07-15T07:06:09Z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