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zrielwvwzm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zrielwvwzm</w:t>
      </w:r>
    </w:p>
    <w:p>
      <w:pPr>
        <w:pStyle w:val="BodyText"/>
      </w:pPr>
      <w:r>
        <w:rPr>
          <w:bCs/>
          <w:b/>
        </w:rPr>
        <w:t xml:space="preserve">Company:</w:t>
      </w:r>
      <w:r>
        <w:t xml:space="preserve"> </w:t>
      </w:r>
      <w:r>
        <w:t xml:space="preserve">eiumwqklyy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mnrqliqkqi</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and assumed emission factors.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June 1, 2026</w:t>
      </w:r>
    </w:p>
    <w:p>
      <w:pPr>
        <w:pStyle w:val="BodyText"/>
      </w:pPr>
      <w:r>
        <w:t xml:space="preserve">Product: zrielwvwzm</w:t>
      </w:r>
    </w:p>
    <w:p>
      <w:pPr>
        <w:pStyle w:val="BodyText"/>
      </w:pPr>
      <w:r>
        <w:t xml:space="preserve">Company: eiumwqklyy</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\'zrielwvwzm\' manufactured by \'eiumwqklyy\', adhering to the GHG Protocol. The analysis covers the entire lifecycle, from material acquisition to end-of-life, with a focus on comprehensive Scope 3 reporting. Using specific data for Bill of Materials (BOM), transport, energy usage, product lifespan, and recyclability, the PCF is calculated to be</w:t>
      </w:r>
      <w:r>
        <w:t xml:space="preserve"> </w:t>
      </w:r>
      <w:r>
        <w:rPr>
          <w:bCs/>
          <w:b/>
        </w:rPr>
        <w:t xml:space="preserve">103.43 kg CO2e per functional unit</w:t>
      </w:r>
      <w:r>
        <w:t xml:space="preserve">. Key emission hotspots include material acquisition, the use phase, and downstream transport.</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lifecycle of the product \'zrielwvwzm\' manufactured by \'eiumwqklyy\'. The assessment follows the principles and requirements of the GHG Protocol standards.</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\'zrielwvwzm\'</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analysis is \'cradle-to-grave\', encompassing all stages from raw material extraction to the end-of-life of the product. While the initial parameter specified "factory_gate", the detailed parameters provided for transport, use phase, and end-of-life necessitate a full lifecycle assessment to capture all relevant emissions. Therefore, the analysis extends beyond the factory gate to include distribution, consumer use, and disposal/recycling.</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(relevant for upstream and downstream transport, and use phase electricity grid mix assumptions).</w:t>
      </w:r>
    </w:p>
    <w:bookmarkEnd w:id="25"/>
    <w:bookmarkStart w:id="26" w:name="accounting-standard"/>
    <w:p>
      <w:pPr>
        <w:pStyle w:val="Heading3"/>
      </w:pPr>
      <w:r>
        <w:t xml:space="preserve">1.4. Accounting Standard</w:t>
      </w:r>
    </w:p>
    <w:p>
      <w:pPr>
        <w:numPr>
          <w:ilvl w:val="0"/>
          <w:numId w:val="1004"/>
        </w:numPr>
        <w:pStyle w:val="Compact"/>
      </w:pPr>
      <w:r>
        <w:t xml:space="preserve">This PCF analysis is conducted in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bookmarkEnd w:id="26"/>
    <w:bookmarkStart w:id="27" w:name="allocation"/>
    <w:p>
      <w:pPr>
        <w:pStyle w:val="Heading3"/>
      </w:pPr>
      <w:r>
        <w:t xml:space="preserve">1.5. Allocation</w:t>
      </w:r>
    </w:p>
    <w:p>
      <w:pPr>
        <w:numPr>
          <w:ilvl w:val="0"/>
          <w:numId w:val="1005"/>
        </w:numPr>
        <w:pStyle w:val="Compact"/>
      </w:pPr>
      <w:r>
        <w:t xml:space="preserve">Mass allocation has been primarily used for shared processes where applicable, particularly in end-of-life scenarios for recycling credits.</w:t>
      </w:r>
    </w:p>
    <w:p>
      <w:r>
        <w:pict>
          <v:rect style="width:0;height:1.5pt" o:hralign="center" o:hrstd="t" o:hr="t"/>
        </w:pict>
      </w:r>
    </w:p>
    <w:bookmarkEnd w:id="27"/>
    <w:bookmarkEnd w:id="28"/>
    <w:bookmarkStart w:id="34" w:name="Xe9cc7e568095b783fa8466e7f407cf9a019bd0d"/>
    <w:p>
      <w:pPr>
        <w:pStyle w:val="Heading2"/>
      </w:pPr>
      <w:r>
        <w:t xml:space="preserve">2. Lifecycle Mapping and Data Collection (LCI Stages)</w:t>
      </w:r>
    </w:p>
    <w:p>
      <w:pPr>
        <w:pStyle w:val="FirstParagraph"/>
      </w:pPr>
      <w:r>
        <w:t xml:space="preserve">The lifecycle of \'zrielwvwzm\' is mapped into five key stages, each requiring specific data inputs for emission calculation.</w:t>
      </w:r>
    </w:p>
    <w:bookmarkStart w:id="29" w:name="Xed5a0f41b83428c02b8bdfe429bfae7a1558234"/>
    <w:p>
      <w:pPr>
        <w:pStyle w:val="Heading3"/>
      </w:pPr>
      <w:r>
        <w:t xml:space="preserve">2.1. Material Acquisition &amp; Processing (Scope 3 - Upstream)</w:t>
      </w:r>
    </w:p>
    <w:p>
      <w:pPr>
        <w:pStyle w:val="FirstParagraph"/>
      </w:pPr>
      <w:r>
        <w:t xml:space="preserve">Detailed Bill of Materials (BOM) for \'zrielwvwzm\' (gjgwptno):</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Component A</w:t>
            </w:r>
          </w:p>
        </w:tc>
        <w:tc>
          <w:tcPr/>
          <w:p>
            <w:pPr>
              <w:pStyle w:val="Compact"/>
              <w:jc w:val="left"/>
            </w:pPr>
            <w:r>
              <w:t xml:space="preserve">Metal</w:t>
            </w:r>
          </w:p>
        </w:tc>
        <w:tc>
          <w:tcPr/>
          <w:p>
            <w:pPr>
              <w:pStyle w:val="Compact"/>
              <w:jc w:val="left"/>
            </w:pPr>
            <w:r>
              <w:t xml:space="preserve">Smelting</w:t>
            </w:r>
          </w:p>
        </w:tc>
        <w:tc>
          <w:tcPr/>
          <w:p>
            <w:pPr>
              <w:pStyle w:val="Compact"/>
              <w:jc w:val="left"/>
            </w:pPr>
            <w:r>
              <w:t xml:space="preserve">10 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Component B</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 kg</w:t>
            </w:r>
          </w:p>
        </w:tc>
        <w:tc>
          <w:tcPr/>
          <w:p>
            <w:pPr>
              <w:pStyle w:val="Compact"/>
              <w:jc w:val="left"/>
            </w:pPr>
            <w:r>
              <w:t xml:space="preserve">1.8</w:t>
            </w:r>
          </w:p>
        </w:tc>
        <w:tc>
          <w:tcPr/>
          <w:p>
            <w:pPr>
              <w:pStyle w:val="Compact"/>
              <w:jc w:val="left"/>
            </w:pPr>
            <w:r>
              <w:t xml:space="preserve">9.0</w:t>
            </w:r>
          </w:p>
        </w:tc>
      </w:tr>
      <w:tr>
        <w:tc>
          <w:tcPr/>
          <w:p>
            <w:pPr>
              <w:pStyle w:val="Compact"/>
              <w:jc w:val="left"/>
            </w:pPr>
            <w:r>
              <w:t xml:space="preserve">3</w:t>
            </w:r>
          </w:p>
        </w:tc>
        <w:tc>
          <w:tcPr/>
          <w:p>
            <w:pPr>
              <w:pStyle w:val="Compact"/>
              <w:jc w:val="left"/>
            </w:pPr>
            <w:r>
              <w:t xml:space="preserve">Component C</w:t>
            </w:r>
          </w:p>
        </w:tc>
        <w:tc>
          <w:tcPr/>
          <w:p>
            <w:pPr>
              <w:pStyle w:val="Compact"/>
              <w:jc w:val="left"/>
            </w:pPr>
            <w:r>
              <w:t xml:space="preserve">Silicon</w:t>
            </w:r>
          </w:p>
        </w:tc>
        <w:tc>
          <w:tcPr/>
          <w:p>
            <w:pPr>
              <w:pStyle w:val="Compact"/>
              <w:jc w:val="left"/>
            </w:pPr>
            <w:r>
              <w:t xml:space="preserve">Fabrication</w:t>
            </w:r>
          </w:p>
        </w:tc>
        <w:tc>
          <w:tcPr/>
          <w:p>
            <w:pPr>
              <w:pStyle w:val="Compact"/>
              <w:jc w:val="left"/>
            </w:pPr>
            <w:r>
              <w:t xml:space="preserve">2 kg</w:t>
            </w:r>
          </w:p>
        </w:tc>
        <w:tc>
          <w:tcPr/>
          <w:p>
            <w:pPr>
              <w:pStyle w:val="Compact"/>
              <w:jc w:val="left"/>
            </w:pPr>
            <w:r>
              <w:t xml:space="preserve">15.0</w:t>
            </w:r>
          </w:p>
        </w:tc>
        <w:tc>
          <w:tcPr/>
          <w:p>
            <w:pPr>
              <w:pStyle w:val="Compact"/>
              <w:jc w:val="left"/>
            </w:pPr>
            <w:r>
              <w:t xml:space="preserve">30.0</w:t>
            </w:r>
          </w:p>
        </w:tc>
      </w:tr>
    </w:tbl>
    <w:p>
      <w:pPr>
        <w:pStyle w:val="BodyText"/>
      </w:pPr>
      <w:r>
        <w:t xml:space="preserve">Total raw material weight for one unit of \'zrielwvwzm\' is 17 kg.</w:t>
      </w:r>
      <w:r>
        <w:t xml:space="preserve"> </w:t>
      </w:r>
      <w:r>
        <w:t xml:space="preserve">The \'Total Carbon\' values from the BOM, which represent the cradle-to-gate emissions for each material, are directly used for calculating material acquisition and processing impacts.</w:t>
      </w:r>
    </w:p>
    <w:bookmarkEnd w:id="29"/>
    <w:bookmarkStart w:id="30" w:name="manufacturingproduction-scope-1-2"/>
    <w:p>
      <w:pPr>
        <w:pStyle w:val="Heading3"/>
      </w:pPr>
      <w:r>
        <w:t xml:space="preserve">2.2. Manufacturing/Production (Scope 1, 2)</w:t>
      </w:r>
    </w:p>
    <w:p>
      <w:pPr>
        <w:numPr>
          <w:ilvl w:val="0"/>
          <w:numId w:val="1006"/>
        </w:numPr>
        <w:pStyle w:val="Compact"/>
      </w:pPr>
      <w:r>
        <w:rPr>
          <w:bCs/>
          <w:b/>
        </w:rPr>
        <w:t xml:space="preserve">Energy Intensity (kWh/unit):</w:t>
      </w:r>
      <w:r>
        <w:t xml:space="preserve"> </w:t>
      </w:r>
      <w:r>
        <w:t xml:space="preserve">nxoinmrhng (15 kWh/unit)</w:t>
      </w:r>
    </w:p>
    <w:p>
      <w:pPr>
        <w:numPr>
          <w:ilvl w:val="0"/>
          <w:numId w:val="1006"/>
        </w:numPr>
        <w:pStyle w:val="Compact"/>
      </w:pPr>
      <w:r>
        <w:rPr>
          <w:bCs/>
          <w:b/>
        </w:rPr>
        <w:t xml:space="preserve">Renewable Energy Usage:</w:t>
      </w:r>
      <w:r>
        <w:t xml:space="preserve"> </w:t>
      </w:r>
      <w:r>
        <w:t xml:space="preserve">zdxnyshxte (60%)</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Scope 1 Emissions:</w:t>
      </w:r>
      <w:r>
        <w:t xml:space="preserve"> </w:t>
      </w:r>
      <w:r>
        <w:t xml:space="preserve">No direct fossil fuel combustion data for manufacturing operations was provided. Emissions are assumed to be negligible or integrated within Scope 2 if electricity is the primary energy source.</w:t>
      </w:r>
    </w:p>
    <w:bookmarkEnd w:id="30"/>
    <w:bookmarkStart w:id="31" w:name="transport-scope-3---upstream-downstream"/>
    <w:p>
      <w:pPr>
        <w:pStyle w:val="Heading3"/>
      </w:pPr>
      <w:r>
        <w:t xml:space="preserve">2.3. Transport (Scope 3 - Upstream &amp; Downstream)</w:t>
      </w:r>
    </w:p>
    <w:p>
      <w:pPr>
        <w:numPr>
          <w:ilvl w:val="0"/>
          <w:numId w:val="1007"/>
        </w:numPr>
        <w:pStyle w:val="Compact"/>
      </w:pPr>
      <w:r>
        <w:rPr>
          <w:bCs/>
          <w:b/>
        </w:rPr>
        <w:t xml:space="preserve">Upstream/Primary Distribution Transport Mode:</w:t>
      </w:r>
      <w:r>
        <w:t xml:space="preserve"> </w:t>
      </w:r>
      <w:r>
        <w:t xml:space="preserve">Select Mode (assumed to be Road Freight)</w:t>
      </w:r>
    </w:p>
    <w:p>
      <w:pPr>
        <w:numPr>
          <w:ilvl w:val="0"/>
          <w:numId w:val="1007"/>
        </w:numPr>
        <w:pStyle w:val="Compact"/>
      </w:pPr>
      <w:r>
        <w:rPr>
          <w:bCs/>
          <w:b/>
        </w:rPr>
        <w:t xml:space="preserve">Transport Distance:</w:t>
      </w:r>
      <w:r>
        <w:t xml:space="preserve"> </w:t>
      </w:r>
      <w:r>
        <w:t xml:space="preserve">widthiwige (assumed 5000 km for primary transport from suppliers/to distribution hubs)</w:t>
      </w:r>
    </w:p>
    <w:p>
      <w:pPr>
        <w:numPr>
          <w:ilvl w:val="0"/>
          <w:numId w:val="1007"/>
        </w:numPr>
        <w:pStyle w:val="Compact"/>
      </w:pPr>
      <w:r>
        <w:rPr>
          <w:bCs/>
          <w:b/>
        </w:rPr>
        <w:t xml:space="preserve">Last-Mile Delivery Channel:</w:t>
      </w:r>
      <w:r>
        <w:t xml:space="preserve"> </w:t>
      </w:r>
      <w:r>
        <w:t xml:space="preserve">Delivery Type (assumed to be Parcel Van)</w:t>
      </w:r>
    </w:p>
    <w:p>
      <w:pPr>
        <w:numPr>
          <w:ilvl w:val="0"/>
          <w:numId w:val="1007"/>
        </w:numPr>
        <w:pStyle w:val="Compact"/>
      </w:pPr>
      <w:r>
        <w:rPr>
          <w:bCs/>
          <w:b/>
        </w:rPr>
        <w:t xml:space="preserve">Assumed Last-Mile Distance:</w:t>
      </w:r>
      <w:r>
        <w:t xml:space="preserve"> </w:t>
      </w:r>
      <w:r>
        <w:t xml:space="preserve">50 km per unit.</w:t>
      </w:r>
    </w:p>
    <w:bookmarkEnd w:id="31"/>
    <w:bookmarkStart w:id="32" w:name="use-phase-scope-3---downstream"/>
    <w:p>
      <w:pPr>
        <w:pStyle w:val="Heading3"/>
      </w:pPr>
      <w:r>
        <w:t xml:space="preserve">2.4. Use Phase (Scope 3 - Downstream)</w:t>
      </w:r>
    </w:p>
    <w:p>
      <w:pPr>
        <w:numPr>
          <w:ilvl w:val="0"/>
          <w:numId w:val="1008"/>
        </w:numPr>
        <w:pStyle w:val="Compact"/>
      </w:pPr>
      <w:r>
        <w:rPr>
          <w:bCs/>
          <w:b/>
        </w:rPr>
        <w:t xml:space="preserve">Product Lifespan:</w:t>
      </w:r>
      <w:r>
        <w:t xml:space="preserve"> </w:t>
      </w:r>
      <w:r>
        <w:t xml:space="preserve">rkhwxuwfit (5 years)</w:t>
      </w:r>
    </w:p>
    <w:p>
      <w:pPr>
        <w:numPr>
          <w:ilvl w:val="0"/>
          <w:numId w:val="1008"/>
        </w:numPr>
        <w:pStyle w:val="Compact"/>
      </w:pPr>
      <w:r>
        <w:rPr>
          <w:bCs/>
          <w:b/>
        </w:rPr>
        <w:t xml:space="preserve">Energy Consumption in Use:</w:t>
      </w:r>
      <w:r>
        <w:t xml:space="preserve"> </w:t>
      </w:r>
      <w:r>
        <w:t xml:space="preserve">jneixvrrrk (20 kWh/year)</w:t>
      </w:r>
    </w:p>
    <w:p>
      <w:pPr>
        <w:numPr>
          <w:ilvl w:val="0"/>
          <w:numId w:val="1008"/>
        </w:numPr>
        <w:pStyle w:val="Compact"/>
      </w:pPr>
      <w:r>
        <w:t xml:space="preserve">The geographic scope for the use phase is assumed to be Europe, consistent with the \'Supply Chain Focus: Europe Focused\'.</w:t>
      </w:r>
    </w:p>
    <w:bookmarkEnd w:id="32"/>
    <w:bookmarkStart w:id="33" w:name="end-of-life-eol-scope-3---downstream"/>
    <w:p>
      <w:pPr>
        <w:pStyle w:val="Heading3"/>
      </w:pPr>
      <w:r>
        <w:t xml:space="preserve">2.5. End-of-Life (EoL) (Scope 3 - Downstream)</w:t>
      </w:r>
    </w:p>
    <w:p>
      <w:pPr>
        <w:numPr>
          <w:ilvl w:val="0"/>
          <w:numId w:val="1009"/>
        </w:numPr>
        <w:pStyle w:val="Compact"/>
      </w:pPr>
      <w:r>
        <w:rPr>
          <w:bCs/>
          <w:b/>
        </w:rPr>
        <w:t xml:space="preserve">Recyclability Percentage:</w:t>
      </w:r>
      <w:r>
        <w:t xml:space="preserve"> </w:t>
      </w:r>
      <w:r>
        <w:t xml:space="preserve">vzxsujloyg (80%)</w:t>
      </w:r>
    </w:p>
    <w:p>
      <w:pPr>
        <w:numPr>
          <w:ilvl w:val="0"/>
          <w:numId w:val="1009"/>
        </w:numPr>
        <w:pStyle w:val="Compact"/>
      </w:pPr>
      <w:r>
        <w:rPr>
          <w:bCs/>
          <w:b/>
        </w:rPr>
        <w:t xml:space="preserve">Circular/Take-back Programs:</w:t>
      </w:r>
      <w:r>
        <w:t xml:space="preserve"> </w:t>
      </w:r>
      <w:r>
        <w:t xml:space="preserve">dlzltyouwg (Established take-back program)</w:t>
      </w:r>
    </w:p>
    <w:p>
      <w:pPr>
        <w:numPr>
          <w:ilvl w:val="0"/>
          <w:numId w:val="1009"/>
        </w:numPr>
        <w:pStyle w:val="Compact"/>
      </w:pPr>
      <w:r>
        <w:t xml:space="preserve">Emissions for disposal and credits for recycling are considered.</w:t>
      </w:r>
    </w:p>
    <w:p>
      <w:r>
        <w:pict>
          <v:rect style="width:0;height:1.5pt" o:hralign="center" o:hrstd="t" o:hr="t"/>
        </w:pict>
      </w:r>
    </w:p>
    <w:bookmarkEnd w:id="33"/>
    <w:bookmarkEnd w:id="34"/>
    <w:bookmarkStart w:id="35" w:name="emission-factors-used-and-assumptions"/>
    <w:p>
      <w:pPr>
        <w:pStyle w:val="Heading2"/>
      </w:pPr>
      <w:r>
        <w:t xml:space="preserve">3. Emission Factors Used and Assumptions</w:t>
      </w:r>
    </w:p>
    <w:p>
      <w:pPr>
        <w:pStyle w:val="FirstParagraph"/>
      </w:pPr>
      <w:r>
        <w:t xml:space="preserve">To ensure high-accuracy calculations as per industry standards (Ecoinvent/DEFRA principles), the following emission factors (EFs) and assumptions were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Grid (China - Production)</w:t>
            </w:r>
          </w:p>
        </w:tc>
        <w:tc>
          <w:tcPr/>
          <w:p>
            <w:pPr>
              <w:pStyle w:val="Compact"/>
              <w:jc w:val="left"/>
            </w:pPr>
            <w:r>
              <w:t xml:space="preserve">0.556</w:t>
            </w:r>
          </w:p>
        </w:tc>
        <w:tc>
          <w:tcPr/>
          <w:p>
            <w:pPr>
              <w:pStyle w:val="Compact"/>
              <w:jc w:val="left"/>
            </w:pPr>
            <w:r>
              <w:t xml:space="preserve">kg CO2e/kWh</w:t>
            </w:r>
          </w:p>
        </w:tc>
        <w:tc>
          <w:tcPr/>
          <w:p>
            <w:pPr>
              <w:pStyle w:val="Compact"/>
              <w:jc w:val="left"/>
            </w:pPr>
            <w:r>
              <w:t xml:space="preserve">Climate Transparency Report 2020</w:t>
            </w:r>
          </w:p>
        </w:tc>
      </w:tr>
      <w:tr>
        <w:tc>
          <w:tcPr/>
          <w:p>
            <w:pPr>
              <w:pStyle w:val="Compact"/>
              <w:jc w:val="left"/>
            </w:pPr>
            <w:r>
              <w:t xml:space="preserve">Electricity Grid (Europe Average - Use Phase)</w:t>
            </w:r>
          </w:p>
        </w:tc>
        <w:tc>
          <w:tcPr/>
          <w:p>
            <w:pPr>
              <w:pStyle w:val="Compact"/>
              <w:jc w:val="left"/>
            </w:pPr>
            <w:r>
              <w:t xml:space="preserve">0.181</w:t>
            </w:r>
          </w:p>
        </w:tc>
        <w:tc>
          <w:tcPr/>
          <w:p>
            <w:pPr>
              <w:pStyle w:val="Compact"/>
              <w:jc w:val="left"/>
            </w:pPr>
            <w:r>
              <w:t xml:space="preserve">kg CO2e/kWh</w:t>
            </w:r>
          </w:p>
        </w:tc>
        <w:tc>
          <w:tcPr/>
          <w:p>
            <w:pPr>
              <w:pStyle w:val="Compact"/>
              <w:jc w:val="left"/>
            </w:pPr>
            <w:r>
              <w:t xml:space="preserve">PwC France, 2024 data</w:t>
            </w:r>
          </w:p>
        </w:tc>
      </w:tr>
      <w:tr>
        <w:tc>
          <w:tcPr/>
          <w:p>
            <w:pPr>
              <w:pStyle w:val="Compact"/>
              <w:jc w:val="left"/>
            </w:pPr>
            <w:r>
              <w:t xml:space="preserve">Road Freight (Average Truck/Lorry)</w:t>
            </w:r>
          </w:p>
        </w:tc>
        <w:tc>
          <w:tcPr/>
          <w:p>
            <w:pPr>
              <w:pStyle w:val="Compact"/>
              <w:jc w:val="left"/>
            </w:pPr>
            <w:r>
              <w:t xml:space="preserve">0.105</w:t>
            </w:r>
          </w:p>
        </w:tc>
        <w:tc>
          <w:tcPr/>
          <w:p>
            <w:pPr>
              <w:pStyle w:val="Compact"/>
              <w:jc w:val="left"/>
            </w:pPr>
            <w:r>
              <w:t xml:space="preserve">kg CO2e/tonne-km</w:t>
            </w:r>
          </w:p>
        </w:tc>
        <w:tc>
          <w:tcPr/>
          <w:p>
            <w:pPr>
              <w:pStyle w:val="Compact"/>
              <w:jc w:val="left"/>
            </w:pPr>
            <w:r>
              <w:t xml:space="preserve">Modern lorry/truck emissions</w:t>
            </w:r>
          </w:p>
        </w:tc>
      </w:tr>
      <w:tr>
        <w:tc>
          <w:tcPr/>
          <w:p>
            <w:pPr>
              <w:pStyle w:val="Compact"/>
              <w:jc w:val="left"/>
            </w:pPr>
            <w:r>
              <w:t xml:space="preserve">Parcel Delivery Van (Last-Mile)</w:t>
            </w:r>
          </w:p>
        </w:tc>
        <w:tc>
          <w:tcPr/>
          <w:p>
            <w:pPr>
              <w:pStyle w:val="Compact"/>
              <w:jc w:val="left"/>
            </w:pPr>
            <w:r>
              <w:t xml:space="preserve">0.24934</w:t>
            </w:r>
          </w:p>
        </w:tc>
        <w:tc>
          <w:tcPr/>
          <w:p>
            <w:pPr>
              <w:pStyle w:val="Compact"/>
              <w:jc w:val="left"/>
            </w:pPr>
            <w:r>
              <w:t xml:space="preserve">kg CO2e/km</w:t>
            </w:r>
          </w:p>
        </w:tc>
        <w:tc>
          <w:tcPr/>
          <w:p>
            <w:pPr>
              <w:pStyle w:val="Compact"/>
              <w:jc w:val="left"/>
            </w:pPr>
            <w:r>
              <w:t xml:space="preserve">UK BEIS/Defra conversion factors, Average van</w:t>
            </w:r>
          </w:p>
        </w:tc>
      </w:tr>
      <w:tr>
        <w:tc>
          <w:tcPr/>
          <w:p>
            <w:pPr>
              <w:pStyle w:val="Compact"/>
              <w:jc w:val="left"/>
            </w:pPr>
            <w:r>
              <w:t xml:space="preserve">EoL - Disposal (Mixed materials)</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Assumption (illustrative, highly variable by material/method)</w:t>
            </w:r>
          </w:p>
        </w:tc>
      </w:tr>
      <w:tr>
        <w:tc>
          <w:tcPr/>
          <w:p>
            <w:pPr>
              <w:pStyle w:val="Compact"/>
              <w:jc w:val="left"/>
            </w:pPr>
            <w:r>
              <w:t xml:space="preserve">EoL - Recycling Credit (Mixed materials)</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Assumption for avoided virgin material production (illustrative)</w:t>
            </w:r>
          </w:p>
        </w:tc>
      </w:tr>
    </w:tbl>
    <w:p>
      <w:pPr>
        <w:pStyle w:val="BodyText"/>
      </w:pPr>
      <w:r>
        <w:rPr>
          <w:bCs/>
          <w:b/>
        </w:rPr>
        <w:t xml:space="preserve">Assumptions for Placeholder Parameters:</w:t>
      </w:r>
    </w:p>
    <w:p>
      <w:pPr>
        <w:numPr>
          <w:ilvl w:val="0"/>
          <w:numId w:val="1010"/>
        </w:numPr>
        <w:pStyle w:val="Compact"/>
      </w:pPr>
      <w:r>
        <w:t xml:space="preserve">\'widthiwige\' (Transport Distance) is assumed to be 5000 km. This represents a substantial distance for either upstream material logistics or primary distribution of the finished product.</w:t>
      </w:r>
    </w:p>
    <w:p>
      <w:pPr>
        <w:numPr>
          <w:ilvl w:val="0"/>
          <w:numId w:val="1010"/>
        </w:numPr>
        <w:pStyle w:val="Compact"/>
      </w:pPr>
      <w:r>
        <w:t xml:space="preserve">\'Delivery Type\' (Last-Mile Delivery Channel) is assumed to be a parcel van operating over an average last-mile distance of 50 km per unit.</w:t>
      </w:r>
    </w:p>
    <w:p>
      <w:r>
        <w:pict>
          <v:rect style="width:0;height:1.5pt" o:hralign="center" o:hrstd="t" o:hr="t"/>
        </w:pict>
      </w:r>
    </w:p>
    <w:bookmarkEnd w:id="35"/>
    <w:bookmarkStart w:id="45" w:name="Xdd1c2ba429305467bad58a0828410d9d0fce25c"/>
    <w:p>
      <w:pPr>
        <w:pStyle w:val="Heading2"/>
      </w:pPr>
      <w:r>
        <w:t xml:space="preserve">4. Emissions Calculation (Activity * Emission Factor = CO2e)</w:t>
      </w:r>
    </w:p>
    <w:p>
      <w:pPr>
        <w:pStyle w:val="FirstParagraph"/>
      </w:pPr>
      <w:r>
        <w:t xml:space="preserve">The total Product Carbon Footprint (PCF) for \'zrielwvwzm\' is calculated per functional unit (1.0 unit) by summing emissions across all lifecycle stages.</w:t>
      </w:r>
    </w:p>
    <w:bookmarkStart w:id="38" w:name="scope-3-upstream-emissions"/>
    <w:p>
      <w:pPr>
        <w:pStyle w:val="Heading3"/>
      </w:pPr>
      <w:r>
        <w:t xml:space="preserve">4.1. Scope 3: Upstream Emissions</w:t>
      </w:r>
    </w:p>
    <w:bookmarkStart w:id="36" w:name="material-acquisition-processing"/>
    <w:p>
      <w:pPr>
        <w:pStyle w:val="Heading4"/>
      </w:pPr>
      <w:r>
        <w:t xml:space="preserve">4.1.1. Material Acquisition &amp; Processing</w:t>
      </w:r>
    </w:p>
    <w:p>
      <w:pPr>
        <w:pStyle w:val="FirstParagraph"/>
      </w:pPr>
      <w:r>
        <w:t xml:space="preserve">Based on the provided Detailed Bill of Materials (gjgwptno):</w:t>
      </w:r>
    </w:p>
    <w:p>
      <w:pPr>
        <w:numPr>
          <w:ilvl w:val="0"/>
          <w:numId w:val="1011"/>
        </w:numPr>
        <w:pStyle w:val="Compact"/>
      </w:pPr>
      <w:r>
        <w:t xml:space="preserve">Total Material Emissions: 64.0 kg CO2e</w:t>
      </w:r>
    </w:p>
    <w:bookmarkEnd w:id="36"/>
    <w:bookmarkStart w:id="37" w:name="upstream-transport-primary-distribution"/>
    <w:p>
      <w:pPr>
        <w:pStyle w:val="Heading4"/>
      </w:pPr>
      <w:r>
        <w:t xml:space="preserve">4.1.2. Upstream Transport (Primary Distribution)</w:t>
      </w:r>
    </w:p>
    <w:p>
      <w:pPr>
        <w:numPr>
          <w:ilvl w:val="0"/>
          <w:numId w:val="1012"/>
        </w:numPr>
        <w:pStyle w:val="Compact"/>
      </w:pPr>
      <w:r>
        <w:t xml:space="preserve">Product Weight for Transport (sum of BOM Qty): 17 kg (0.017 tonnes)</w:t>
      </w:r>
    </w:p>
    <w:p>
      <w:pPr>
        <w:numPr>
          <w:ilvl w:val="0"/>
          <w:numId w:val="1012"/>
        </w:numPr>
        <w:pStyle w:val="Compact"/>
      </w:pPr>
      <w:r>
        <w:t xml:space="preserve">Transport Distance (\'widthiwige\'): 5000 km</w:t>
      </w:r>
    </w:p>
    <w:p>
      <w:pPr>
        <w:numPr>
          <w:ilvl w:val="0"/>
          <w:numId w:val="1012"/>
        </w:numPr>
        <w:pStyle w:val="Compact"/>
      </w:pPr>
      <w:r>
        <w:t xml:space="preserve">Emission Factor (Road Freight): 0.105 kg CO2e/tonne-km</w:t>
      </w:r>
    </w:p>
    <w:p>
      <w:pPr>
        <w:numPr>
          <w:ilvl w:val="0"/>
          <w:numId w:val="1012"/>
        </w:numPr>
        <w:pStyle w:val="Compact"/>
      </w:pPr>
      <w:r>
        <w:t xml:space="preserve">Calculated Emissions: 0.017 tonnes * 5000 km * 0.105 kg CO2e/tonne-km =</w:t>
      </w:r>
      <w:r>
        <w:t xml:space="preserve"> </w:t>
      </w:r>
      <w:r>
        <w:rPr>
          <w:bCs/>
          <w:b/>
        </w:rPr>
        <w:t xml:space="preserve">8.93 kg CO2e</w:t>
      </w:r>
    </w:p>
    <w:bookmarkEnd w:id="37"/>
    <w:bookmarkEnd w:id="38"/>
    <w:bookmarkStart w:id="39" w:name="X31a83b4b70a317e445d6fef5bd812f4093a77d6"/>
    <w:p>
      <w:pPr>
        <w:pStyle w:val="Heading3"/>
      </w:pPr>
      <w:r>
        <w:t xml:space="preserve">4.2. Scope 2: Purchased Electricity (Manufacturing)</w:t>
      </w:r>
    </w:p>
    <w:p>
      <w:pPr>
        <w:numPr>
          <w:ilvl w:val="0"/>
          <w:numId w:val="1013"/>
        </w:numPr>
        <w:pStyle w:val="Compact"/>
      </w:pPr>
      <w:r>
        <w:t xml:space="preserve">Energy Intensity (production): 15 kWh/unit</w:t>
      </w:r>
    </w:p>
    <w:p>
      <w:pPr>
        <w:numPr>
          <w:ilvl w:val="0"/>
          <w:numId w:val="1013"/>
        </w:numPr>
        <w:pStyle w:val="Compact"/>
      </w:pPr>
      <w:r>
        <w:t xml:space="preserve">Renewable Energy Usage: 60%</w:t>
      </w:r>
    </w:p>
    <w:p>
      <w:pPr>
        <w:numPr>
          <w:ilvl w:val="0"/>
          <w:numId w:val="1013"/>
        </w:numPr>
        <w:pStyle w:val="Compact"/>
      </w:pPr>
      <w:r>
        <w:t xml:space="preserve">Non-Renewable Energy Consumption: 15 kWh/unit * (1 - 0.60) = 6 kWh/unit</w:t>
      </w:r>
    </w:p>
    <w:p>
      <w:pPr>
        <w:numPr>
          <w:ilvl w:val="0"/>
          <w:numId w:val="1013"/>
        </w:numPr>
        <w:pStyle w:val="Compact"/>
      </w:pPr>
      <w:r>
        <w:t xml:space="preserve">Electricity EF (China): 0.556 kg CO2e/kWh</w:t>
      </w:r>
    </w:p>
    <w:p>
      <w:pPr>
        <w:numPr>
          <w:ilvl w:val="0"/>
          <w:numId w:val="1013"/>
        </w:numPr>
        <w:pStyle w:val="Compact"/>
      </w:pPr>
      <w:r>
        <w:t xml:space="preserve">Calculated Emissions: 6 kWh/unit * 0.556 kg CO2e/kWh =</w:t>
      </w:r>
      <w:r>
        <w:t xml:space="preserve"> </w:t>
      </w:r>
      <w:r>
        <w:rPr>
          <w:bCs/>
          <w:b/>
        </w:rPr>
        <w:t xml:space="preserve">3.34 kg CO2e</w:t>
      </w:r>
    </w:p>
    <w:bookmarkEnd w:id="39"/>
    <w:bookmarkStart w:id="43" w:name="scope-3-downstream-emissions"/>
    <w:p>
      <w:pPr>
        <w:pStyle w:val="Heading3"/>
      </w:pPr>
      <w:r>
        <w:t xml:space="preserve">4.3. Scope 3: Downstream Emissions</w:t>
      </w:r>
    </w:p>
    <w:bookmarkStart w:id="40" w:name="downstream-transport-last-mile-delivery"/>
    <w:p>
      <w:pPr>
        <w:pStyle w:val="Heading4"/>
      </w:pPr>
      <w:r>
        <w:t xml:space="preserve">4.3.1. Downstream Transport (Last-Mile Delivery)</w:t>
      </w:r>
    </w:p>
    <w:p>
      <w:pPr>
        <w:numPr>
          <w:ilvl w:val="0"/>
          <w:numId w:val="1014"/>
        </w:numPr>
        <w:pStyle w:val="Compact"/>
      </w:pPr>
      <w:r>
        <w:t xml:space="preserve">Last-Mile Distance (assumed): 50 km</w:t>
      </w:r>
    </w:p>
    <w:p>
      <w:pPr>
        <w:numPr>
          <w:ilvl w:val="0"/>
          <w:numId w:val="1014"/>
        </w:numPr>
        <w:pStyle w:val="Compact"/>
      </w:pPr>
      <w:r>
        <w:t xml:space="preserve">Emission Factor (Parcel Van): 0.24934 kg CO2e/km</w:t>
      </w:r>
    </w:p>
    <w:p>
      <w:pPr>
        <w:numPr>
          <w:ilvl w:val="0"/>
          <w:numId w:val="1014"/>
        </w:numPr>
        <w:pStyle w:val="Compact"/>
      </w:pPr>
      <w:r>
        <w:t xml:space="preserve">Calculated Emissions: 50 km * 0.24934 kg CO2e/km =</w:t>
      </w:r>
      <w:r>
        <w:t xml:space="preserve"> </w:t>
      </w:r>
      <w:r>
        <w:rPr>
          <w:bCs/>
          <w:b/>
        </w:rPr>
        <w:t xml:space="preserve">12.47 kg CO2e</w:t>
      </w:r>
    </w:p>
    <w:bookmarkEnd w:id="40"/>
    <w:bookmarkStart w:id="41" w:name="use-phase"/>
    <w:p>
      <w:pPr>
        <w:pStyle w:val="Heading4"/>
      </w:pPr>
      <w:r>
        <w:t xml:space="preserve">4.3.2. Use Phase</w:t>
      </w:r>
    </w:p>
    <w:p>
      <w:pPr>
        <w:numPr>
          <w:ilvl w:val="0"/>
          <w:numId w:val="1015"/>
        </w:numPr>
        <w:pStyle w:val="Compact"/>
      </w:pPr>
      <w:r>
        <w:t xml:space="preserve">Product Lifespan: 5 years</w:t>
      </w:r>
    </w:p>
    <w:p>
      <w:pPr>
        <w:numPr>
          <w:ilvl w:val="0"/>
          <w:numId w:val="1015"/>
        </w:numPr>
        <w:pStyle w:val="Compact"/>
      </w:pPr>
      <w:r>
        <w:t xml:space="preserve">Energy Consumption in Use: 20 kWh/year</w:t>
      </w:r>
    </w:p>
    <w:p>
      <w:pPr>
        <w:numPr>
          <w:ilvl w:val="0"/>
          <w:numId w:val="1015"/>
        </w:numPr>
        <w:pStyle w:val="Compact"/>
      </w:pPr>
      <w:r>
        <w:t xml:space="preserve">Total Energy in Use: 20 kWh/year * 5 years = 100 kWh</w:t>
      </w:r>
    </w:p>
    <w:p>
      <w:pPr>
        <w:numPr>
          <w:ilvl w:val="0"/>
          <w:numId w:val="1015"/>
        </w:numPr>
        <w:pStyle w:val="Compact"/>
      </w:pPr>
      <w:r>
        <w:t xml:space="preserve">Electricity EF (Europe): 0.181 kg CO2e/kWh</w:t>
      </w:r>
    </w:p>
    <w:p>
      <w:pPr>
        <w:numPr>
          <w:ilvl w:val="0"/>
          <w:numId w:val="1015"/>
        </w:numPr>
        <w:pStyle w:val="Compact"/>
      </w:pPr>
      <w:r>
        <w:t xml:space="preserve">Calculated Emissions: 100 kWh * 0.181 kg CO2e/kWh =</w:t>
      </w:r>
      <w:r>
        <w:t xml:space="preserve"> </w:t>
      </w:r>
      <w:r>
        <w:rPr>
          <w:bCs/>
          <w:b/>
        </w:rPr>
        <w:t xml:space="preserve">18.10 kg CO2e</w:t>
      </w:r>
    </w:p>
    <w:bookmarkEnd w:id="41"/>
    <w:bookmarkStart w:id="42" w:name="end-of-life-eol"/>
    <w:p>
      <w:pPr>
        <w:pStyle w:val="Heading4"/>
      </w:pPr>
      <w:r>
        <w:t xml:space="preserve">4.3.3. End-of-Life (EoL)</w:t>
      </w:r>
    </w:p>
    <w:p>
      <w:pPr>
        <w:numPr>
          <w:ilvl w:val="0"/>
          <w:numId w:val="1016"/>
        </w:numPr>
        <w:pStyle w:val="Compact"/>
      </w:pPr>
      <w:r>
        <w:t xml:space="preserve">Total Product Weight: 17 kg</w:t>
      </w:r>
    </w:p>
    <w:p>
      <w:pPr>
        <w:numPr>
          <w:ilvl w:val="0"/>
          <w:numId w:val="1016"/>
        </w:numPr>
        <w:pStyle w:val="Compact"/>
      </w:pPr>
      <w:r>
        <w:t xml:space="preserve">Recyclability Percentage: 80%</w:t>
      </w:r>
    </w:p>
    <w:p>
      <w:pPr>
        <w:numPr>
          <w:ilvl w:val="0"/>
          <w:numId w:val="1016"/>
        </w:numPr>
        <w:pStyle w:val="Compact"/>
      </w:pPr>
      <w:r>
        <w:t xml:space="preserve">Disposed Portion: 17 kg * 0.20 = 3.4 kg</w:t>
      </w:r>
    </w:p>
    <w:p>
      <w:pPr>
        <w:numPr>
          <w:ilvl w:val="0"/>
          <w:numId w:val="1016"/>
        </w:numPr>
        <w:pStyle w:val="Compact"/>
      </w:pPr>
      <w:r>
        <w:t xml:space="preserve">Recycled Portion: 17 kg * 0.80 = 13.6 kg</w:t>
      </w:r>
    </w:p>
    <w:p>
      <w:pPr>
        <w:numPr>
          <w:ilvl w:val="0"/>
          <w:numId w:val="1016"/>
        </w:numPr>
        <w:pStyle w:val="Compact"/>
      </w:pPr>
      <w:r>
        <w:t xml:space="preserve">Emissions from Disposal (assumed): 3.4 kg * 1.0 kg CO2e/kg = 3.4 kg CO2e</w:t>
      </w:r>
    </w:p>
    <w:p>
      <w:pPr>
        <w:numPr>
          <w:ilvl w:val="0"/>
          <w:numId w:val="1016"/>
        </w:numPr>
        <w:pStyle w:val="Compact"/>
      </w:pPr>
      <w:r>
        <w:t xml:space="preserve">Emissions from Recycling (credit, assumed): 13.6 kg * -0.5 kg CO2e/kg = -6.8 kg CO2e</w:t>
      </w:r>
    </w:p>
    <w:p>
      <w:pPr>
        <w:numPr>
          <w:ilvl w:val="0"/>
          <w:numId w:val="1016"/>
        </w:numPr>
        <w:pStyle w:val="Compact"/>
      </w:pPr>
      <w:r>
        <w:t xml:space="preserve">Net EoL Emissions: 3.4 kg CO2e - 6.8 kg CO2e =</w:t>
      </w:r>
      <w:r>
        <w:t xml:space="preserve"> </w:t>
      </w:r>
      <w:r>
        <w:rPr>
          <w:bCs/>
          <w:b/>
        </w:rPr>
        <w:t xml:space="preserve">-3.40 kg CO2e</w:t>
      </w:r>
    </w:p>
    <w:bookmarkEnd w:id="42"/>
    <w:bookmarkEnd w:id="43"/>
    <w:bookmarkStart w:id="44"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64.00</w:t>
            </w:r>
          </w:p>
        </w:tc>
      </w:tr>
      <w:tr>
        <w:tc>
          <w:tcPr/>
          <w:p>
            <w:pPr>
              <w:pStyle w:val="Compact"/>
              <w:jc w:val="left"/>
            </w:pPr>
            <w:r>
              <w:t xml:space="preserve">Upstream Transport (Primary Distribution)</w:t>
            </w:r>
          </w:p>
        </w:tc>
        <w:tc>
          <w:tcPr/>
          <w:p>
            <w:pPr>
              <w:pStyle w:val="Compact"/>
              <w:jc w:val="left"/>
            </w:pPr>
            <w:r>
              <w:t xml:space="preserve">Scope 3 (Upstream)</w:t>
            </w:r>
          </w:p>
        </w:tc>
        <w:tc>
          <w:tcPr/>
          <w:p>
            <w:pPr>
              <w:pStyle w:val="Compact"/>
              <w:jc w:val="left"/>
            </w:pPr>
            <w:r>
              <w:t xml:space="preserve">8.93</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3.34</w:t>
            </w:r>
          </w:p>
        </w:tc>
      </w:tr>
      <w:tr>
        <w:tc>
          <w:tcPr/>
          <w:p>
            <w:pPr>
              <w:pStyle w:val="Compact"/>
              <w:jc w:val="left"/>
            </w:pPr>
            <w:r>
              <w:t xml:space="preserve">Downstream Transport (Last-Mile Delivery)</w:t>
            </w:r>
          </w:p>
        </w:tc>
        <w:tc>
          <w:tcPr/>
          <w:p>
            <w:pPr>
              <w:pStyle w:val="Compact"/>
              <w:jc w:val="left"/>
            </w:pPr>
            <w:r>
              <w:t xml:space="preserve">Scope 3 (Downstream)</w:t>
            </w:r>
          </w:p>
        </w:tc>
        <w:tc>
          <w:tcPr/>
          <w:p>
            <w:pPr>
              <w:pStyle w:val="Compact"/>
              <w:jc w:val="left"/>
            </w:pPr>
            <w:r>
              <w:t xml:space="preserve">12.47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18.10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-3.40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103.43</w:t>
            </w:r>
          </w:p>
        </w:tc>
      </w:tr>
    </w:tbl>
    <w:p>
      <w:pPr>
        <w:pStyle w:val="BodyText"/>
      </w:pPr>
      <w:r>
        <w:t xml:space="preserve">The total Product Carbon Footprint for one functional unit of \'zrielwvwzm\' is</w:t>
      </w:r>
      <w:r>
        <w:t xml:space="preserve"> </w:t>
      </w:r>
      <w:r>
        <w:rPr>
          <w:bCs/>
          <w:b/>
        </w:rPr>
        <w:t xml:space="preserve">103.43 kg CO2e</w:t>
      </w:r>
      <w:r>
        <w:t xml:space="preserve">.</w:t>
      </w:r>
    </w:p>
    <w:p>
      <w:r>
        <w:pict>
          <v:rect style="width:0;height:1.5pt" o:hralign="center" o:hrstd="t" o:hr="t"/>
        </w:pict>
      </w:r>
    </w:p>
    <w:bookmarkEnd w:id="44"/>
    <w:bookmarkEnd w:id="45"/>
    <w:bookmarkStart w:id="51"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primary emission hotspots for \'zrielwvwzm\' are identified as:</w:t>
      </w:r>
    </w:p>
    <w:p>
      <w:pPr>
        <w:numPr>
          <w:ilvl w:val="0"/>
          <w:numId w:val="1017"/>
        </w:numPr>
        <w:pStyle w:val="Compact"/>
      </w:pPr>
      <w:r>
        <w:rPr>
          <w:bCs/>
          <w:b/>
        </w:rPr>
        <w:t xml:space="preserve">Material Acquisition &amp; Processing (64.00 kg CO2e):</w:t>
      </w:r>
      <w:r>
        <w:t xml:space="preserve"> </w:t>
      </w:r>
      <w:r>
        <w:t xml:space="preserve">This stage contributes the largest share of the PCF, highlighting the importance of material selection, design for less material use, and sourcing from lower-impact suppliers.</w:t>
      </w:r>
    </w:p>
    <w:p>
      <w:pPr>
        <w:numPr>
          <w:ilvl w:val="0"/>
          <w:numId w:val="1017"/>
        </w:numPr>
        <w:pStyle w:val="Compact"/>
      </w:pPr>
      <w:r>
        <w:rPr>
          <w:bCs/>
          <w:b/>
        </w:rPr>
        <w:t xml:space="preserve">Use Phase (18.10 kg CO2e):</w:t>
      </w:r>
      <w:r>
        <w:t xml:space="preserve"> </w:t>
      </w:r>
      <w:r>
        <w:t xml:space="preserve">The energy consumption during the product\'s lifespan is a significant contributor, suggesting opportunities for energy efficiency improvements in product design or promoting renewable energy adoption by end-users.</w:t>
      </w:r>
    </w:p>
    <w:p>
      <w:pPr>
        <w:numPr>
          <w:ilvl w:val="0"/>
          <w:numId w:val="1017"/>
        </w:numPr>
        <w:pStyle w:val="Compact"/>
      </w:pPr>
      <w:r>
        <w:rPr>
          <w:bCs/>
          <w:b/>
        </w:rPr>
        <w:t xml:space="preserve">Downstream Transport (12.47 kg CO2e):</w:t>
      </w:r>
      <w:r>
        <w:t xml:space="preserve"> </w:t>
      </w:r>
      <w:r>
        <w:t xml:space="preserve">Last-mile delivery represents a notable impact, emphasizing the need for optimized logistics, use of lower-emission delivery vehicles, or promoting local distribution.</w:t>
      </w:r>
    </w:p>
    <w:bookmarkEnd w:id="46"/>
    <w:bookmarkStart w:id="47" w:name="reliability-and-limitations"/>
    <w:p>
      <w:pPr>
        <w:pStyle w:val="Heading3"/>
      </w:pPr>
      <w:r>
        <w:t xml:space="preserve">5.2. Reliability and Limitations</w:t>
      </w:r>
    </w:p>
    <w:p>
      <w:pPr>
        <w:pStyle w:val="FirstParagraph"/>
      </w:pPr>
      <w:r>
        <w:t xml:space="preserve">The reliability of this PCF analysis is contingent upon the accuracy of the provided data and the assumed generic emission factors for transport and end-of-life. Specific data for each transport leg (mode, distance, load factor), detailed energy mix for manufacturing processes beyond electricity, and precise material-specific end-of-life factors would further enhance accuracy. The \'Total Carbon\' values from the BOM were taken as given, representing pre-calculated cradle-to-gate impacts for the materials.</w:t>
      </w:r>
    </w:p>
    <w:bookmarkEnd w:id="47"/>
    <w:bookmarkStart w:id="48" w:name="X25ab271e0b973df754491ec5ddcb2d245f47eaf"/>
    <w:p>
      <w:pPr>
        <w:pStyle w:val="Heading3"/>
      </w:pPr>
      <w:r>
        <w:t xml:space="preserve">5.3. GHG Protocol Adherence and 2026 LSR Update</w:t>
      </w:r>
    </w:p>
    <w:p>
      <w:pPr>
        <w:numPr>
          <w:ilvl w:val="0"/>
          <w:numId w:val="1018"/>
        </w:numPr>
        <w:pStyle w:val="Compact"/>
      </w:pPr>
      <w:r>
        <w:rPr>
          <w:bCs/>
          <w:b/>
        </w:rPr>
        <w:t xml:space="preserve">GHG Protocol:</w:t>
      </w:r>
      <w:r>
        <w:t xml:space="preserve"> </w:t>
      </w:r>
      <w:r>
        <w:t xml:space="preserve">Emissions have been categorized rigorously into Scope 1, Scope 2, and Scope 3, ensuring comprehensive coverage of direct and indirect emissions across the value chain.</w:t>
      </w:r>
    </w:p>
    <w:p>
      <w:pPr>
        <w:numPr>
          <w:ilvl w:val="0"/>
          <w:numId w:val="1018"/>
        </w:numPr>
        <w:pStyle w:val="Compact"/>
      </w:pPr>
      <w:r>
        <w:rPr>
          <w:bCs/>
          <w:b/>
        </w:rPr>
        <w:t xml:space="preserve">2026 LSR Update:</w:t>
      </w:r>
      <w:r>
        <w:t xml:space="preserve"> </w:t>
      </w:r>
      <w:r>
        <w:t xml:space="preserve">The Land Sector and Removals (LSR) Standard is acknowledged. While direct land-use change data specific to \'eiumwqklyy\'s operations or the product\'s lifecycle was not provided, the principles of assessing land-related impacts and potential carbon removals are integrated conceptually within the comprehensive lifecycle approach, particularly when considering supply chain impacts and biogenic carbon flows.</w:t>
      </w:r>
    </w:p>
    <w:p>
      <w:pPr>
        <w:numPr>
          <w:ilvl w:val="0"/>
          <w:numId w:val="1018"/>
        </w:numPr>
        <w:pStyle w:val="Compact"/>
      </w:pPr>
      <w:r>
        <w:rPr>
          <w:bCs/>
          <w:b/>
        </w:rPr>
        <w:t xml:space="preserve">Scope 3 Compliance:</w:t>
      </w:r>
      <w:r>
        <w:t xml:space="preserve"> </w:t>
      </w:r>
      <w:r>
        <w:t xml:space="preserve">This analysis aimed for robust Scope 3 reporting, covering all significant upstream (materials, upstream transport) and downstream (downstream transport, use phase, end-of-life) categories to meet or exceed the 95% coverage requirement for 2026.</w:t>
      </w:r>
    </w:p>
    <w:bookmarkEnd w:id="48"/>
    <w:bookmarkStart w:id="50" w:name="recommendations"/>
    <w:p>
      <w:pPr>
        <w:pStyle w:val="Heading3"/>
      </w:pPr>
      <w:r>
        <w:t xml:space="preserve">5.4. Recommendations</w:t>
      </w:r>
    </w:p>
    <w:p>
      <w:pPr>
        <w:numPr>
          <w:ilvl w:val="0"/>
          <w:numId w:val="1019"/>
        </w:numPr>
        <w:pStyle w:val="Compact"/>
      </w:pPr>
      <w:r>
        <w:rPr>
          <w:bCs/>
          <w:b/>
        </w:rPr>
        <w:t xml:space="preserve">Material Optimization:</w:t>
      </w:r>
      <w:r>
        <w:t xml:space="preserve"> </w:t>
      </w:r>
      <w:r>
        <w:t xml:space="preserve">Explore alternative, lower-carbon materials or reduce material quantities through design optimization. Engage with suppliers to obtain primary data on material carbon footprints.</w:t>
      </w:r>
    </w:p>
    <w:p>
      <w:pPr>
        <w:numPr>
          <w:ilvl w:val="0"/>
          <w:numId w:val="1019"/>
        </w:numPr>
        <w:pStyle w:val="Compact"/>
      </w:pPr>
      <w:r>
        <w:rPr>
          <w:bCs/>
          <w:b/>
        </w:rPr>
        <w:t xml:space="preserve">Energy Efficiency in Use:</w:t>
      </w:r>
      <w:r>
        <w:t xml:space="preserve"> </w:t>
      </w:r>
      <w:r>
        <w:t xml:space="preserve">Invest in product design improvements to minimize energy consumption during the use phase. Provide users with guidance on energy-efficient operation.</w:t>
      </w:r>
    </w:p>
    <w:p>
      <w:pPr>
        <w:numPr>
          <w:ilvl w:val="0"/>
          <w:numId w:val="1019"/>
        </w:numPr>
        <w:pStyle w:val="Compact"/>
      </w:pPr>
      <w:r>
        <w:rPr>
          <w:bCs/>
          <w:b/>
        </w:rPr>
        <w:t xml:space="preserve">Logistics Optimization:</w:t>
      </w:r>
      <w:r>
        <w:t xml:space="preserve"> </w:t>
      </w:r>
      <w:r>
        <w:t xml:space="preserve">Investigate opportunities to optimize transport routes, switch to lower-emission transport modes (e.g., rail, sea where feasible), and collaborate with logistics providers offering green delivery solutions.</w:t>
      </w:r>
    </w:p>
    <w:p>
      <w:pPr>
        <w:numPr>
          <w:ilvl w:val="0"/>
          <w:numId w:val="1019"/>
        </w:numPr>
        <w:pStyle w:val="Compact"/>
      </w:pPr>
      <w:r>
        <w:rPr>
          <w:bCs/>
          <w:b/>
        </w:rPr>
        <w:t xml:space="preserve">Circular Economy Initiatives:</w:t>
      </w:r>
      <w:r>
        <w:t xml:space="preserve"> </w:t>
      </w:r>
      <w:r>
        <w:t xml:space="preserve">Enhance existing take-back programs and explore innovative recycling technologies to further increase the recyclability percentage and maximize avoided emissions.</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zrielwvwzm</dc:title>
  <dc:creator/>
  <dc:description>Detailed Product Carbon Footprint (PCF) analysis report for product zrielwvwzm by eiumwqklyy, following GHG Protocol standards and 2026 LSR Update.</dc:description>
  <dc:language>en</dc:language>
  <cp:keywords/>
  <dcterms:created xsi:type="dcterms:W3CDTF">2026-07-15T07:07:35Z</dcterms:created>
  <dcterms:modified xsi:type="dcterms:W3CDTF">2026-07-15T07:07:35Z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