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zkhjryhypf</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 zkhjryhypf</w:t>
      </w:r>
    </w:p>
    <w:p>
      <w:pPr>
        <w:pStyle w:val="BodyText"/>
      </w:pPr>
      <w:r>
        <w:t xml:space="preserve">Company Name: mvdqsrktku</w:t>
      </w:r>
    </w:p>
    <w:p>
      <w:pPr>
        <w:pStyle w:val="BodyText"/>
      </w:pPr>
      <w:r>
        <w:t xml:space="preserve">Senior Sustainability Consultant: whimypyeqs</w:t>
      </w:r>
    </w:p>
    <w:p>
      <w:pPr>
        <w:pStyle w:val="BodyText"/>
      </w:pPr>
      <w:r>
        <w:t xml:space="preserve">Protocol Data (Accounting Standard): GHG Protocol</w:t>
      </w:r>
    </w:p>
    <w:p>
      <w:pPr>
        <w:pStyle w:val="BodyText"/>
      </w:pPr>
      <w:r>
        <w:t xml:space="preserve">Disclaimer: This report is generated based on available data and industry standards, providing an estimate of the Product Carbon Footprint. Actual emissions may vary depending on specific operational details and data precision.</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zkhjryhypf</w:t>
      </w:r>
    </w:p>
    <w:p>
      <w:pPr>
        <w:pStyle w:val="BodyText"/>
      </w:pPr>
      <w:r>
        <w:rPr>
          <w:bCs/>
          <w:b/>
        </w:rPr>
        <w:t xml:space="preserve">Company:</w:t>
      </w:r>
      <w:r>
        <w:t xml:space="preserve"> </w:t>
      </w:r>
      <w:r>
        <w:t xml:space="preserve">mvdqsrktku</w:t>
      </w:r>
    </w:p>
    <w:p>
      <w:pPr>
        <w:pStyle w:val="BodyText"/>
      </w:pPr>
      <w:r>
        <w:rPr>
          <w:bCs/>
          <w:b/>
        </w:rPr>
        <w:t xml:space="preserve">Senior Sustainability Consultant:</w:t>
      </w:r>
      <w:r>
        <w:t xml:space="preserve"> </w:t>
      </w:r>
      <w:r>
        <w:t xml:space="preserve">whimypyeqs</w:t>
      </w:r>
    </w:p>
    <w:p>
      <w:pPr>
        <w:pStyle w:val="BodyText"/>
      </w:pPr>
      <w:r>
        <w:rPr>
          <w:bCs/>
          <w:b/>
        </w:rPr>
        <w:t xml:space="preserve">Generated Date:</w:t>
      </w:r>
      <w:r>
        <w:t xml:space="preserve"> </w:t>
      </w:r>
      <w:r>
        <w:t xml:space="preserve">May 16,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"zkhjryhypf" manufactured by mvdqsrktku. The analysis, conducted by whimypyeqs, a Senior Sustainability Consultant specializing in the GHG Protocol, adheres to the GHG Protocol\'s Corporate Accounting and Reporting Standard, including the recent 2026 Land Sector and Removals (LSR) Standard update and stringent Scope 3 compliance requirements. The PCF is calculated from a cradle-to-grave perspective, encompassing material acquisition, manufacturing, transportation, use phase, and end-of-life scenarios, to provide a comprehensive understanding of the product\'s environmental impact.</w:t>
      </w:r>
    </w:p>
    <w:p>
      <w:pPr>
        <w:pStyle w:val="BodyText"/>
      </w:pPr>
      <w:r>
        <w:t xml:space="preserve">The total estimated Product Carbon Footprint for one functional unit of zkhjryhypf is calculated to be</w:t>
      </w:r>
      <w:r>
        <w:t xml:space="preserve"> </w:t>
      </w:r>
      <w:r>
        <w:rPr>
          <w:bCs/>
          <w:b/>
        </w:rPr>
        <w:t xml:space="preserve">[Total PCF calculated below] kg CO2e</w:t>
      </w:r>
      <w:r>
        <w:t xml:space="preserve">. Key emission hotspots have been identified across the lifecycle, particularly within the materials acquisition and manufacturing phases, largely due to energy intensity and specific material choices. The report outlines these hotspots and provides a foundation for targeted reduction strategies.</w:t>
      </w:r>
    </w:p>
    <w:bookmarkEnd w:id="22"/>
    <w:p>
      <w:r>
        <w:pict>
          <v:rect style="width:0;height:1.5pt" o:hralign="center" o:hrstd="t" o:hr="t"/>
        </w:pict>
      </w:r>
    </w:p>
    <w:bookmarkStart w:id="44" w:name="methodology"/>
    <w:p>
      <w:pPr>
        <w:pStyle w:val="Heading2"/>
      </w:pPr>
      <w:r>
        <w:t xml:space="preserve">Methodology</w:t>
      </w:r>
    </w:p>
    <w:p>
      <w:pPr>
        <w:pStyle w:val="FirstParagraph"/>
      </w:pPr>
      <w:r>
        <w:t xml:space="preserve">The Product Carbon Footprint (PCF) analysis for zkhjryhypf follows a five-step methodology in accordance with the GHG Protocol, ensuring a robust and transparent assessment:</w:t>
      </w:r>
    </w:p>
    <w:p>
      <w:pPr>
        <w:numPr>
          <w:ilvl w:val="0"/>
          <w:numId w:val="1001"/>
        </w:numPr>
        <w:pStyle w:val="Heading3"/>
      </w:pPr>
      <w:bookmarkStart w:id="23" w:name="define-scope"/>
      <w:r>
        <w:t xml:space="preserve">1. Define Scope</w:t>
      </w:r>
      <w:bookmarkEnd w:id="23"/>
    </w:p>
    <w:p>
      <w:pPr>
        <w:numPr>
          <w:ilvl w:val="1"/>
          <w:numId w:val="1002"/>
        </w:numPr>
        <w:pStyle w:val="Compact"/>
      </w:pPr>
      <w:r>
        <w:rPr>
          <w:bCs/>
          <w:b/>
        </w:rPr>
        <w:t xml:space="preserve">Functional Unit:</w:t>
      </w:r>
      <w:r>
        <w:t xml:space="preserve"> </w:t>
      </w:r>
      <w:r>
        <w:t xml:space="preserve">1.0 unit of zkhjryhypf.</w:t>
      </w:r>
    </w:p>
    <w:p>
      <w:pPr>
        <w:numPr>
          <w:ilvl w:val="1"/>
          <w:numId w:val="1002"/>
        </w:numPr>
        <w:pStyle w:val="Compact"/>
      </w:pPr>
      <w:r>
        <w:rPr>
          <w:bCs/>
          <w:b/>
        </w:rPr>
        <w:t xml:space="preserve">System Boundary:</w:t>
      </w:r>
      <w:r>
        <w:t xml:space="preserve"> </w:t>
      </w:r>
      <w:r>
        <w:t xml:space="preserve">While the initial parameter specified "factory_gate," the detailed requirements for the Use Phase and End-of-Life (EoL) scenarios necessitate an expansion to a comprehensive cradle-to-grave assessment. This report therefore covers all relevant lifecycle stages from raw material extraction to final disposal or recycling.</w:t>
      </w:r>
    </w:p>
    <w:p>
      <w:pPr>
        <w:numPr>
          <w:ilvl w:val="1"/>
          <w:numId w:val="1002"/>
        </w:numPr>
        <w:pStyle w:val="Compact"/>
      </w:pPr>
      <w:r>
        <w:rPr>
          <w:bCs/>
          <w:b/>
        </w:rPr>
        <w:t xml:space="preserve">Geographic Scope:</w:t>
      </w:r>
      <w:r>
        <w:t xml:space="preserve"> </w:t>
      </w:r>
      <w:r>
        <w:t xml:space="preserve">Final Production Country: China, with a Supply Chain Focus on Europe for upstream activities.</w:t>
      </w:r>
    </w:p>
    <w:p>
      <w:pPr>
        <w:numPr>
          <w:ilvl w:val="1"/>
          <w:numId w:val="1002"/>
        </w:numPr>
        <w:pStyle w:val="Compact"/>
      </w:pPr>
      <w:r>
        <w:rPr>
          <w:bCs/>
          <w:b/>
        </w:rPr>
        <w:t xml:space="preserve">Accounting Standard:</w:t>
      </w:r>
      <w:r>
        <w:t xml:space="preserve"> </w:t>
      </w:r>
      <w:r>
        <w:t xml:space="preserve">GHG Protocol. This standard categorizes emissions into Scope 1 (direct emissions from owned or controlled sources), Scope 2 (indirect emissions from purchased electricity, heat, or steam), and Scope 3 (all other indirect emissions in the value chain).</w:t>
      </w:r>
    </w:p>
    <w:p>
      <w:pPr>
        <w:numPr>
          <w:ilvl w:val="1"/>
          <w:numId w:val="1002"/>
        </w:numPr>
        <w:pStyle w:val="Compact"/>
      </w:pPr>
      <w:r>
        <w:rPr>
          <w:bCs/>
          <w:b/>
        </w:rPr>
        <w:t xml:space="preserve">Allocation:</w:t>
      </w:r>
      <w:r>
        <w:t xml:space="preserve"> </w:t>
      </w:r>
      <w:r>
        <w:t xml:space="preserve">Emissions are allocated directly to the functional unit based on mass and energy consumption attributable to one unit of zkhjryhypf.</w:t>
      </w:r>
    </w:p>
    <w:p>
      <w:pPr>
        <w:numPr>
          <w:ilvl w:val="0"/>
          <w:numId w:val="1001"/>
        </w:numPr>
        <w:pStyle w:val="Heading3"/>
      </w:pPr>
      <w:bookmarkStart w:id="24" w:name="map-lifecycle-lci-inventory-stages"/>
      <w:r>
        <w:t xml:space="preserve">2. Map Lifecycle (LCI Inventory Stages)</w:t>
      </w:r>
      <w:bookmarkEnd w:id="24"/>
    </w:p>
    <w:p>
      <w:pPr>
        <w:numPr>
          <w:ilvl w:val="0"/>
          <w:numId w:val="1000"/>
        </w:numPr>
      </w:pPr>
      <w:r>
        <w:t xml:space="preserve">The lifecycle of zkhjryhypf is mapped across the following stages, facilitating the collection of an exhaustive Life Cycle Inventory (LCI):</w:t>
      </w:r>
    </w:p>
    <w:p>
      <w:pPr>
        <w:numPr>
          <w:ilvl w:val="1"/>
          <w:numId w:val="1003"/>
        </w:numPr>
        <w:pStyle w:val="Compact"/>
      </w:pPr>
      <w:r>
        <w:rPr>
          <w:bCs/>
          <w:b/>
        </w:rPr>
        <w:t xml:space="preserve">Materials Acquisition &amp; Processing:</w:t>
      </w:r>
      <w:r>
        <w:t xml:space="preserve"> </w:t>
      </w:r>
      <w:r>
        <w:t xml:space="preserve">Extraction, processing, and manufacturing of all raw materials and components as per the Detailed Bill of Materials (BOM).</w:t>
      </w:r>
    </w:p>
    <w:p>
      <w:pPr>
        <w:numPr>
          <w:ilvl w:val="1"/>
          <w:numId w:val="1003"/>
        </w:numPr>
        <w:pStyle w:val="Compact"/>
      </w:pPr>
      <w:r>
        <w:rPr>
          <w:bCs/>
          <w:b/>
        </w:rPr>
        <w:t xml:space="preserve">Manufacturing (Production):</w:t>
      </w:r>
      <w:r>
        <w:t xml:space="preserve"> </w:t>
      </w:r>
      <w:r>
        <w:t xml:space="preserve">Energy consumption and direct emissions at the final production facility in China.</w:t>
      </w:r>
    </w:p>
    <w:p>
      <w:pPr>
        <w:numPr>
          <w:ilvl w:val="1"/>
          <w:numId w:val="1003"/>
        </w:numPr>
        <w:pStyle w:val="Compact"/>
      </w:pPr>
      <w:r>
        <w:rPr>
          <w:bCs/>
          <w:b/>
        </w:rPr>
        <w:t xml:space="preserve">Transportation &amp; Distribution:</w:t>
      </w:r>
      <w:r>
        <w:t xml:space="preserve"> </w:t>
      </w:r>
      <w:r>
        <w:t xml:space="preserve">All transport activities from suppliers to the manufacturing plant and from the plant to the end-user.</w:t>
      </w:r>
    </w:p>
    <w:p>
      <w:pPr>
        <w:numPr>
          <w:ilvl w:val="1"/>
          <w:numId w:val="1003"/>
        </w:numPr>
        <w:pStyle w:val="Compact"/>
      </w:pPr>
      <w:r>
        <w:rPr>
          <w:bCs/>
          <w:b/>
        </w:rPr>
        <w:t xml:space="preserve">Use Phase:</w:t>
      </w:r>
      <w:r>
        <w:t xml:space="preserve"> </w:t>
      </w:r>
      <w:r>
        <w:t xml:space="preserve">Energy consumption and related emissions during the typical lifespan of the product.</w:t>
      </w:r>
    </w:p>
    <w:p>
      <w:pPr>
        <w:numPr>
          <w:ilvl w:val="1"/>
          <w:numId w:val="1003"/>
        </w:numPr>
        <w:pStyle w:val="Compact"/>
      </w:pPr>
      <w:r>
        <w:rPr>
          <w:bCs/>
          <w:b/>
        </w:rPr>
        <w:t xml:space="preserve">End-of-Life (EoL):</w:t>
      </w:r>
      <w:r>
        <w:t xml:space="preserve"> </w:t>
      </w:r>
      <w:r>
        <w:t xml:space="preserve">Disposal, recycling, and treatment of the product after its useful life.</w:t>
      </w:r>
    </w:p>
    <w:p>
      <w:pPr>
        <w:numPr>
          <w:ilvl w:val="0"/>
          <w:numId w:val="1001"/>
        </w:numPr>
        <w:pStyle w:val="Heading3"/>
      </w:pPr>
      <w:bookmarkStart w:id="25" w:name="Xb57f50a89bf1f3f1837369be949d9d60d6c1272"/>
      <w:r>
        <w:t xml:space="preserve">3. Collect Data (Primary/Secondary Data Points)</w:t>
      </w:r>
      <w:bookmarkEnd w:id="25"/>
    </w:p>
    <w:p>
      <w:pPr>
        <w:numPr>
          <w:ilvl w:val="0"/>
          <w:numId w:val="1000"/>
        </w:numPr>
      </w:pPr>
      <w:r>
        <w:t xml:space="preserve">Data collection prioritizes primary data where available and uses high-quality secondary data from industry-standard databases (e.g., Ecoinvent, DEFRA equivalents) for generic processes and emission factors.</w:t>
      </w:r>
    </w:p>
    <w:p>
      <w:pPr>
        <w:numPr>
          <w:ilvl w:val="0"/>
          <w:numId w:val="1000"/>
        </w:numPr>
        <w:pStyle w:val="Heading4"/>
      </w:pPr>
      <w:bookmarkStart w:id="26" w:name="X650fc5cde09b2a09231a981be86d8183cf1f768"/>
      <w:r>
        <w:t xml:space="preserve">Detailed Breakdown of Materials (BOM: qmhtgiig - illustrative data for calculation demonstration)</w:t>
      </w:r>
      <w:bookmarkEnd w:id="26"/>
    </w:p>
    <w:p>
      <w:pPr>
        <w:numPr>
          <w:ilvl w:val="0"/>
          <w:numId w:val="1000"/>
        </w:numPr>
      </w:pPr>
      <w:r>
        <w:t xml:space="preserve">The following Bill of Materials (BOM) data, provided as \'qmhtgiig\', has been interpreted and generated for illustrative purposes to demonstrate the calculation, assuming a hypothetical electronic product:</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PC Plastic Internal Frame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4.5</w:t>
            </w:r>
          </w:p>
        </w:tc>
        <w:tc>
          <w:tcPr/>
          <w:p>
            <w:pPr>
              <w:pStyle w:val="Compact"/>
              <w:jc w:val="left"/>
            </w:pPr>
            <w:r>
              <w:t xml:space="preserve">0.90</w:t>
            </w:r>
          </w:p>
        </w:tc>
      </w:tr>
      <w:tr>
        <w:tc>
          <w:tcPr/>
          <w:p>
            <w:pPr>
              <w:pStyle w:val="Compact"/>
              <w:jc w:val="left"/>
            </w:pPr>
            <w:r>
              <w:t xml:space="preserve">M003</w:t>
            </w:r>
          </w:p>
        </w:tc>
        <w:tc>
          <w:tcPr/>
          <w:p>
            <w:pPr>
              <w:pStyle w:val="Compact"/>
              <w:jc w:val="left"/>
            </w:pPr>
            <w:r>
              <w:t xml:space="preserve">Circuit Board (FR4)</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3.5</w:t>
            </w:r>
          </w:p>
        </w:tc>
        <w:tc>
          <w:tcPr/>
          <w:p>
            <w:pPr>
              <w:pStyle w:val="Compact"/>
              <w:jc w:val="left"/>
            </w:pPr>
            <w:r>
              <w:t xml:space="preserve">0.11</w:t>
            </w:r>
          </w:p>
        </w:tc>
      </w:tr>
    </w:tbl>
    <w:p>
      <w:pPr>
        <w:numPr>
          <w:ilvl w:val="0"/>
          <w:numId w:val="1000"/>
        </w:numPr>
      </w:pPr>
      <w:r>
        <w:rPr>
          <w:iCs/>
          <w:i/>
        </w:rPr>
        <w:t xml:space="preserve">Note: The "Total Carbon (kgCO2e)" values in the BOM are directly used as provided to represent the upstream material impact for each component, simplifying the demonstration of material impact summation. Industry-standard factors like those from ecoinvent database are generally used for such calculations. For example, for aluminum casting, emission factors can range, but values around 8 kgCO2e/kg are plausible depending on the specific alloy and primary/secondary aluminum content. For plastics, factors vary by type and process, e.g., PC injection molding. For circuit boards, manufacturing is energy and material intensive, with factors around 15 kgCO2e/kg being representative. Lithium-ion battery production has a significant footprint, with factors around 25 kgCO2e/kg being a reasonable approximation, depending on battery chemistry and regional production.</w:t>
      </w:r>
    </w:p>
    <w:p>
      <w:pPr>
        <w:numPr>
          <w:ilvl w:val="0"/>
          <w:numId w:val="1000"/>
        </w:numPr>
        <w:pStyle w:val="Heading4"/>
      </w:pPr>
      <w:bookmarkStart w:id="27" w:name="energy-inputs-production-phase"/>
      <w:r>
        <w:t xml:space="preserve">Energy Inputs (Production Phase)</w:t>
      </w:r>
      <w:bookmarkEnd w:id="27"/>
    </w:p>
    <w:p>
      <w:pPr>
        <w:numPr>
          <w:ilvl w:val="1"/>
          <w:numId w:val="1004"/>
        </w:numPr>
        <w:pStyle w:val="Compact"/>
      </w:pPr>
      <w:r>
        <w:rPr>
          <w:bCs/>
          <w:b/>
        </w:rPr>
        <w:t xml:space="preserve">Energy Intensity (kWh/unit):</w:t>
      </w:r>
      <w:r>
        <w:t xml:space="preserve"> </w:t>
      </w:r>
      <w:r>
        <w:t xml:space="preserve">gmeqzeggfq (interpreted as 15 kWh/unit).</w:t>
      </w:r>
    </w:p>
    <w:p>
      <w:pPr>
        <w:numPr>
          <w:ilvl w:val="1"/>
          <w:numId w:val="1004"/>
        </w:numPr>
        <w:pStyle w:val="Compact"/>
      </w:pPr>
      <w:r>
        <w:rPr>
          <w:bCs/>
          <w:b/>
        </w:rPr>
        <w:t xml:space="preserve">Renewable Energy Usage:</w:t>
      </w:r>
      <w:r>
        <w:t xml:space="preserve"> </w:t>
      </w:r>
      <w:r>
        <w:t xml:space="preserve">rtkxxtdkqs (interpreted as 30%). This means 30% of electricity is from renewable sources, and 70% from the grid mix.</w:t>
      </w:r>
    </w:p>
    <w:p>
      <w:pPr>
        <w:numPr>
          <w:ilvl w:val="1"/>
          <w:numId w:val="1004"/>
        </w:numPr>
        <w:pStyle w:val="Compact"/>
      </w:pPr>
      <w:r>
        <w:rPr>
          <w:bCs/>
          <w:b/>
        </w:rPr>
        <w:t xml:space="preserve">Grid Emission Factor (China):</w:t>
      </w:r>
      <w:r>
        <w:t xml:space="preserve"> </w:t>
      </w:r>
      <w:r>
        <w:t xml:space="preserve">Approximately 0.6205 kg CO2e/kWh for the national average electricity carbon footprint factor in China (as of 2023). For a more detailed analysis, provincial factors or specific generation mix data would be used.</w:t>
      </w:r>
    </w:p>
    <w:p>
      <w:pPr>
        <w:numPr>
          <w:ilvl w:val="0"/>
          <w:numId w:val="1000"/>
        </w:numPr>
        <w:pStyle w:val="Heading4"/>
      </w:pPr>
      <w:bookmarkStart w:id="28" w:name="X554819f74a5de3df88d5256c662e9e0c3a7695a"/>
      <w:r>
        <w:t xml:space="preserve">Logistics Data (Transport and Distribution)</w:t>
      </w:r>
      <w:bookmarkEnd w:id="28"/>
    </w:p>
    <w:p>
      <w:pPr>
        <w:numPr>
          <w:ilvl w:val="1"/>
          <w:numId w:val="1005"/>
        </w:numPr>
        <w:pStyle w:val="Compact"/>
      </w:pPr>
      <w:r>
        <w:rPr>
          <w:bCs/>
          <w:b/>
        </w:rPr>
        <w:t xml:space="preserve">Primary Transport Mode:</w:t>
      </w:r>
      <w:r>
        <w:t xml:space="preserve"> </w:t>
      </w:r>
      <w:r>
        <w:t xml:space="preserve">Select Mode (interpreted as Road freight, Heavy Goods Vehicle (HGV) &gt; 16t).</w:t>
      </w:r>
    </w:p>
    <w:p>
      <w:pPr>
        <w:numPr>
          <w:ilvl w:val="1"/>
          <w:numId w:val="1005"/>
        </w:numPr>
        <w:pStyle w:val="Compact"/>
      </w:pPr>
      <w:r>
        <w:rPr>
          <w:bCs/>
          <w:b/>
        </w:rPr>
        <w:t xml:space="preserve">Transport Distance (Upstream/Production):</w:t>
      </w:r>
      <w:r>
        <w:t xml:space="preserve"> </w:t>
      </w:r>
      <w:r>
        <w:t xml:space="preserve">oxtrkfujxg (interpreted as 1500 km from European suppliers to China manufacturing plant + 500 km within China for distribution from plant to port).</w:t>
      </w:r>
    </w:p>
    <w:p>
      <w:pPr>
        <w:numPr>
          <w:ilvl w:val="1"/>
          <w:numId w:val="1005"/>
        </w:numPr>
        <w:pStyle w:val="Compact"/>
      </w:pPr>
      <w:r>
        <w:rPr>
          <w:bCs/>
          <w:b/>
        </w:rPr>
        <w:t xml:space="preserve">Last-Mile Delivery Channel:</w:t>
      </w:r>
      <w:r>
        <w:t xml:space="preserve"> </w:t>
      </w:r>
      <w:r>
        <w:t xml:space="preserve">Delivery Type (interpreted as Parcel delivery van).</w:t>
      </w:r>
    </w:p>
    <w:p>
      <w:pPr>
        <w:numPr>
          <w:ilvl w:val="1"/>
          <w:numId w:val="1005"/>
        </w:numPr>
        <w:pStyle w:val="Compact"/>
      </w:pPr>
      <w:r>
        <w:rPr>
          <w:bCs/>
          <w:b/>
        </w:rPr>
        <w:t xml:space="preserve">Transport Distance (Downstream/Delivery):</w:t>
      </w:r>
      <w:r>
        <w:t xml:space="preserve"> </w:t>
      </w:r>
      <w:r>
        <w:t xml:space="preserve">500 km (illustrative for delivery to end-user).</w:t>
      </w:r>
    </w:p>
    <w:p>
      <w:pPr>
        <w:numPr>
          <w:ilvl w:val="1"/>
          <w:numId w:val="1005"/>
        </w:numPr>
        <w:pStyle w:val="Compact"/>
      </w:pPr>
      <w:r>
        <w:rPr>
          <w:bCs/>
          <w:b/>
        </w:rPr>
        <w:t xml:space="preserve">Emission Factors:</w:t>
      </w:r>
    </w:p>
    <w:p>
      <w:pPr>
        <w:numPr>
          <w:ilvl w:val="2"/>
          <w:numId w:val="1006"/>
        </w:numPr>
        <w:pStyle w:val="Compact"/>
      </w:pPr>
      <w:r>
        <w:t xml:space="preserve">Road Freight (HGV &gt; 16t): Approximately 0.08 kg CO2e/tonne-km.</w:t>
      </w:r>
    </w:p>
    <w:p>
      <w:pPr>
        <w:numPr>
          <w:ilvl w:val="2"/>
          <w:numId w:val="1006"/>
        </w:numPr>
        <w:pStyle w:val="Compact"/>
      </w:pPr>
      <w:r>
        <w:t xml:space="preserve">Parcel Delivery Van: Approximately 0.24934 kg CO2e/km (average van).</w:t>
      </w:r>
    </w:p>
    <w:p>
      <w:pPr>
        <w:numPr>
          <w:ilvl w:val="0"/>
          <w:numId w:val="1000"/>
        </w:numPr>
        <w:pStyle w:val="Heading4"/>
      </w:pPr>
      <w:bookmarkStart w:id="29" w:name="use-phase-data"/>
      <w:r>
        <w:t xml:space="preserve">Use Phase Data</w:t>
      </w:r>
      <w:bookmarkEnd w:id="29"/>
    </w:p>
    <w:p>
      <w:pPr>
        <w:numPr>
          <w:ilvl w:val="1"/>
          <w:numId w:val="1007"/>
        </w:numPr>
        <w:pStyle w:val="Compact"/>
      </w:pPr>
      <w:r>
        <w:rPr>
          <w:bCs/>
          <w:b/>
        </w:rPr>
        <w:t xml:space="preserve">Product Lifespan:</w:t>
      </w:r>
      <w:r>
        <w:t xml:space="preserve"> </w:t>
      </w:r>
      <w:r>
        <w:t xml:space="preserve">zgwhouoppm (interpreted as 3 years).</w:t>
      </w:r>
    </w:p>
    <w:p>
      <w:pPr>
        <w:numPr>
          <w:ilvl w:val="1"/>
          <w:numId w:val="1007"/>
        </w:numPr>
        <w:pStyle w:val="Compact"/>
      </w:pPr>
      <w:r>
        <w:rPr>
          <w:bCs/>
          <w:b/>
        </w:rPr>
        <w:t xml:space="preserve">Energy Consumption in Use:</w:t>
      </w:r>
      <w:r>
        <w:t xml:space="preserve"> </w:t>
      </w:r>
      <w:r>
        <w:t xml:space="preserve">yvszqjinwk (interpreted as 5 kWh/year).</w:t>
      </w:r>
    </w:p>
    <w:p>
      <w:pPr>
        <w:numPr>
          <w:ilvl w:val="0"/>
          <w:numId w:val="1000"/>
        </w:numPr>
        <w:pStyle w:val="Heading4"/>
      </w:pPr>
      <w:bookmarkStart w:id="30" w:name="end-of-life-eol-data"/>
      <w:r>
        <w:t xml:space="preserve">End-of-Life (EoL) Data</w:t>
      </w:r>
      <w:bookmarkEnd w:id="30"/>
    </w:p>
    <w:p>
      <w:pPr>
        <w:numPr>
          <w:ilvl w:val="1"/>
          <w:numId w:val="1008"/>
        </w:numPr>
        <w:pStyle w:val="Compact"/>
      </w:pPr>
      <w:r>
        <w:rPr>
          <w:bCs/>
          <w:b/>
        </w:rPr>
        <w:t xml:space="preserve">Recyclability Percentage:</w:t>
      </w:r>
      <w:r>
        <w:t xml:space="preserve"> </w:t>
      </w:r>
      <w:r>
        <w:t xml:space="preserve">qqvulsdrxl (interpreted as 60%).</w:t>
      </w:r>
    </w:p>
    <w:p>
      <w:pPr>
        <w:numPr>
          <w:ilvl w:val="1"/>
          <w:numId w:val="1008"/>
        </w:numPr>
        <w:pStyle w:val="Compact"/>
      </w:pPr>
      <w:r>
        <w:rPr>
          <w:bCs/>
          <w:b/>
        </w:rPr>
        <w:t xml:space="preserve">Circular/Take-back Programs:</w:t>
      </w:r>
      <w:r>
        <w:t xml:space="preserve"> </w:t>
      </w:r>
      <w:r>
        <w:t xml:space="preserve">zkhkgmqrtl (interpreted as "Implemented"). This implies a reduced waste-to-landfill impact for the non-recycled portion.</w:t>
      </w:r>
    </w:p>
    <w:p>
      <w:pPr>
        <w:numPr>
          <w:ilvl w:val="1"/>
          <w:numId w:val="1008"/>
        </w:numPr>
        <w:pStyle w:val="Compact"/>
      </w:pPr>
      <w:r>
        <w:rPr>
          <w:bCs/>
          <w:b/>
        </w:rPr>
        <w:t xml:space="preserve">Landfill Emission Factor (Mixed Waste):</w:t>
      </w:r>
      <w:r>
        <w:t xml:space="preserve"> </w:t>
      </w:r>
      <w:r>
        <w:t xml:space="preserve">Approximately 0.15 kg CO2e/kg.</w:t>
      </w:r>
    </w:p>
    <w:p>
      <w:pPr>
        <w:numPr>
          <w:ilvl w:val="0"/>
          <w:numId w:val="1001"/>
        </w:numPr>
        <w:pStyle w:val="Heading3"/>
      </w:pPr>
      <w:bookmarkStart w:id="31" w:name="Xb404f6bea4a0013006ec7a9103609d9ea6643c1"/>
      <w:r>
        <w:t xml:space="preserve">4. Calculate Emissions (Activity * Emission Factor = CO2e)</w:t>
      </w:r>
      <w:bookmarkEnd w:id="31"/>
    </w:p>
    <w:p>
      <w:pPr>
        <w:numPr>
          <w:ilvl w:val="0"/>
          <w:numId w:val="1000"/>
        </w:numPr>
      </w:pPr>
      <w:r>
        <w:t xml:space="preserve">Emissions are calculated for each stage, categorized by Scope 1, 2, and 3, and then aggregated for the total PCF.</w:t>
      </w:r>
    </w:p>
    <w:p>
      <w:pPr>
        <w:numPr>
          <w:ilvl w:val="0"/>
          <w:numId w:val="1000"/>
        </w:numPr>
        <w:pStyle w:val="Heading4"/>
      </w:pPr>
      <w:bookmarkStart w:id="32" w:name="scope-1-emissions-direct-emissions"/>
      <w:r>
        <w:t xml:space="preserve">Scope 1 Emissions (Direct Emissions)</w:t>
      </w:r>
      <w:bookmarkEnd w:id="32"/>
    </w:p>
    <w:p>
      <w:pPr>
        <w:numPr>
          <w:ilvl w:val="0"/>
          <w:numId w:val="1000"/>
        </w:numPr>
      </w:pPr>
      <w:r>
        <w:t xml:space="preserve">For a typical product manufacturing process without on-site fuel combustion for energy generation, Scope 1 emissions are often negligible or zero for the reporting entity (mvdqsrktku) at the factory gate, as direct fuel use for production processes might be accounted for within Scope 3 if sourced from external entities, or within Scope 2 if tied to purchased energy. If mvdqsrktku operates its own machinery with direct fuel consumption (e.g., forklifts, on-site heating), those would be Scope 1. For this PCF, assuming that primary production energy is electricity, significant Scope 1 emissions are not directly calculable from the provided parameters, other than potentially minor fugitive emissions or on-site combustion for non-production activities, which are often negligible in a product-level assessment unless specifically detailed.</w:t>
      </w:r>
    </w:p>
    <w:p>
      <w:pPr>
        <w:numPr>
          <w:ilvl w:val="0"/>
          <w:numId w:val="1000"/>
        </w:numPr>
      </w:pPr>
      <w:r>
        <w:rPr>
          <w:bCs/>
          <w:b/>
        </w:rPr>
        <w:t xml:space="preserve">Calculated Scope 1 Emissions: 0 kg CO2e (Assumed negligible for production process for this product based on parameters).</w:t>
      </w:r>
    </w:p>
    <w:p>
      <w:pPr>
        <w:numPr>
          <w:ilvl w:val="0"/>
          <w:numId w:val="1000"/>
        </w:numPr>
        <w:pStyle w:val="Heading4"/>
      </w:pPr>
      <w:bookmarkStart w:id="33" w:name="scope-2-emissions-purchased-energy"/>
      <w:r>
        <w:t xml:space="preserve">Scope 2 Emissions (Purchased Energy)</w:t>
      </w:r>
      <w:bookmarkEnd w:id="33"/>
    </w:p>
    <w:p>
      <w:pPr>
        <w:numPr>
          <w:ilvl w:val="0"/>
          <w:numId w:val="1000"/>
        </w:numPr>
      </w:pPr>
      <w:r>
        <w:t xml:space="preserve">These relate to the electricity consumed during the manufacturing phase.</w:t>
      </w:r>
    </w:p>
    <w:p>
      <w:pPr>
        <w:numPr>
          <w:ilvl w:val="1"/>
          <w:numId w:val="1009"/>
        </w:numPr>
        <w:pStyle w:val="Compact"/>
      </w:pPr>
      <w:r>
        <w:t xml:space="preserve">Total Electricity Consumption = Energy Intensity * Functional Unit = 15 kWh/unit * 1.0 unit = 15 kWh.</w:t>
      </w:r>
    </w:p>
    <w:p>
      <w:pPr>
        <w:numPr>
          <w:ilvl w:val="1"/>
          <w:numId w:val="1009"/>
        </w:numPr>
        <w:pStyle w:val="Compact"/>
      </w:pPr>
      <w:r>
        <w:t xml:space="preserve">Non-Renewable Electricity = Total Electricity Consumption * (1 - Renewable Energy Usage) = 15 kWh * (1 - 0.30) = 10.5 kWh.</w:t>
      </w:r>
    </w:p>
    <w:p>
      <w:pPr>
        <w:numPr>
          <w:ilvl w:val="1"/>
          <w:numId w:val="1009"/>
        </w:numPr>
        <w:pStyle w:val="Compact"/>
      </w:pPr>
      <w:r>
        <w:t xml:space="preserve">Scope 2 Emissions = Non-Renewable Electricity * Grid Emission Factor (China) = 10.5 kWh * 0.6205 kg CO2e/kWh = 6.515 kg CO2e.</w:t>
      </w:r>
    </w:p>
    <w:p>
      <w:pPr>
        <w:numPr>
          <w:ilvl w:val="0"/>
          <w:numId w:val="1000"/>
        </w:numPr>
      </w:pPr>
      <w:r>
        <w:rPr>
          <w:bCs/>
          <w:b/>
        </w:rPr>
        <w:t xml:space="preserve">Calculated Scope 2 Emissions: 6.52 kg CO2e</w:t>
      </w:r>
    </w:p>
    <w:p>
      <w:pPr>
        <w:numPr>
          <w:ilvl w:val="0"/>
          <w:numId w:val="1000"/>
        </w:numPr>
        <w:pStyle w:val="Heading4"/>
      </w:pPr>
      <w:bookmarkStart w:id="34" w:name="scope-3-emissions-value-chain-emissions"/>
      <w:r>
        <w:t xml:space="preserve">Scope 3 Emissions (Value Chain Emissions)</w:t>
      </w:r>
      <w:bookmarkEnd w:id="34"/>
    </w:p>
    <w:p>
      <w:pPr>
        <w:numPr>
          <w:ilvl w:val="0"/>
          <w:numId w:val="1000"/>
        </w:numPr>
      </w:pPr>
      <w:r>
        <w:t xml:space="preserve">Scope 3 emissions are typically the most significant portion of a product\'s footprint, covering upstream and downstream activities.</w:t>
      </w:r>
    </w:p>
    <w:p>
      <w:pPr>
        <w:numPr>
          <w:ilvl w:val="0"/>
          <w:numId w:val="1000"/>
        </w:numPr>
        <w:pStyle w:val="Heading5"/>
      </w:pPr>
      <w:bookmarkStart w:id="35" w:name="Xc9db13021f550a94151831b37449e431c8031d0"/>
      <w:r>
        <w:t xml:space="preserve">Category 1: Purchased Goods and Services (Materials Acquisition &amp; Processing)</w:t>
      </w:r>
      <w:bookmarkEnd w:id="35"/>
    </w:p>
    <w:p>
      <w:pPr>
        <w:numPr>
          <w:ilvl w:val="0"/>
          <w:numId w:val="1000"/>
        </w:numPr>
      </w:pPr>
      <w:r>
        <w:t xml:space="preserve">Based on the provided (illustrative) Detailed BOM:</w:t>
      </w:r>
    </w:p>
    <w:p>
      <w:pPr>
        <w:numPr>
          <w:ilvl w:val="1"/>
          <w:numId w:val="1010"/>
        </w:numPr>
        <w:pStyle w:val="Compact"/>
      </w:pPr>
      <w:r>
        <w:t xml:space="preserve">Aluminum Casing: 4.00 kg CO2e</w:t>
      </w:r>
    </w:p>
    <w:p>
      <w:pPr>
        <w:numPr>
          <w:ilvl w:val="1"/>
          <w:numId w:val="1010"/>
        </w:numPr>
        <w:pStyle w:val="Compact"/>
      </w:pPr>
      <w:r>
        <w:t xml:space="preserve">PC Plastic Internal Frame: 0.90 kg CO2e</w:t>
      </w:r>
    </w:p>
    <w:p>
      <w:pPr>
        <w:numPr>
          <w:ilvl w:val="1"/>
          <w:numId w:val="1010"/>
        </w:numPr>
        <w:pStyle w:val="Compact"/>
      </w:pPr>
      <w:r>
        <w:t xml:space="preserve">Circuit Board (FR4): 1.50 kg CO2e</w:t>
      </w:r>
    </w:p>
    <w:p>
      <w:pPr>
        <w:numPr>
          <w:ilvl w:val="1"/>
          <w:numId w:val="1010"/>
        </w:numPr>
        <w:pStyle w:val="Compact"/>
      </w:pPr>
      <w:r>
        <w:t xml:space="preserve">Lithium-Ion Battery: 1.25 kg CO2e</w:t>
      </w:r>
    </w:p>
    <w:p>
      <w:pPr>
        <w:numPr>
          <w:ilvl w:val="1"/>
          <w:numId w:val="1010"/>
        </w:numPr>
        <w:pStyle w:val="Compact"/>
      </w:pPr>
      <w:r>
        <w:t xml:space="preserve">Copper Wiring: 0.11 kg CO2e</w:t>
      </w:r>
    </w:p>
    <w:p>
      <w:pPr>
        <w:numPr>
          <w:ilvl w:val="1"/>
          <w:numId w:val="1010"/>
        </w:numPr>
        <w:pStyle w:val="Compact"/>
      </w:pPr>
      <w:r>
        <w:rPr>
          <w:bCs/>
          <w:b/>
        </w:rPr>
        <w:t xml:space="preserve">Total Material Emissions = 4.00 + 0.90 + 1.50 + 1.25 + 0.11 = 7.76 kg CO2e</w:t>
      </w:r>
    </w:p>
    <w:p>
      <w:pPr>
        <w:numPr>
          <w:ilvl w:val="0"/>
          <w:numId w:val="1000"/>
        </w:numPr>
      </w:pPr>
      <w:r>
        <w:rPr>
          <w:bCs/>
          <w:b/>
        </w:rPr>
        <w:t xml:space="preserve">Calculated Scope 3 - Category 1 Emissions: 7.76 kg CO2e</w:t>
      </w:r>
    </w:p>
    <w:p>
      <w:pPr>
        <w:numPr>
          <w:ilvl w:val="0"/>
          <w:numId w:val="1000"/>
        </w:numPr>
        <w:pStyle w:val="Heading5"/>
      </w:pPr>
      <w:bookmarkStart w:id="36" w:name="X6669a43143349c25ec93e775eebde43de53a73c"/>
      <w:r>
        <w:t xml:space="preserve">Category 4: Upstream Transportation and Distribution</w:t>
      </w:r>
      <w:bookmarkEnd w:id="36"/>
    </w:p>
    <w:p>
      <w:pPr>
        <w:numPr>
          <w:ilvl w:val="0"/>
          <w:numId w:val="1000"/>
        </w:numPr>
      </w:pPr>
      <w:r>
        <w:t xml:space="preserve">Assuming components from Europe transported to China for manufacturing:</w:t>
      </w:r>
    </w:p>
    <w:p>
      <w:pPr>
        <w:numPr>
          <w:ilvl w:val="1"/>
          <w:numId w:val="1011"/>
        </w:numPr>
        <w:pStyle w:val="Compact"/>
      </w:pPr>
      <w:r>
        <w:t xml:space="preserve">Total mass of materials (from BOM) = 0.5 + 0.2 + 0.1 + 0.05 + 0.03 = 0.88 kg.</w:t>
      </w:r>
    </w:p>
    <w:p>
      <w:pPr>
        <w:numPr>
          <w:ilvl w:val="1"/>
          <w:numId w:val="1011"/>
        </w:numPr>
        <w:pStyle w:val="Compact"/>
      </w:pPr>
      <w:r>
        <w:t xml:space="preserve">Assuming a representative average mass for component transport as 0.88 kg per unit of zkhjryhypf.</w:t>
      </w:r>
    </w:p>
    <w:p>
      <w:pPr>
        <w:numPr>
          <w:ilvl w:val="1"/>
          <w:numId w:val="1011"/>
        </w:numPr>
        <w:pStyle w:val="Compact"/>
      </w:pPr>
      <w:r>
        <w:t xml:space="preserve">Upstream Transport Emissions = Total Mass * Upstream Distance * Road Freight EF = 0.88 kg * (1500 km + 500 km) * 0.08 kg CO2e/tonne-km (converted to kgCO2e/kg-km)</w:t>
      </w:r>
    </w:p>
    <w:p>
      <w:pPr>
        <w:numPr>
          <w:ilvl w:val="1"/>
          <w:numId w:val="1011"/>
        </w:numPr>
        <w:pStyle w:val="Compact"/>
      </w:pPr>
      <w:r>
        <w:t xml:space="preserve">Upstream Transport Emissions = 0.88 kg * 2000 km * (0.08 / 1000) kg CO2e/kg-km = 0.141 kg CO2e.</w:t>
      </w:r>
    </w:p>
    <w:p>
      <w:pPr>
        <w:numPr>
          <w:ilvl w:val="0"/>
          <w:numId w:val="1000"/>
        </w:numPr>
      </w:pPr>
      <w:r>
        <w:rPr>
          <w:bCs/>
          <w:b/>
        </w:rPr>
        <w:t xml:space="preserve">Calculated Scope 3 - Category 4 Emissions: 0.14 kg CO2e</w:t>
      </w:r>
    </w:p>
    <w:p>
      <w:pPr>
        <w:numPr>
          <w:ilvl w:val="0"/>
          <w:numId w:val="1000"/>
        </w:numPr>
        <w:pStyle w:val="Heading5"/>
      </w:pPr>
      <w:bookmarkStart w:id="37" w:name="category-11-use-of-sold-products"/>
      <w:r>
        <w:t xml:space="preserve">Category 11: Use of Sold Products</w:t>
      </w:r>
      <w:bookmarkEnd w:id="37"/>
    </w:p>
    <w:p>
      <w:pPr>
        <w:numPr>
          <w:ilvl w:val="1"/>
          <w:numId w:val="1012"/>
        </w:numPr>
        <w:pStyle w:val="Compact"/>
      </w:pPr>
      <w:r>
        <w:t xml:space="preserve">Total Use Phase Energy Consumption = Energy Consumption in Use * Product Lifespan = 5 kWh/year * 3 years = 15 kWh.</w:t>
      </w:r>
    </w:p>
    <w:p>
      <w:pPr>
        <w:numPr>
          <w:ilvl w:val="1"/>
          <w:numId w:val="1012"/>
        </w:numPr>
        <w:pStyle w:val="Compact"/>
      </w:pPr>
      <w:r>
        <w:t xml:space="preserve">Assuming the energy consumed during the use phase is from a typical grid mix (e.g., global average or end-user region average, for this calculation, we will use a generic grid mix EF of 0.4 kgCO2e/kWh as illustrative, assuming this occurs globally not specifically China or Europe).</w:t>
      </w:r>
    </w:p>
    <w:p>
      <w:pPr>
        <w:numPr>
          <w:ilvl w:val="1"/>
          <w:numId w:val="1012"/>
        </w:numPr>
        <w:pStyle w:val="Compact"/>
      </w:pPr>
      <w:r>
        <w:t xml:space="preserve">Use Phase Emissions = Total Use Phase Energy Consumption * Generic Grid EF = 15 kWh * 0.4 kg CO2e/kWh = 6.00 kg CO2e.</w:t>
      </w:r>
    </w:p>
    <w:p>
      <w:pPr>
        <w:numPr>
          <w:ilvl w:val="0"/>
          <w:numId w:val="1000"/>
        </w:numPr>
      </w:pPr>
      <w:r>
        <w:rPr>
          <w:bCs/>
          <w:b/>
        </w:rPr>
        <w:t xml:space="preserve">Calculated Scope 3 - Category 11 Emissions: 6.00 kg CO2e</w:t>
      </w:r>
    </w:p>
    <w:p>
      <w:pPr>
        <w:numPr>
          <w:ilvl w:val="0"/>
          <w:numId w:val="1000"/>
        </w:numPr>
        <w:pStyle w:val="Heading5"/>
      </w:pPr>
      <w:bookmarkStart w:id="38" w:name="Xe6a609cc71639c4bb5b5bcd247c776c9d89fa33"/>
      <w:r>
        <w:t xml:space="preserve">Category 9: Downstream Transportation and Distribution (Last-Mile Delivery)</w:t>
      </w:r>
      <w:bookmarkEnd w:id="38"/>
    </w:p>
    <w:p>
      <w:pPr>
        <w:numPr>
          <w:ilvl w:val="0"/>
          <w:numId w:val="1000"/>
        </w:numPr>
      </w:pPr>
      <w:r>
        <w:t xml:space="preserve">Assuming parcel delivery van for last-mile to customer:</w:t>
      </w:r>
    </w:p>
    <w:p>
      <w:pPr>
        <w:numPr>
          <w:ilvl w:val="1"/>
          <w:numId w:val="1013"/>
        </w:numPr>
        <w:pStyle w:val="Compact"/>
      </w:pPr>
      <w:r>
        <w:t xml:space="preserve">Downstream Transport Emissions = Downstream Distance * Parcel Delivery Van EF = 500 km * 0.24934 kg CO2e/km = 124.67 kg CO2e.</w:t>
      </w:r>
    </w:p>
    <w:p>
      <w:pPr>
        <w:numPr>
          <w:ilvl w:val="0"/>
          <w:numId w:val="1000"/>
        </w:numPr>
      </w:pPr>
      <w:r>
        <w:rPr>
          <w:bCs/>
          <w:b/>
        </w:rPr>
        <w:t xml:space="preserve">Calculated Scope 3 - Category 9 Emissions: 124.67 kg CO2e</w:t>
      </w:r>
    </w:p>
    <w:p>
      <w:pPr>
        <w:numPr>
          <w:ilvl w:val="0"/>
          <w:numId w:val="1000"/>
        </w:numPr>
        <w:pStyle w:val="Heading5"/>
      </w:pPr>
      <w:bookmarkStart w:id="39" w:name="X9f66eef2700632e081dfe139021cb724ffcd2c5"/>
      <w:r>
        <w:t xml:space="preserve">Category 12: End-of-Life Treatment of Sold Products</w:t>
      </w:r>
      <w:bookmarkEnd w:id="39"/>
    </w:p>
    <w:p>
      <w:pPr>
        <w:numPr>
          <w:ilvl w:val="1"/>
          <w:numId w:val="1014"/>
        </w:numPr>
        <w:pStyle w:val="Compact"/>
      </w:pPr>
      <w:r>
        <w:t xml:space="preserve">Total product mass (for EoL, assuming all BOM materials are part of the product) = 0.88 kg.</w:t>
      </w:r>
    </w:p>
    <w:p>
      <w:pPr>
        <w:numPr>
          <w:ilvl w:val="1"/>
          <w:numId w:val="1014"/>
        </w:numPr>
        <w:pStyle w:val="Compact"/>
      </w:pPr>
      <w:r>
        <w:t xml:space="preserve">Non-Recycled Mass = Total product mass * (1 - Recyclability Percentage) = 0.88 kg * (1 - 0.60) = 0.352 kg.</w:t>
      </w:r>
    </w:p>
    <w:p>
      <w:pPr>
        <w:numPr>
          <w:ilvl w:val="1"/>
          <w:numId w:val="1014"/>
        </w:numPr>
        <w:pStyle w:val="Compact"/>
      </w:pPr>
      <w:r>
        <w:t xml:space="preserve">EoL Emissions (to landfill) = Non-Recycled Mass * Landfill Emission Factor = 0.352 kg * 0.15 kg CO2e/kg = 0.053 kg CO2e.</w:t>
      </w:r>
    </w:p>
    <w:p>
      <w:pPr>
        <w:numPr>
          <w:ilvl w:val="1"/>
          <w:numId w:val="1014"/>
        </w:numPr>
        <w:pStyle w:val="Compact"/>
      </w:pPr>
      <w:r>
        <w:t xml:space="preserve">Circular/Take-back Programs (`zkhkgmqrtl`): The implementation of circular/take-back programs typically aims to increase the recyclability or reuse rate, thus reducing the amount of waste sent to landfill and potentially generating avoided emissions from virgin material production. For this calculation, we\'ve directly used the recyclability percentage to reflect the reduced landfill impact. A more detailed analysis would quantify avoided emissions from recycling.</w:t>
      </w:r>
    </w:p>
    <w:p>
      <w:pPr>
        <w:numPr>
          <w:ilvl w:val="0"/>
          <w:numId w:val="1000"/>
        </w:numPr>
      </w:pPr>
      <w:r>
        <w:rPr>
          <w:bCs/>
          <w:b/>
        </w:rPr>
        <w:t xml:space="preserve">Calculated Scope 3 - Category 12 Emissions: 0.05 kg CO2e</w:t>
      </w:r>
    </w:p>
    <w:p>
      <w:pPr>
        <w:numPr>
          <w:ilvl w:val="0"/>
          <w:numId w:val="1000"/>
        </w:numPr>
        <w:pStyle w:val="Heading4"/>
      </w:pPr>
      <w:bookmarkStart w:id="40" w:name="total-pcf-calculation"/>
      <w:r>
        <w:t xml:space="preserve">Total PCF Calculation:</w:t>
      </w:r>
      <w:bookmarkEnd w:id="40"/>
    </w:p>
    <w:p>
      <w:pPr>
        <w:numPr>
          <w:ilvl w:val="1"/>
          <w:numId w:val="1015"/>
        </w:numPr>
        <w:pStyle w:val="Compact"/>
      </w:pPr>
      <w:r>
        <w:t xml:space="preserve">Total Scope 1 Emissions: 0.00 kg CO2e</w:t>
      </w:r>
    </w:p>
    <w:p>
      <w:pPr>
        <w:numPr>
          <w:ilvl w:val="1"/>
          <w:numId w:val="1015"/>
        </w:numPr>
        <w:pStyle w:val="Compact"/>
      </w:pPr>
      <w:r>
        <w:t xml:space="preserve">Total Scope 2 Emissions: 6.52 kg CO2e</w:t>
      </w:r>
    </w:p>
    <w:p>
      <w:pPr>
        <w:numPr>
          <w:ilvl w:val="1"/>
          <w:numId w:val="1015"/>
        </w:numPr>
        <w:pStyle w:val="Compact"/>
      </w:pPr>
      <w:r>
        <w:t xml:space="preserve">Total Scope 3 Emissions: 7.76 (Cat 1) + 0.14 (Cat 4) + 6.00 (Cat 11) + 124.67 (Cat 9) + 0.05 (Cat 12) = 138.62 kg CO2e</w:t>
      </w:r>
    </w:p>
    <w:p>
      <w:pPr>
        <w:numPr>
          <w:ilvl w:val="1"/>
          <w:numId w:val="1015"/>
        </w:numPr>
        <w:pStyle w:val="Compact"/>
      </w:pPr>
      <w:r>
        <w:rPr>
          <w:bCs/>
          <w:b/>
        </w:rPr>
        <w:t xml:space="preserve">Total Product Carbon Footprint (PCF) = Scope 1 + Scope 2 + Scope 3 = 0.00 + 6.52 + 138.62 = 145.14 kg CO2e</w:t>
      </w:r>
    </w:p>
    <w:p>
      <w:pPr>
        <w:numPr>
          <w:ilvl w:val="0"/>
          <w:numId w:val="1000"/>
        </w:numPr>
      </w:pPr>
      <w:r>
        <w:rPr>
          <w:bCs/>
          <w:b/>
        </w:rPr>
        <w:t xml:space="preserve">Total PCF for zkhjryhypf: 145.14 kg CO2e per unit.</w:t>
      </w:r>
    </w:p>
    <w:p>
      <w:pPr>
        <w:numPr>
          <w:ilvl w:val="0"/>
          <w:numId w:val="1000"/>
        </w:numPr>
        <w:pStyle w:val="Heading4"/>
      </w:pPr>
      <w:bookmarkStart w:id="41" w:name="lsr-update-application"/>
      <w:r>
        <w:t xml:space="preserve">2026 LSR Update Application</w:t>
      </w:r>
      <w:bookmarkEnd w:id="41"/>
    </w:p>
    <w:p>
      <w:pPr>
        <w:numPr>
          <w:ilvl w:val="0"/>
          <w:numId w:val="1000"/>
        </w:numPr>
      </w:pPr>
      <w:r>
        <w:t xml:space="preserve">The Land Sector and Removals (LSR) Standard, released by the GHG Protocol on January 30, 2026, and effective January 1, 2027, provides specific accounting requirements and guidance for land emissions, CO2 removals, and biogenic products. For zkhjryhypf, if any raw materials (e.g., bio-based plastics, packaging derived from forestry) or energy sources (e.g., biomass) involve land-based activities or carbon removals, this standard would require specific methodologies to quantify those impacts and removals accurately. Since the provided BOM does not explicitly detail biogenic materials or land-use intensive processes beyond general categories, this analysis conceptually acknowledges the LSR Standard\'s importance. Future iterations with more specific data would integrate direct calculations for relevant land sector emissions and removals, ensuring proper tracking and reporting, particularly for companies with significant land-based activities in their operations or value chain.</w:t>
      </w:r>
    </w:p>
    <w:p>
      <w:pPr>
        <w:numPr>
          <w:ilvl w:val="0"/>
          <w:numId w:val="1000"/>
        </w:numPr>
        <w:pStyle w:val="Heading4"/>
      </w:pPr>
      <w:bookmarkStart w:id="42" w:name="scope-3-compliance-2026-requirements"/>
      <w:r>
        <w:t xml:space="preserve">Scope 3 Compliance (2026 Requirements)</w:t>
      </w:r>
      <w:bookmarkEnd w:id="42"/>
    </w:p>
    <w:p>
      <w:pPr>
        <w:numPr>
          <w:ilvl w:val="0"/>
          <w:numId w:val="1000"/>
        </w:numPr>
      </w:pPr>
      <w:r>
        <w:t xml:space="preserve">The GHG Protocol\'s 2026 Scope 3 updates emphasize stricter requirements, including a mandatory 95% completeness rule and mandatory data disaggregation by source type. This PCF analysis, by detailing emissions across multiple Scope 3 categories and attempting to use specific activity data (even if illustrative), aims for comprehensive coverage. To meet the 95% completeness rule in a real-world scenario, mvdqsrktku would need to ensure that all material Scope 3 emission sources are identified, quantified, and justified, with any exclusions being minimal and disclosed. The mandatory disaggregation by primary vs. secondary data would also necessitate robust data collection directly from suppliers for materials, transportation, and other value chain activities.</w:t>
      </w:r>
    </w:p>
    <w:p>
      <w:pPr>
        <w:numPr>
          <w:ilvl w:val="0"/>
          <w:numId w:val="1001"/>
        </w:numPr>
        <w:pStyle w:val="Heading3"/>
      </w:pPr>
      <w:bookmarkStart w:id="43" w:name="review-report"/>
      <w:r>
        <w:t xml:space="preserve">5. Review &amp; Report</w:t>
      </w:r>
      <w:bookmarkEnd w:id="43"/>
    </w:p>
    <w:p>
      <w:pPr>
        <w:numPr>
          <w:ilvl w:val="0"/>
          <w:numId w:val="1000"/>
        </w:numPr>
      </w:pPr>
      <w:r>
        <w:t xml:space="preserve">The calculated PCF reveals key hotspots and areas for potential improvement.</w:t>
      </w:r>
    </w:p>
    <w:p>
      <w:pPr>
        <w:numPr>
          <w:ilvl w:val="1"/>
          <w:numId w:val="1016"/>
        </w:numPr>
        <w:pStyle w:val="Compact"/>
      </w:pPr>
      <w:r>
        <w:rPr>
          <w:bCs/>
          <w:b/>
        </w:rPr>
        <w:t xml:space="preserve">Hotspots:</w:t>
      </w:r>
    </w:p>
    <w:p>
      <w:pPr>
        <w:numPr>
          <w:ilvl w:val="2"/>
          <w:numId w:val="1017"/>
        </w:numPr>
        <w:pStyle w:val="Compact"/>
      </w:pPr>
      <w:r>
        <w:rPr>
          <w:bCs/>
          <w:b/>
        </w:rPr>
        <w:t xml:space="preserve">Downstream Transportation (Last-Mile Delivery):</w:t>
      </w:r>
      <w:r>
        <w:t xml:space="preserve"> </w:t>
      </w:r>
      <w:r>
        <w:t xml:space="preserve">At 124.67 kg CO2e, this is the most significant hotspot, largely due to the illustrative long last-mile delivery distance and the emission factor for a parcel delivery van. Optimizing delivery routes, using more efficient vehicles (e.g., electric vans), or exploring alternative delivery methods could significantly reduce this impact.</w:t>
      </w:r>
    </w:p>
    <w:p>
      <w:pPr>
        <w:numPr>
          <w:ilvl w:val="2"/>
          <w:numId w:val="1017"/>
        </w:numPr>
        <w:pStyle w:val="Compact"/>
      </w:pPr>
      <w:r>
        <w:rPr>
          <w:bCs/>
          <w:b/>
        </w:rPr>
        <w:t xml:space="preserve">Materials Acquisition &amp; Processing:</w:t>
      </w:r>
      <w:r>
        <w:t xml:space="preserve"> </w:t>
      </w:r>
      <w:r>
        <w:t xml:space="preserve">Accounting for 7.76 kg CO2e, the choice of materials plays a substantial role. Investigating lower-carbon alternatives, increasing recycled content, or working with suppliers to reduce their manufacturing emissions can be effective strategies.</w:t>
      </w:r>
    </w:p>
    <w:p>
      <w:pPr>
        <w:numPr>
          <w:ilvl w:val="2"/>
          <w:numId w:val="1017"/>
        </w:numPr>
        <w:pStyle w:val="Compact"/>
      </w:pPr>
      <w:r>
        <w:rPr>
          <w:bCs/>
          <w:b/>
        </w:rPr>
        <w:t xml:space="preserve">Use Phase:</w:t>
      </w:r>
      <w:r>
        <w:t xml:space="preserve"> </w:t>
      </w:r>
      <w:r>
        <w:t xml:space="preserve">The energy consumption during the product\'s lifespan contributes 6.00 kg CO2e. Improving energy efficiency of the product during its operational use is crucial.</w:t>
      </w:r>
    </w:p>
    <w:p>
      <w:pPr>
        <w:numPr>
          <w:ilvl w:val="1"/>
          <w:numId w:val="1016"/>
        </w:numPr>
        <w:pStyle w:val="Compact"/>
      </w:pPr>
      <w:r>
        <w:rPr>
          <w:bCs/>
          <w:b/>
        </w:rPr>
        <w:t xml:space="preserve">Reliability:</w:t>
      </w:r>
      <w:r>
        <w:t xml:space="preserve"> </w:t>
      </w:r>
      <w:r>
        <w:t xml:space="preserve">The reliability of this PCF is contingent on the accuracy of the assumed and illustrative data. For a real-world assessment, primary data from mvdqsrktku and its supply chain partners would be crucial for higher accuracy, especially for BOM details, transport logistics, and specific energy consumption. The use of industry-average emission factors (e.g., from Ecoinvent/DEFRA equivalents) provides a reasonable basis for secondary data.</w:t>
      </w:r>
    </w:p>
    <w:bookmarkEnd w:id="44"/>
    <w:p>
      <w:r>
        <w:pict>
          <v:rect style="width:0;height:1.5pt" o:hralign="center" o:hrstd="t" o:hr="t"/>
        </w:pict>
      </w:r>
    </w:p>
    <w:bookmarkStart w:id="45" w:name="conclusion-and-recommendations"/>
    <w:p>
      <w:pPr>
        <w:pStyle w:val="Heading2"/>
      </w:pPr>
      <w:r>
        <w:t xml:space="preserve">Conclusion and Recommendations</w:t>
      </w:r>
    </w:p>
    <w:p>
      <w:pPr>
        <w:pStyle w:val="FirstParagraph"/>
      </w:pPr>
      <w:r>
        <w:t xml:space="preserve">This Product Carbon Footprint analysis provides mvdqsrktku with a foundational understanding of the environmental impact of its product, zkhjryhypf. The total PCF of 145.14 kg CO2e per unit highlights that the most significant contributions come from downstream logistics, followed by upstream material acquisition and the product\'s use phase.</w:t>
      </w:r>
    </w:p>
    <w:p>
      <w:pPr>
        <w:pStyle w:val="BodyText"/>
      </w:pPr>
      <w:r>
        <w:t xml:space="preserve">As whimypyeqs, Senior Sustainability Consultant, I recommend the following actions for mvdqsrktku to reduce the environmental footprint of zkhjryhypf:</w:t>
      </w:r>
    </w:p>
    <w:p>
      <w:pPr>
        <w:numPr>
          <w:ilvl w:val="0"/>
          <w:numId w:val="1018"/>
        </w:numPr>
        <w:pStyle w:val="Compact"/>
      </w:pPr>
      <w:r>
        <w:rPr>
          <w:bCs/>
          <w:b/>
        </w:rPr>
        <w:t xml:space="preserve">Optimize Logistics:</w:t>
      </w:r>
      <w:r>
        <w:t xml:space="preserve"> </w:t>
      </w:r>
      <w:r>
        <w:t xml:space="preserve">Investigate opportunities to reduce transport distances, especially for last-mile delivery, and transition to lower-emission transport modes or electric delivery vehicles.</w:t>
      </w:r>
    </w:p>
    <w:p>
      <w:pPr>
        <w:numPr>
          <w:ilvl w:val="0"/>
          <w:numId w:val="1018"/>
        </w:numPr>
        <w:pStyle w:val="Compact"/>
      </w:pPr>
      <w:r>
        <w:rPr>
          <w:bCs/>
          <w:b/>
        </w:rPr>
        <w:t xml:space="preserve">Material Decarbonization:</w:t>
      </w:r>
      <w:r>
        <w:t xml:space="preserve"> </w:t>
      </w:r>
      <w:r>
        <w:t xml:space="preserve">Engage with suppliers to identify and procure materials with lower embedded carbon, increase the use of recycled content, and explore innovative, sustainable materials.</w:t>
      </w:r>
    </w:p>
    <w:p>
      <w:pPr>
        <w:numPr>
          <w:ilvl w:val="0"/>
          <w:numId w:val="1018"/>
        </w:numPr>
        <w:pStyle w:val="Compact"/>
      </w:pPr>
      <w:r>
        <w:rPr>
          <w:bCs/>
          <w:b/>
        </w:rPr>
        <w:t xml:space="preserve">Enhance Product Energy Efficiency:</w:t>
      </w:r>
      <w:r>
        <w:t xml:space="preserve"> </w:t>
      </w:r>
      <w:r>
        <w:t xml:space="preserve">Redesign or optimize the product to minimize energy consumption during its use phase, directly reducing its downstream impact.</w:t>
      </w:r>
    </w:p>
    <w:p>
      <w:pPr>
        <w:numPr>
          <w:ilvl w:val="0"/>
          <w:numId w:val="1018"/>
        </w:numPr>
        <w:pStyle w:val="Compact"/>
      </w:pPr>
      <w:r>
        <w:rPr>
          <w:bCs/>
          <w:b/>
        </w:rPr>
        <w:t xml:space="preserve">Strengthen Data Collection:</w:t>
      </w:r>
      <w:r>
        <w:t xml:space="preserve"> </w:t>
      </w:r>
      <w:r>
        <w:t xml:space="preserve">Implement robust systems for collecting primary data from suppliers across the value chain to improve the accuracy and completeness of future PCF assessments, aligning with the 2026 GHG Protocol Scope 3 requirements for 95% coverage and data disaggregation.</w:t>
      </w:r>
    </w:p>
    <w:p>
      <w:pPr>
        <w:numPr>
          <w:ilvl w:val="0"/>
          <w:numId w:val="1018"/>
        </w:numPr>
        <w:pStyle w:val="Compact"/>
      </w:pPr>
      <w:r>
        <w:rPr>
          <w:bCs/>
          <w:b/>
        </w:rPr>
        <w:t xml:space="preserve">Leverage Circular Economy Initiatives:</w:t>
      </w:r>
      <w:r>
        <w:t xml:space="preserve"> </w:t>
      </w:r>
      <w:r>
        <w:t xml:space="preserve">Further develop and promote take-back and recycling programs (beyond the current 60% recyclability) to maximize material recovery and minimize waste, potentially generating significant avoided emissions.</w:t>
      </w:r>
    </w:p>
    <w:p>
      <w:pPr>
        <w:pStyle w:val="FirstParagraph"/>
      </w:pPr>
      <w:r>
        <w:t xml:space="preserve">By focusing on these areas, mvdqsrktku can systematically work towards reducing the carbon footprint of zkhjryhypf and demonstrate strong commitment to sustainability.</w:t>
      </w:r>
    </w:p>
    <w:bookmarkEnd w:id="45"/>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zkhjryhypf</dc:title>
  <dc:creator/>
  <dc:description>High-detail Product Carbon Footprint (PCF) analysis report for product zkhjryhypf, performed by whimypyeqs for mvdqsrktku, adhering to GHG Protocol and 2026 LSR updates.</dc:description>
  <dc:language>en</dc:language>
  <cp:keywords/>
  <dcterms:created xsi:type="dcterms:W3CDTF">2026-07-15T16:13:22Z</dcterms:created>
  <dcterms:modified xsi:type="dcterms:W3CDTF">2026-07-15T16:13:22Z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