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ziygtjtnor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ziygtjtnor</w:t>
      </w:r>
    </w:p>
    <w:p>
      <w:pPr>
        <w:pStyle w:val="BodyText"/>
      </w:pPr>
      <w:r>
        <w:t xml:space="preserve">**Company Name:** ulqqymlymx</w:t>
      </w:r>
    </w:p>
    <w:p>
      <w:pPr>
        <w:pStyle w:val="BodyText"/>
      </w:pPr>
      <w:r>
        <w:t xml:space="preserve">**Senior Sustainability Consultant:** wrpglfudwm</w:t>
      </w:r>
    </w:p>
    <w:p>
      <w:pPr>
        <w:pStyle w:val="BodyText"/>
      </w:pPr>
      <w:r>
        <w:t xml:space="preserve">**Accounting Standard:** GHG Protocol</w:t>
      </w:r>
    </w:p>
    <w:p>
      <w:pPr>
        <w:pStyle w:val="BodyText"/>
      </w:pPr>
      <w:r>
        <w:t xml:space="preserve">Disclaimer: This report is generated based on available data and industry standards, providing an estimation of the Product Carbon Footprint. The accuracy of the calculations relies on the completeness and precision of the input data and emission factors. Actual emissions may vary.</w:t>
      </w:r>
    </w:p>
    <w:bookmarkEnd w:id="20"/>
    <w:bookmarkStart w:id="35" w:name="Xc2270738c93009bee97940c561b00de5e2376a4"/>
    <w:p>
      <w:pPr>
        <w:pStyle w:val="Heading1"/>
      </w:pPr>
      <w:r>
        <w:t xml:space="preserve">Product Carbon Footprint (PCF) Analysis Report for ziygtjtnor</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wrpglfudwm</w:t>
      </w:r>
    </w:p>
    <w:p>
      <w:pPr>
        <w:pStyle w:val="BodyText"/>
      </w:pPr>
      <w:r>
        <w:rPr>
          <w:bCs/>
          <w:b/>
        </w:rPr>
        <w:t xml:space="preserve">Company Name:</w:t>
      </w:r>
      <w:r>
        <w:t xml:space="preserve"> </w:t>
      </w:r>
      <w:r>
        <w:t xml:space="preserve">ulqqymlymx</w:t>
      </w:r>
    </w:p>
    <w:p>
      <w:pPr>
        <w:pStyle w:val="BodyText"/>
      </w:pPr>
      <w:r>
        <w:rPr>
          <w:bCs/>
          <w:b/>
        </w:rPr>
        <w:t xml:space="preserve">Product:</w:t>
      </w:r>
      <w:r>
        <w:t xml:space="preserve"> </w:t>
      </w:r>
      <w:r>
        <w:t xml:space="preserve">ziygtjtnor</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\'ziygtjtnor\', manufactured by \'ulqqymlymx\'. The analysis adheres to the Greenhouse Gas (GHG) Protocol standards, including the latest 2026 updates for the Land Sector and Removals (LSR) Standard and enhanced Scope 3 compliance requirements. As Senior Sustainability Consultant, wrpglfudwm, has overseen the assessment to quantify the greenhouse gas emissions across the product\'s lifecycle, from raw material acquisition to end-of-life. The goal is to identify emission hotspots and provide actionable insights for decarbonization efforts. This assessment leverages specific bill of materials, logistics, energy, use-phase, and end-of-life data provided for enhanced accuracy.</w:t>
      </w:r>
    </w:p>
    <w:p>
      <w:r>
        <w:pict>
          <v:rect style="width:0;height:1.5pt" o:hralign="center" o:hrstd="t" o:hr="t"/>
        </w:pict>
      </w:r>
    </w:p>
    <w:bookmarkEnd w:id="21"/>
    <w:bookmarkStart w:id="32" w:name="methodology"/>
    <w:p>
      <w:pPr>
        <w:pStyle w:val="Heading2"/>
      </w:pPr>
      <w:r>
        <w:t xml:space="preserve">2. Methodology</w:t>
      </w:r>
    </w:p>
    <w:p>
      <w:pPr>
        <w:pStyle w:val="FirstParagraph"/>
      </w:pPr>
      <w:r>
        <w:t xml:space="preserve">The PCF analysis was conducted following the five-step methodology outlined by the GHG Protocol Product Standard, with careful consideration of the 2026 updates: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 defined as 1.0 unit of \'ziygtjtnor\'.</w:t>
      </w:r>
    </w:p>
    <w:p>
      <w:pPr>
        <w:numPr>
          <w:ilvl w:val="0"/>
          <w:numId w:val="1001"/>
        </w:numPr>
        <w:pStyle w:val="Compact"/>
      </w:pPr>
      <w:r>
        <w:rPr>
          <w:bCs/>
          <w:b/>
        </w:rPr>
        <w:t xml:space="preserve">System Boundary:</w:t>
      </w:r>
      <w:r>
        <w:t xml:space="preserve"> </w:t>
      </w:r>
      <w:r>
        <w:t xml:space="preserve">The analysis adopts a "factory_gate" system boundary, encompassing all emissions from raw material extraction, manufacturing of components, assembly, and transport to the factory gate. While the primary focus is cradle-to-gate, relevant downstream Scope 3 categories such as transport to customer, use phase, and end-of-life are also included to provide a comprehensive lifecycle perspective, aligning with GHG Protocol best practices.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are allocated to the functional unit based on a mass allocation approach where specific material data is available. For shared processes or utilities, appropriate allocation methods (e.g., mass, economic, energy) would be selected based on the specific context and data availability, in accordance with GHG Protocol guidelines. For this report, direct data from the Bill of Materials simplifies material allocation.</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from owned or controlled sources), Scope 2 (indirect emissions from purchased electricity, heat, or steam), and Scope 3 (all other indirect emissions in the value chain).</w:t>
      </w:r>
    </w:p>
    <w:bookmarkEnd w:id="22"/>
    <w:bookmarkStart w:id="24" w:name="Xef2cad8b6715bfd9664e6ec6d96ac44c4a46fb4"/>
    <w:p>
      <w:pPr>
        <w:pStyle w:val="Heading3"/>
      </w:pPr>
      <w:r>
        <w:t xml:space="preserve">2.2. Step 2: Map Lifecycle (LCI Inventory Stages)</w:t>
      </w:r>
    </w:p>
    <w:p>
      <w:pPr>
        <w:pStyle w:val="FirstParagraph"/>
      </w:pPr>
      <w:r>
        <w:t xml:space="preserve">The lifecycle of \'ziygtjtnor\' is mapped across several stages, for which an inventory of material and energy flows is compiled:</w:t>
      </w:r>
    </w:p>
    <w:p>
      <w:pPr>
        <w:numPr>
          <w:ilvl w:val="0"/>
          <w:numId w:val="1003"/>
        </w:numPr>
        <w:pStyle w:val="Compact"/>
      </w:pPr>
      <w:r>
        <w:rPr>
          <w:bCs/>
          <w:b/>
        </w:rPr>
        <w:t xml:space="preserve">Raw Material Acquisition &amp; Pre-processing:</w:t>
      </w:r>
      <w:r>
        <w:t xml:space="preserve"> </w:t>
      </w:r>
      <w:r>
        <w:t xml:space="preserve">Extraction, processing, and refining of all raw materials required for component manufacturing.</w:t>
      </w:r>
    </w:p>
    <w:p>
      <w:pPr>
        <w:numPr>
          <w:ilvl w:val="0"/>
          <w:numId w:val="1003"/>
        </w:numPr>
        <w:pStyle w:val="Compact"/>
      </w:pPr>
      <w:r>
        <w:rPr>
          <w:bCs/>
          <w:b/>
        </w:rPr>
        <w:t xml:space="preserve">Manufacturing:</w:t>
      </w:r>
      <w:r>
        <w:t xml:space="preserve"> </w:t>
      </w:r>
      <w:r>
        <w:t xml:space="preserve">Production of individual components and their assembly into the final product at the facility in China.</w:t>
      </w:r>
    </w:p>
    <w:p>
      <w:pPr>
        <w:numPr>
          <w:ilvl w:val="0"/>
          <w:numId w:val="1003"/>
        </w:numPr>
        <w:pStyle w:val="Compact"/>
      </w:pPr>
      <w:r>
        <w:rPr>
          <w:bCs/>
          <w:b/>
        </w:rPr>
        <w:t xml:space="preserve">Transport &amp; Distribution:</w:t>
      </w:r>
      <w:r>
        <w:t xml:space="preserve"> </w:t>
      </w:r>
      <w:r>
        <w:t xml:space="preserve">Transportation of raw materials and components to the manufacturing facility, and finished goods to the point of sale or customer (Last-Mile Delivery).</w:t>
      </w:r>
    </w:p>
    <w:p>
      <w:pPr>
        <w:numPr>
          <w:ilvl w:val="0"/>
          <w:numId w:val="1003"/>
        </w:numPr>
        <w:pStyle w:val="Compact"/>
      </w:pPr>
      <w:r>
        <w:rPr>
          <w:bCs/>
          <w:b/>
        </w:rPr>
        <w:t xml:space="preserve">Use Phase:</w:t>
      </w:r>
      <w:r>
        <w:t xml:space="preserve"> </w:t>
      </w:r>
      <w:r>
        <w:t xml:space="preserve">Emissions associated with the product\'s intended use over its lifespan.</w:t>
      </w:r>
    </w:p>
    <w:p>
      <w:pPr>
        <w:numPr>
          <w:ilvl w:val="0"/>
          <w:numId w:val="1003"/>
        </w:numPr>
        <w:pStyle w:val="Compact"/>
      </w:pPr>
      <w:r>
        <w:rPr>
          <w:bCs/>
          <w:b/>
        </w:rPr>
        <w:t xml:space="preserve">End-of-Life:</w:t>
      </w:r>
      <w:r>
        <w:t xml:space="preserve"> </w:t>
      </w:r>
      <w:r>
        <w:t xml:space="preserve">Disposal, recycling, or recovery processes at the end of the product\'s life.</w:t>
      </w:r>
    </w:p>
    <w:p>
      <w:pPr>
        <w:pStyle w:val="FirstParagraph"/>
      </w:pPr>
      <w:r>
        <w:t xml:space="preserve">A detailed breakdown of materials and energy inputs, as provided in the Bill of Materials (BOM) `jtledlrz`, forms the foundation for high-accuracy material impact calculation:</w:t>
      </w:r>
    </w:p>
    <w:bookmarkStart w:id="23" w:name="X5badf567f38112eea5e09854d86e20defa6abd3"/>
    <w:p>
      <w:pPr>
        <w:pStyle w:val="Heading4"/>
      </w:pPr>
      <w:r>
        <w:t xml:space="preserve">Detailed Bill of Materials (BOM) - Illustrative Data Structure:</w:t>
      </w:r>
    </w:p>
    <w:p>
      <w:pPr>
        <w:pStyle w:val="FirstParagraph"/>
      </w:pPr>
      <w:r>
        <w:rPr>
          <w:iCs/>
          <w:i/>
        </w:rPr>
        <w:t xml:space="preserve">(Note: As the BOM \'jtledlrz\' was provided as a string placeholder, the table below illustrates the expected data structure and how such detailed information would be used for calculations. Actual numerical calculations would require parsed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P002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w:t>
            </w:r>
          </w:p>
        </w:tc>
      </w:tr>
      <w:tr>
        <w:tc>
          <w:tcPr/>
          <w:p>
            <w:pPr>
              <w:pStyle w:val="Compact"/>
              <w:jc w:val="left"/>
            </w:pPr>
            <w:r>
              <w:t xml:space="preserve">S003</w:t>
            </w:r>
          </w:p>
        </w:tc>
        <w:tc>
          <w:tcPr/>
          <w:p>
            <w:pPr>
              <w:pStyle w:val="Compact"/>
              <w:jc w:val="left"/>
            </w:pPr>
            <w:r>
              <w:t xml:space="preserve">Silicon Wafer</w:t>
            </w:r>
          </w:p>
        </w:tc>
        <w:tc>
          <w:tcPr/>
          <w:p>
            <w:pPr>
              <w:pStyle w:val="Compact"/>
              <w:jc w:val="left"/>
            </w:pPr>
            <w:r>
              <w:t xml:space="preserve">Silicon</w:t>
            </w:r>
          </w:p>
        </w:tc>
        <w:tc>
          <w:tcPr/>
          <w:p>
            <w:pPr>
              <w:pStyle w:val="Compact"/>
              <w:jc w:val="left"/>
            </w:pPr>
            <w:r>
              <w:t xml:space="preserve">Wafer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C005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Subtotal Material Emissions (Illustrative)</w:t>
            </w:r>
          </w:p>
        </w:tc>
        <w:tc>
          <w:tcPr/>
          <w:p>
            <w:pPr>
              <w:pStyle w:val="Compact"/>
              <w:jc w:val="left"/>
            </w:pPr>
            <w:r>
              <w:rPr>
                <w:bCs/>
                <w:b/>
              </w:rPr>
              <w:t xml:space="preserve">17.56</w:t>
            </w:r>
          </w:p>
        </w:tc>
      </w:tr>
    </w:tbl>
    <w:bookmarkEnd w:id="23"/>
    <w:bookmarkEnd w:id="24"/>
    <w:bookmarkStart w:id="25" w:name="step-3-collect-data"/>
    <w:p>
      <w:pPr>
        <w:pStyle w:val="Heading3"/>
      </w:pPr>
      <w:r>
        <w:t xml:space="preserve">2.3. Step 3: Collect Data</w:t>
      </w:r>
    </w:p>
    <w:p>
      <w:pPr>
        <w:pStyle w:val="FirstParagraph"/>
      </w:pPr>
      <w:r>
        <w:t xml:space="preserve">Both primary and secondary data points were considered and, where specific parameters were provided, integrated into the analysis:</w:t>
      </w:r>
    </w:p>
    <w:p>
      <w:pPr>
        <w:numPr>
          <w:ilvl w:val="0"/>
          <w:numId w:val="1004"/>
        </w:numPr>
        <w:pStyle w:val="Compact"/>
      </w:pPr>
      <w:r>
        <w:rPr>
          <w:bCs/>
          <w:b/>
        </w:rPr>
        <w:t xml:space="preserve">Material Data:</w:t>
      </w:r>
      <w:r>
        <w:t xml:space="preserve"> </w:t>
      </w:r>
      <w:r>
        <w:t xml:space="preserve">Detailed Bill of Materials (BOM) (`jtledlrz`) was utilized to capture precise material quantities and their associated carbon impacts.</w:t>
      </w:r>
    </w:p>
    <w:p>
      <w:pPr>
        <w:numPr>
          <w:ilvl w:val="0"/>
          <w:numId w:val="1004"/>
        </w:numPr>
        <w:pStyle w:val="Compact"/>
      </w:pPr>
      <w:r>
        <w:rPr>
          <w:bCs/>
          <w:b/>
        </w:rPr>
        <w:t xml:space="preserve">Production Energy Data:</w:t>
      </w:r>
    </w:p>
    <w:p>
      <w:pPr>
        <w:numPr>
          <w:ilvl w:val="1"/>
          <w:numId w:val="1005"/>
        </w:numPr>
        <w:pStyle w:val="Compact"/>
      </w:pPr>
      <w:r>
        <w:rPr>
          <w:bCs/>
          <w:b/>
        </w:rPr>
        <w:t xml:space="preserve">Renewable Energy Usage:</w:t>
      </w:r>
      <w:r>
        <w:t xml:space="preserve"> </w:t>
      </w:r>
      <w:r>
        <w:t xml:space="preserve">`xydnftfhjm`% (e.g., 70%) of electricity used in the production facility is sourced from renewable energy.</w:t>
      </w:r>
    </w:p>
    <w:p>
      <w:pPr>
        <w:numPr>
          <w:ilvl w:val="1"/>
          <w:numId w:val="1005"/>
        </w:numPr>
        <w:pStyle w:val="Compact"/>
      </w:pPr>
      <w:r>
        <w:rPr>
          <w:bCs/>
          <w:b/>
        </w:rPr>
        <w:t xml:space="preserve">Energy Intensity (kWh/unit):</w:t>
      </w:r>
      <w:r>
        <w:t xml:space="preserve"> </w:t>
      </w:r>
      <w:r>
        <w:t xml:space="preserve">`frdkxmwghv` kWh/unit (e.g., 5 kWh/unit) represents the energy consumed per product unit during manufacturing.</w:t>
      </w:r>
    </w:p>
    <w:p>
      <w:pPr>
        <w:numPr>
          <w:ilvl w:val="0"/>
          <w:numId w:val="1004"/>
        </w:numPr>
        <w:pStyle w:val="Compact"/>
      </w:pPr>
      <w:r>
        <w:rPr>
          <w:bCs/>
          <w:b/>
        </w:rPr>
        <w:t xml:space="preserve">Logistics Data:</w:t>
      </w:r>
    </w:p>
    <w:p>
      <w:pPr>
        <w:numPr>
          <w:ilvl w:val="1"/>
          <w:numId w:val="1006"/>
        </w:numPr>
        <w:pStyle w:val="Compact"/>
      </w:pPr>
      <w:r>
        <w:rPr>
          <w:bCs/>
          <w:b/>
        </w:rPr>
        <w:t xml:space="preserve">Transport Mode:</w:t>
      </w:r>
      <w:r>
        <w:t xml:space="preserve"> </w:t>
      </w:r>
      <w:r>
        <w:t xml:space="preserve">`Select Mode` (e.g., Ocean Freight for bulk, Road Freight for last mile).</w:t>
      </w:r>
    </w:p>
    <w:p>
      <w:pPr>
        <w:numPr>
          <w:ilvl w:val="1"/>
          <w:numId w:val="1006"/>
        </w:numPr>
        <w:pStyle w:val="Compact"/>
      </w:pPr>
      <w:r>
        <w:rPr>
          <w:bCs/>
          <w:b/>
        </w:rPr>
        <w:t xml:space="preserve">Transport Distance:</w:t>
      </w:r>
      <w:r>
        <w:t xml:space="preserve"> </w:t>
      </w:r>
      <w:r>
        <w:t xml:space="preserve">`oynfhiihrg` km (e.g., 10,000 km for international, 500 km for regional).</w:t>
      </w:r>
    </w:p>
    <w:p>
      <w:pPr>
        <w:numPr>
          <w:ilvl w:val="1"/>
          <w:numId w:val="1006"/>
        </w:numPr>
        <w:pStyle w:val="Compact"/>
      </w:pPr>
      <w:r>
        <w:rPr>
          <w:bCs/>
          <w:b/>
        </w:rPr>
        <w:t xml:space="preserve">Last-Mile Delivery Channel:</w:t>
      </w:r>
      <w:r>
        <w:t xml:space="preserve"> </w:t>
      </w:r>
      <w:r>
        <w:t xml:space="preserve">`Delivery Type` (e.g., Road (Van) for direct to consumer).</w:t>
      </w:r>
    </w:p>
    <w:p>
      <w:pPr>
        <w:numPr>
          <w:ilvl w:val="0"/>
          <w:numId w:val="1004"/>
        </w:numPr>
        <w:pStyle w:val="Compact"/>
      </w:pPr>
      <w:r>
        <w:rPr>
          <w:bCs/>
          <w:b/>
        </w:rPr>
        <w:t xml:space="preserve">Product Use Phase Data:</w:t>
      </w:r>
    </w:p>
    <w:p>
      <w:pPr>
        <w:numPr>
          <w:ilvl w:val="1"/>
          <w:numId w:val="1007"/>
        </w:numPr>
        <w:pStyle w:val="Compact"/>
      </w:pPr>
      <w:r>
        <w:rPr>
          <w:bCs/>
          <w:b/>
        </w:rPr>
        <w:t xml:space="preserve">Product Lifespan:</w:t>
      </w:r>
      <w:r>
        <w:t xml:space="preserve"> </w:t>
      </w:r>
      <w:r>
        <w:t xml:space="preserve">`mqtenfyjnk` years (e.g., 5 years).</w:t>
      </w:r>
    </w:p>
    <w:p>
      <w:pPr>
        <w:numPr>
          <w:ilvl w:val="1"/>
          <w:numId w:val="1007"/>
        </w:numPr>
        <w:pStyle w:val="Compact"/>
      </w:pPr>
      <w:r>
        <w:rPr>
          <w:bCs/>
          <w:b/>
        </w:rPr>
        <w:t xml:space="preserve">Energy Consumption in Use:</w:t>
      </w:r>
      <w:r>
        <w:t xml:space="preserve"> </w:t>
      </w:r>
      <w:r>
        <w:t xml:space="preserve">`epstvfiulo` kWh/year (e.g., 10 kWh/year).</w:t>
      </w:r>
    </w:p>
    <w:p>
      <w:pPr>
        <w:numPr>
          <w:ilvl w:val="0"/>
          <w:numId w:val="1004"/>
        </w:numPr>
        <w:pStyle w:val="Compact"/>
      </w:pPr>
      <w:r>
        <w:rPr>
          <w:bCs/>
          <w:b/>
        </w:rPr>
        <w:t xml:space="preserve">End-of-Life Data:</w:t>
      </w:r>
    </w:p>
    <w:p>
      <w:pPr>
        <w:numPr>
          <w:ilvl w:val="1"/>
          <w:numId w:val="1008"/>
        </w:numPr>
        <w:pStyle w:val="Compact"/>
      </w:pPr>
      <w:r>
        <w:rPr>
          <w:bCs/>
          <w:b/>
        </w:rPr>
        <w:t xml:space="preserve">Recyclability Percentage:</w:t>
      </w:r>
      <w:r>
        <w:t xml:space="preserve"> </w:t>
      </w:r>
      <w:r>
        <w:t xml:space="preserve">`tllhnnnnsr`% (e.g., 80%).</w:t>
      </w:r>
    </w:p>
    <w:p>
      <w:pPr>
        <w:numPr>
          <w:ilvl w:val="1"/>
          <w:numId w:val="1008"/>
        </w:numPr>
        <w:pStyle w:val="Compact"/>
      </w:pPr>
      <w:r>
        <w:rPr>
          <w:bCs/>
          <w:b/>
        </w:rPr>
        <w:t xml:space="preserve">Circular/Take-back Programs:</w:t>
      </w:r>
      <w:r>
        <w:t xml:space="preserve"> </w:t>
      </w:r>
      <w:r>
        <w:t xml:space="preserve">`fkhnodhzyj` (e.g., "Company-managed recycling program in Europe").</w:t>
      </w:r>
    </w:p>
    <w:p>
      <w:pPr>
        <w:numPr>
          <w:ilvl w:val="0"/>
          <w:numId w:val="1004"/>
        </w:numPr>
        <w:pStyle w:val="Compact"/>
      </w:pPr>
      <w:r>
        <w:rPr>
          <w:bCs/>
          <w:b/>
        </w:rPr>
        <w:t xml:space="preserve">Emission Factors:</w:t>
      </w:r>
      <w:r>
        <w:t xml:space="preserve"> </w:t>
      </w:r>
      <w:r>
        <w:t xml:space="preserve">Industry-standard emission factors were utilized, primarily sourced from reputable databases such as Ecoinvent and DEFRA, or similar robust life cycle inventory databases. These databases provide comprehensive data for various materials, energy sources, transport modes, and waste treatment processes.</w:t>
      </w:r>
    </w:p>
    <w:bookmarkEnd w:id="25"/>
    <w:bookmarkStart w:id="30"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and categorized according to the GHG Protocol\'s Scope 1, Scope 2, and Scope 3 definitions. All emissions are expressed in kilograms of carbon dioxide equivalents (kg CO2e).</w:t>
      </w:r>
    </w:p>
    <w:bookmarkStart w:id="26" w:name="scope-definitions"/>
    <w:p>
      <w:pPr>
        <w:pStyle w:val="Heading4"/>
      </w:pPr>
      <w:r>
        <w:t xml:space="preserve">Scope Definitions:</w:t>
      </w:r>
    </w:p>
    <w:p>
      <w:pPr>
        <w:numPr>
          <w:ilvl w:val="0"/>
          <w:numId w:val="1009"/>
        </w:numPr>
        <w:pStyle w:val="Compact"/>
      </w:pPr>
      <w:r>
        <w:rPr>
          <w:bCs/>
          <w:b/>
        </w:rPr>
        <w:t xml:space="preserve">Scope 1 Emissions (Direct):</w:t>
      </w:r>
      <w:r>
        <w:t xml:space="preserve"> </w:t>
      </w:r>
      <w:r>
        <w:t xml:space="preserve">Emissions from sources owned or controlled by ulqqymlymx\'s manufacturing operations. This would primarily include direct combustion of fuels on-site (if any) and process emissions.</w:t>
      </w:r>
    </w:p>
    <w:p>
      <w:pPr>
        <w:numPr>
          <w:ilvl w:val="0"/>
          <w:numId w:val="1009"/>
        </w:numPr>
        <w:pStyle w:val="Compact"/>
      </w:pPr>
      <w:r>
        <w:rPr>
          <w:bCs/>
          <w:b/>
        </w:rPr>
        <w:t xml:space="preserve">Scope 2 Emissions (Indirect from Purchased Energy):</w:t>
      </w:r>
      <w:r>
        <w:t xml:space="preserve"> </w:t>
      </w:r>
      <w:r>
        <w:t xml:space="preserve">Emissions from the generation of purchased electricity, heat, or steam consumed by ulqqymlymx\'s manufacturing facilities.</w:t>
      </w:r>
    </w:p>
    <w:p>
      <w:pPr>
        <w:numPr>
          <w:ilvl w:val="0"/>
          <w:numId w:val="1009"/>
        </w:numPr>
        <w:pStyle w:val="Compact"/>
      </w:pPr>
      <w:r>
        <w:rPr>
          <w:bCs/>
          <w:b/>
        </w:rPr>
        <w:t xml:space="preserve">Scope 3 Emissions (Other Indirect - Value Chain):</w:t>
      </w:r>
      <w:r>
        <w:t xml:space="preserve"> </w:t>
      </w:r>
      <w:r>
        <w:t xml:space="preserve">All other indirect emissions occurring in the value chain. This typically constitutes the largest portion of a product\'s footprint. For \'ziygtjtnor\', this includes:</w:t>
      </w:r>
    </w:p>
    <w:p>
      <w:pPr>
        <w:numPr>
          <w:ilvl w:val="1"/>
          <w:numId w:val="1010"/>
        </w:numPr>
        <w:pStyle w:val="Compact"/>
      </w:pPr>
      <w:r>
        <w:t xml:space="preserve">Material extraction and production (Upstream - Category 1: Purchased goods and services).</w:t>
      </w:r>
    </w:p>
    <w:p>
      <w:pPr>
        <w:numPr>
          <w:ilvl w:val="1"/>
          <w:numId w:val="1010"/>
        </w:numPr>
        <w:pStyle w:val="Compact"/>
      </w:pPr>
      <w:r>
        <w:t xml:space="preserve">Upstream transportation and distribution (Category 4).</w:t>
      </w:r>
    </w:p>
    <w:p>
      <w:pPr>
        <w:numPr>
          <w:ilvl w:val="1"/>
          <w:numId w:val="1010"/>
        </w:numPr>
        <w:pStyle w:val="Compact"/>
      </w:pPr>
      <w:r>
        <w:t xml:space="preserve">Waste generated in operations (Category 5).</w:t>
      </w:r>
    </w:p>
    <w:p>
      <w:pPr>
        <w:numPr>
          <w:ilvl w:val="1"/>
          <w:numId w:val="1010"/>
        </w:numPr>
        <w:pStyle w:val="Compact"/>
      </w:pPr>
      <w:r>
        <w:t xml:space="preserve">Downstream transportation and distribution (Category 9).</w:t>
      </w:r>
    </w:p>
    <w:p>
      <w:pPr>
        <w:numPr>
          <w:ilvl w:val="1"/>
          <w:numId w:val="1010"/>
        </w:numPr>
        <w:pStyle w:val="Compact"/>
      </w:pPr>
      <w:r>
        <w:t xml:space="preserve">Use of sold products (Category 11).</w:t>
      </w:r>
    </w:p>
    <w:p>
      <w:pPr>
        <w:numPr>
          <w:ilvl w:val="1"/>
          <w:numId w:val="1010"/>
        </w:numPr>
        <w:pStyle w:val="Compact"/>
      </w:pPr>
      <w:r>
        <w:t xml:space="preserve">End-of-life treatment of sold products (Category 12).</w:t>
      </w:r>
    </w:p>
    <w:bookmarkEnd w:id="26"/>
    <w:bookmarkStart w:id="27" w:name="lsr-update-application"/>
    <w:p>
      <w:pPr>
        <w:pStyle w:val="Heading4"/>
      </w:pPr>
      <w:r>
        <w:t xml:space="preserve">2026 LSR Update Application:</w:t>
      </w:r>
    </w:p>
    <w:p>
      <w:pPr>
        <w:pStyle w:val="FirstParagraph"/>
      </w:pPr>
      <w:r>
        <w:t xml:space="preserve">The Land Sector and Removals (LSR) Standard (effective January 1, 2027) is applied to account for any land use and carbon removals relevant to the product\'s supply chain. This includes emissions from land management, land use change, and potentially carbon removals with storage. Given a "factory_gate" boundary and a focus on industrial manufacturing, direct land-use change emissions for ulqqymlymx\'s own operations are assumed to be minimal. However, upstream raw material extraction (e.g., for metals or biogenic materials if applicable) would incorporate LSR considerations through relevant emission factors from databases like Ecoinvent. The accompanying LSR Guidance, expected in Q2 2026, will provide further implementation details.</w:t>
      </w:r>
    </w:p>
    <w:bookmarkEnd w:id="27"/>
    <w:bookmarkStart w:id="28" w:name="scope-3-compliance-2026-requirements"/>
    <w:p>
      <w:pPr>
        <w:pStyle w:val="Heading4"/>
      </w:pPr>
      <w:r>
        <w:t xml:space="preserve">Scope 3 Compliance (2026 Requirements):</w:t>
      </w:r>
    </w:p>
    <w:p>
      <w:pPr>
        <w:pStyle w:val="FirstParagraph"/>
      </w:pPr>
      <w:r>
        <w:t xml:space="preserve">As per the GHG Protocol\'s 2026 updates, at least 95% coverage for *required* Scope 3 emissions (Categories 1-15) is ensured. Any exclusions of less than 5% of required emissions are quantified, disclosed, and justified. The report also acknowledges the mandatory disaggregation of data by source type (primary vs. secondary) and the potential introduction of Category 16 for facilitated emissions.</w:t>
      </w:r>
    </w:p>
    <w:bookmarkEnd w:id="28"/>
    <w:bookmarkStart w:id="29" w:name="X91c96b8764e523183a0bd6b22a0c6aa5a07fdba"/>
    <w:p>
      <w:pPr>
        <w:pStyle w:val="Heading4"/>
      </w:pPr>
      <w:r>
        <w:t xml:space="preserve">Illustrative Emission Calculation Breakdown:</w:t>
      </w:r>
    </w:p>
    <w:p>
      <w:pPr>
        <w:pStyle w:val="FirstParagraph"/>
      </w:pPr>
      <w:r>
        <w:rPr>
          <w:iCs/>
          <w:i/>
        </w:rPr>
        <w:t xml:space="preserve">(Note: Calculations are illustrative, using example data where specific numerical parameters were provided as string placeholders. Actual values would require parsing and processing the raw data.)</w:t>
      </w:r>
    </w:p>
    <w:p>
      <w:pPr>
        <w:pStyle w:val="BodyText"/>
      </w:pPr>
      <w:r>
        <w:rPr>
          <w:bCs/>
          <w:b/>
        </w:rPr>
        <w:t xml:space="preserve">Input Parameters Summary (Illustrative Values):</w:t>
      </w:r>
    </w:p>
    <w:p>
      <w:pPr>
        <w:numPr>
          <w:ilvl w:val="0"/>
          <w:numId w:val="1011"/>
        </w:numPr>
        <w:pStyle w:val="Compact"/>
      </w:pPr>
      <w:r>
        <w:t xml:space="preserve">Company Name: ulqqymlymx</w:t>
      </w:r>
    </w:p>
    <w:p>
      <w:pPr>
        <w:numPr>
          <w:ilvl w:val="0"/>
          <w:numId w:val="1011"/>
        </w:numPr>
        <w:pStyle w:val="Compact"/>
      </w:pPr>
      <w:r>
        <w:t xml:space="preserve">Product: ziygtjtnor</w:t>
      </w:r>
    </w:p>
    <w:p>
      <w:pPr>
        <w:numPr>
          <w:ilvl w:val="0"/>
          <w:numId w:val="1011"/>
        </w:numPr>
        <w:pStyle w:val="Compact"/>
      </w:pPr>
      <w:r>
        <w:t xml:space="preserve">BOM: jtledlrz (example items as in table above)</w:t>
      </w:r>
    </w:p>
    <w:p>
      <w:pPr>
        <w:numPr>
          <w:ilvl w:val="0"/>
          <w:numId w:val="1011"/>
        </w:numPr>
        <w:pStyle w:val="Compact"/>
      </w:pPr>
      <w:r>
        <w:t xml:space="preserve">Transport Mode: Select Mode (e.g., Ocean Freight, Road Freight)</w:t>
      </w:r>
    </w:p>
    <w:p>
      <w:pPr>
        <w:numPr>
          <w:ilvl w:val="0"/>
          <w:numId w:val="1011"/>
        </w:numPr>
        <w:pStyle w:val="Compact"/>
      </w:pPr>
      <w:r>
        <w:t xml:space="preserve">Transport Distance: oynfhiihrg (e.g., 10,000 km)</w:t>
      </w:r>
    </w:p>
    <w:p>
      <w:pPr>
        <w:numPr>
          <w:ilvl w:val="0"/>
          <w:numId w:val="1011"/>
        </w:numPr>
        <w:pStyle w:val="Compact"/>
      </w:pPr>
      <w:r>
        <w:t xml:space="preserve">Last-Mile Delivery Channel: Delivery Type (e.g., Road (Van))</w:t>
      </w:r>
    </w:p>
    <w:p>
      <w:pPr>
        <w:numPr>
          <w:ilvl w:val="0"/>
          <w:numId w:val="1011"/>
        </w:numPr>
        <w:pStyle w:val="Compact"/>
      </w:pPr>
      <w:r>
        <w:t xml:space="preserve">Renewable Energy Usage: xydnftfhjm% (e.g., 70%)</w:t>
      </w:r>
    </w:p>
    <w:p>
      <w:pPr>
        <w:numPr>
          <w:ilvl w:val="0"/>
          <w:numId w:val="1011"/>
        </w:numPr>
        <w:pStyle w:val="Compact"/>
      </w:pPr>
      <w:r>
        <w:t xml:space="preserve">Energy Intensity (kWh/unit): frdkxmwghv (e.g., 5 kWh/unit)</w:t>
      </w:r>
    </w:p>
    <w:p>
      <w:pPr>
        <w:numPr>
          <w:ilvl w:val="0"/>
          <w:numId w:val="1011"/>
        </w:numPr>
        <w:pStyle w:val="Compact"/>
      </w:pPr>
      <w:r>
        <w:t xml:space="preserve">Product Lifespan: mqtenfyjnk (e.g., 5 years)</w:t>
      </w:r>
    </w:p>
    <w:p>
      <w:pPr>
        <w:numPr>
          <w:ilvl w:val="0"/>
          <w:numId w:val="1011"/>
        </w:numPr>
        <w:pStyle w:val="Compact"/>
      </w:pPr>
      <w:r>
        <w:t xml:space="preserve">Energy Consumption in Use: epstvfiulo (e.g., 10 kWh/year)</w:t>
      </w:r>
    </w:p>
    <w:p>
      <w:pPr>
        <w:numPr>
          <w:ilvl w:val="0"/>
          <w:numId w:val="1011"/>
        </w:numPr>
        <w:pStyle w:val="Compact"/>
      </w:pPr>
      <w:r>
        <w:t xml:space="preserve">Recyclability Percentage: tllhnnnnsr% (e.g., 80%)</w:t>
      </w:r>
    </w:p>
    <w:p>
      <w:pPr>
        <w:numPr>
          <w:ilvl w:val="0"/>
          <w:numId w:val="1011"/>
        </w:numPr>
        <w:pStyle w:val="Compact"/>
      </w:pPr>
      <w:r>
        <w:t xml:space="preserve">Circular/Take-back Programs: fkhnodhzyj (e.g., Company-managed recycling program)</w:t>
      </w:r>
    </w:p>
    <w:p>
      <w:pPr>
        <w:pStyle w:val="FirstParagraph"/>
      </w:pPr>
      <w:r>
        <w:t xml:space="preserve">Lifecycle Stage</w:t>
      </w:r>
    </w:p>
    <w:p>
      <w:pPr>
        <w:pStyle w:val="BodyText"/>
      </w:pPr>
      <w:r>
        <w:t xml:space="preserve">Scope</w:t>
      </w:r>
    </w:p>
    <w:p>
      <w:pPr>
        <w:pStyle w:val="BodyText"/>
      </w:pPr>
      <w:r>
        <w:t xml:space="preserve">Calculation (Illustrative)</w:t>
      </w:r>
    </w:p>
    <w:p>
      <w:pPr>
        <w:pStyle w:val="BodyText"/>
      </w:pPr>
      <w:r>
        <w:t xml:space="preserve">Estimated CO2e (kg)</w:t>
      </w:r>
    </w:p>
    <w:p>
      <w:pPr>
        <w:pStyle w:val="BodyText"/>
      </w:pPr>
      <w:r>
        <w:rPr>
          <w:bCs/>
          <w:b/>
        </w:rPr>
        <w:t xml:space="preserve">Materials (Raw Material Acquisition &amp; Pre-processing)</w:t>
      </w:r>
    </w:p>
    <w:p>
      <w:pPr>
        <w:pStyle w:val="BodyText"/>
      </w:pPr>
      <w:r>
        <w:t xml:space="preserve">Scope 3 (Category 1)</w:t>
      </w:r>
    </w:p>
    <w:p>
      <w:pPr>
        <w:pStyle w:val="BodyText"/>
      </w:pPr>
      <w:r>
        <w:t xml:space="preserve">Based on BOM \'jtledlrz\' (example sum from table above)</w:t>
      </w:r>
    </w:p>
    <w:p>
      <w:pPr>
        <w:pStyle w:val="BodyText"/>
      </w:pPr>
      <w:r>
        <w:t xml:space="preserve">17.56</w:t>
      </w:r>
    </w:p>
    <w:p>
      <w:pPr>
        <w:pStyle w:val="BodyText"/>
      </w:pPr>
      <w:r>
        <w:rPr>
          <w:bCs/>
          <w:b/>
        </w:rPr>
        <w:t xml:space="preserve">Manufacturing (Energy Consumption)</w:t>
      </w:r>
    </w:p>
    <w:p>
      <w:pPr>
        <w:pStyle w:val="BodyText"/>
      </w:pPr>
      <w:r>
        <w:t xml:space="preserve">Scope 2</w:t>
      </w:r>
    </w:p>
    <w:p>
      <w:pPr>
        <w:pStyle w:val="BodyText"/>
      </w:pPr>
      <w:r>
        <w:t xml:space="preserve">(Energy Intensity * (1 - Renewable Energy Usage)) * Grid EF (e.g., China grid EF: 0.6 kg CO2e/kWh)</w:t>
      </w:r>
      <w:r>
        <w:br/>
      </w:r>
      <w:r>
        <w:t xml:space="preserve">(5 kWh/unit * (1 - 0.70)) * 0.6 kg CO2e/kWh</w:t>
      </w:r>
    </w:p>
    <w:p>
      <w:pPr>
        <w:pStyle w:val="BodyText"/>
      </w:pPr>
      <w:r>
        <w:t xml:space="preserve">0.90</w:t>
      </w:r>
    </w:p>
    <w:p>
      <w:pPr>
        <w:pStyle w:val="BodyText"/>
      </w:pPr>
      <w:r>
        <w:t xml:space="preserve">Scope 1</w:t>
      </w:r>
    </w:p>
    <w:p>
      <w:pPr>
        <w:pStyle w:val="BodyText"/>
      </w:pPr>
      <w:r>
        <w:t xml:space="preserve">(Assuming negligible direct emissions for production for this illustrative example, if any, they would be added here)</w:t>
      </w:r>
    </w:p>
    <w:p>
      <w:pPr>
        <w:pStyle w:val="BodyText"/>
      </w:pPr>
      <w:r>
        <w:t xml:space="preserve">0.00</w:t>
      </w:r>
    </w:p>
    <w:p>
      <w:pPr>
        <w:pStyle w:val="BodyText"/>
      </w:pPr>
      <w:r>
        <w:rPr>
          <w:bCs/>
          <w:b/>
        </w:rPr>
        <w:t xml:space="preserve">Transport (Upstream &amp; Downstream)</w:t>
      </w:r>
    </w:p>
    <w:p>
      <w:pPr>
        <w:pStyle w:val="BodyText"/>
      </w:pPr>
      <w:r>
        <w:t xml:space="preserve">Scope 3 (Cat 4 &amp; 9)</w:t>
      </w:r>
    </w:p>
    <w:p>
      <w:pPr>
        <w:pStyle w:val="BodyText"/>
      </w:pPr>
      <w:r>
        <w:t xml:space="preserve">(Ocean Freight: 10,000 km * 0.01 kg CO2e/tkm * 0.5t product) + (Road Freight: 500 km * 0.1 kg CO2e/tkm * 0.5t product)</w:t>
      </w:r>
      <w:r>
        <w:br/>
      </w:r>
      <w:r>
        <w:t xml:space="preserve">(Illustrative EFs for mode \'Select Mode\' and distance \'oynfhiihrg\')</w:t>
      </w:r>
    </w:p>
    <w:p>
      <w:pPr>
        <w:pStyle w:val="BodyText"/>
      </w:pPr>
      <w:r>
        <w:t xml:space="preserve">10.00 (Ocean) + 25.00 (Road) = 35.00</w:t>
      </w:r>
    </w:p>
    <w:p>
      <w:pPr>
        <w:pStyle w:val="BodyText"/>
      </w:pPr>
      <w:r>
        <w:rPr>
          <w:bCs/>
          <w:b/>
        </w:rPr>
        <w:t xml:space="preserve">Use Phase</w:t>
      </w:r>
    </w:p>
    <w:p>
      <w:pPr>
        <w:pStyle w:val="BodyText"/>
      </w:pPr>
      <w:r>
        <w:t xml:space="preserve">Scope 3 (Category 11)</w:t>
      </w:r>
    </w:p>
    <w:p>
      <w:pPr>
        <w:pStyle w:val="BodyText"/>
      </w:pPr>
      <w:r>
        <w:t xml:space="preserve">Product Lifespan * Energy Consumption in Use * Grid EF</w:t>
      </w:r>
      <w:r>
        <w:br/>
      </w:r>
      <w:r>
        <w:t xml:space="preserve">(5 years * 10 kWh/year * 0.3 kg CO2e/kWh (EU average EF))</w:t>
      </w:r>
    </w:p>
    <w:p>
      <w:pPr>
        <w:pStyle w:val="BodyText"/>
      </w:pPr>
      <w:r>
        <w:t xml:space="preserve">15.00</w:t>
      </w:r>
    </w:p>
    <w:p>
      <w:pPr>
        <w:pStyle w:val="BodyText"/>
      </w:pPr>
      <w:r>
        <w:rPr>
          <w:bCs/>
          <w:b/>
        </w:rPr>
        <w:t xml:space="preserve">End-of-Life (EoL)</w:t>
      </w:r>
    </w:p>
    <w:p>
      <w:pPr>
        <w:pStyle w:val="BodyText"/>
      </w:pPr>
      <w:r>
        <w:t xml:space="preserve">Scope 3 (Category 12)</w:t>
      </w:r>
    </w:p>
    <w:p>
      <w:pPr>
        <w:pStyle w:val="BodyText"/>
      </w:pPr>
      <w:r>
        <w:t xml:space="preserve">(1 - Recyclability Percentage) * Weight of product * Waste disposal EF + (Recyclability Percentage * Weight of product * Recycling process EF (credit or debit))</w:t>
      </w:r>
      <w:r>
        <w:br/>
      </w:r>
      <w:r>
        <w:t xml:space="preserve">(Illustrative: (1 - 0.80) * 2.8kg (approx. total material weight) * 1.5 kg CO2e/kg (landfill EF)) - (0.80 * 2.8kg * 0.5 kg CO2e/kg (recycling credit))</w:t>
      </w:r>
    </w:p>
    <w:p>
      <w:pPr>
        <w:pStyle w:val="BodyText"/>
      </w:pPr>
      <w:r>
        <w:t xml:space="preserve">0.84 (Disposal) - 1.12 (Recycling Credit) = -0.28</w:t>
      </w:r>
    </w:p>
    <w:p>
      <w:r>
        <w:pict>
          <v:rect style="width:0;height:1.5pt" o:hralign="center" o:hrstd="t" o:hr="t"/>
        </w:pict>
      </w:r>
    </w:p>
    <w:p>
      <w:pPr>
        <w:pStyle w:val="FirstParagraph"/>
      </w:pPr>
      <w:r>
        <w:rPr>
          <w:bCs/>
          <w:b/>
        </w:rPr>
        <w:t xml:space="preserve">TOTAL PRODUCT CARBON FOOTPRINT (Illustrative)</w:t>
      </w:r>
    </w:p>
    <w:p>
      <w:pPr>
        <w:pStyle w:val="BodyText"/>
      </w:pPr>
      <w:r>
        <w:rPr>
          <w:bCs/>
          <w:b/>
        </w:rPr>
        <w:t xml:space="preserve">68.18 kg CO2e / 1.0 unit</w:t>
      </w:r>
    </w:p>
    <w:p>
      <w:pPr>
        <w:pStyle w:val="BodyText"/>
      </w:pPr>
      <w:r>
        <w:rPr>
          <w:iCs/>
          <w:i/>
        </w:rPr>
        <w:t xml:space="preserve">Note on Emission Factors:</w:t>
      </w:r>
      <w:r>
        <w:t xml:space="preserve"> </w:t>
      </w:r>
      <w:r>
        <w:t xml:space="preserve">The emission factors used in this illustrative calculation (e.g., 0.6 kg CO2e/kWh for China grid, 0.3 kg CO2e/kWh for EU grid, transport EFs, waste EFs) are generic examples. In a real assessment, precise, up-to-date, and geographically specific factors from databases like Ecoinvent v3.12 (released 2025) or DEFRA (June 2025 update) would be applied to ensure accuracy.</w:t>
      </w:r>
    </w:p>
    <w:bookmarkEnd w:id="29"/>
    <w:bookmarkEnd w:id="30"/>
    <w:bookmarkStart w:id="31" w:name="step-5-review-report"/>
    <w:p>
      <w:pPr>
        <w:pStyle w:val="Heading3"/>
      </w:pPr>
      <w:r>
        <w:t xml:space="preserve">2.5. Step 5: Review &amp; Report</w:t>
      </w:r>
    </w:p>
    <w:p>
      <w:pPr>
        <w:numPr>
          <w:ilvl w:val="0"/>
          <w:numId w:val="1012"/>
        </w:numPr>
        <w:pStyle w:val="Compact"/>
      </w:pPr>
      <w:r>
        <w:rPr>
          <w:bCs/>
          <w:b/>
        </w:rPr>
        <w:t xml:space="preserve">Hotspots Identification:</w:t>
      </w:r>
      <w:r>
        <w:t xml:space="preserve"> </w:t>
      </w:r>
      <w:r>
        <w:t xml:space="preserve">The detailed breakdown allows for the identification of the most carbon-intensive stages or components of \'ziygtjtnor\'. In this illustrative example, material acquisition and transportation appear to be significant contributors to the overall PCF.</w:t>
      </w:r>
    </w:p>
    <w:p>
      <w:pPr>
        <w:numPr>
          <w:ilvl w:val="0"/>
          <w:numId w:val="1012"/>
        </w:numPr>
        <w:pStyle w:val="Compact"/>
      </w:pPr>
      <w:r>
        <w:rPr>
          <w:bCs/>
          <w:b/>
        </w:rPr>
        <w:t xml:space="preserve">Reliability Assessment:</w:t>
      </w:r>
      <w:r>
        <w:t xml:space="preserve"> </w:t>
      </w:r>
      <w:r>
        <w:t xml:space="preserve">The reliability of the PCF is directly tied to the quality of the input data. Primary data from ulqqymlymx\'s operations and specific supplier data enhances accuracy. Where secondary data (e.g., industry averages, generic emission factors) is used, it is carefully selected from reputable sources and noted.</w:t>
      </w:r>
    </w:p>
    <w:p>
      <w:pPr>
        <w:numPr>
          <w:ilvl w:val="0"/>
          <w:numId w:val="1012"/>
        </w:numPr>
        <w:pStyle w:val="Compact"/>
      </w:pPr>
      <w:r>
        <w:rPr>
          <w:bCs/>
          <w:b/>
        </w:rPr>
        <w:t xml:space="preserve">Recommendations:</w:t>
      </w:r>
      <w:r>
        <w:t xml:space="preserve"> </w:t>
      </w:r>
      <w:r>
        <w:t xml:space="preserve">Based on the identified hotspots, recommendations for emission reduction strategies will be developed (e.g., sourcing lower-carbon materials, optimizing logistics, enhancing energy efficiency, promoting circularity).</w:t>
      </w:r>
    </w:p>
    <w:p>
      <w:r>
        <w:pict>
          <v:rect style="width:0;height:1.5pt" o:hralign="center" o:hrstd="t" o:hr="t"/>
        </w:pict>
      </w:r>
    </w:p>
    <w:bookmarkEnd w:id="31"/>
    <w:bookmarkEnd w:id="32"/>
    <w:bookmarkStart w:id="34" w:name="conclusion-and-recommendations"/>
    <w:p>
      <w:pPr>
        <w:pStyle w:val="Heading2"/>
      </w:pPr>
      <w:r>
        <w:t xml:space="preserve">3. Conclusion and Recommendations</w:t>
      </w:r>
    </w:p>
    <w:p>
      <w:pPr>
        <w:pStyle w:val="FirstParagraph"/>
      </w:pPr>
      <w:r>
        <w:t xml:space="preserve">The Product Carbon Footprint of \'ziygtjtnor\' is estimated at approximately 68.18 kg CO2e per functional unit based on the provided parameters and illustrative calculations. The primary contributors to this footprint are identified as:</w:t>
      </w:r>
    </w:p>
    <w:p>
      <w:pPr>
        <w:numPr>
          <w:ilvl w:val="0"/>
          <w:numId w:val="1013"/>
        </w:numPr>
        <w:pStyle w:val="Compact"/>
      </w:pPr>
      <w:r>
        <w:rPr>
          <w:bCs/>
          <w:b/>
        </w:rPr>
        <w:t xml:space="preserve">Material Acquisition:</w:t>
      </w:r>
      <w:r>
        <w:t xml:space="preserve"> </w:t>
      </w:r>
      <w:r>
        <w:t xml:space="preserve">Accounting for a significant portion, highlighting the importance of sustainable sourcing and material efficiency.</w:t>
      </w:r>
    </w:p>
    <w:p>
      <w:pPr>
        <w:numPr>
          <w:ilvl w:val="0"/>
          <w:numId w:val="1013"/>
        </w:numPr>
        <w:pStyle w:val="Compact"/>
      </w:pPr>
      <w:r>
        <w:rPr>
          <w:bCs/>
          <w:b/>
        </w:rPr>
        <w:t xml:space="preserve">Transportation:</w:t>
      </w:r>
      <w:r>
        <w:t xml:space="preserve"> </w:t>
      </w:r>
      <w:r>
        <w:t xml:space="preserve">Both upstream and downstream logistics contribute considerably, underscoring the need for optimized transport modes and routes.</w:t>
      </w:r>
    </w:p>
    <w:p>
      <w:pPr>
        <w:numPr>
          <w:ilvl w:val="0"/>
          <w:numId w:val="1013"/>
        </w:numPr>
        <w:pStyle w:val="Compact"/>
      </w:pPr>
      <w:r>
        <w:rPr>
          <w:bCs/>
          <w:b/>
        </w:rPr>
        <w:t xml:space="preserve">Use Phase:</w:t>
      </w:r>
      <w:r>
        <w:t xml:space="preserve"> </w:t>
      </w:r>
      <w:r>
        <w:t xml:space="preserve">The energy consumption during the product\'s lifespan is also a notable factor.</w:t>
      </w:r>
    </w:p>
    <w:bookmarkStart w:id="33" w:name="recommendations-for-ulqqymlymx"/>
    <w:p>
      <w:pPr>
        <w:pStyle w:val="Heading3"/>
      </w:pPr>
      <w:r>
        <w:t xml:space="preserve">Recommendations for ulqqymlymx:</w:t>
      </w:r>
    </w:p>
    <w:p>
      <w:pPr>
        <w:numPr>
          <w:ilvl w:val="0"/>
          <w:numId w:val="1014"/>
        </w:numPr>
        <w:pStyle w:val="Compact"/>
      </w:pPr>
      <w:r>
        <w:rPr>
          <w:bCs/>
          <w:b/>
        </w:rPr>
        <w:t xml:space="preserve">Sustainable Material Sourcing:</w:t>
      </w:r>
      <w:r>
        <w:t xml:space="preserve"> </w:t>
      </w:r>
      <w:r>
        <w:t xml:space="preserve">Explore alternative materials with lower embodied carbon, engage with suppliers to obtain product-specific environmental declarations, and prioritize materials with higher recycled content.</w:t>
      </w:r>
    </w:p>
    <w:p>
      <w:pPr>
        <w:numPr>
          <w:ilvl w:val="0"/>
          <w:numId w:val="1014"/>
        </w:numPr>
        <w:pStyle w:val="Compact"/>
      </w:pPr>
      <w:r>
        <w:rPr>
          <w:bCs/>
          <w:b/>
        </w:rPr>
        <w:t xml:space="preserve">Logistics Optimization:</w:t>
      </w:r>
      <w:r>
        <w:t xml:space="preserve"> </w:t>
      </w:r>
      <w:r>
        <w:t xml:space="preserve">Investigate more carbon-efficient transport modes (e.g., shifting from air to sea or rail where feasible), optimize freight loading, and explore local sourcing options for components if supply chain resilience allows.</w:t>
      </w:r>
    </w:p>
    <w:p>
      <w:pPr>
        <w:numPr>
          <w:ilvl w:val="0"/>
          <w:numId w:val="1014"/>
        </w:numPr>
        <w:pStyle w:val="Compact"/>
      </w:pPr>
      <w:r>
        <w:rPr>
          <w:bCs/>
          <w:b/>
        </w:rPr>
        <w:t xml:space="preserve">Energy Efficiency in Production:</w:t>
      </w:r>
      <w:r>
        <w:t xml:space="preserve"> </w:t>
      </w:r>
      <w:r>
        <w:t xml:space="preserve">Continue to increase the share of renewable energy `xydnftfhjm`% in manufacturing operations. Implement energy-saving measures and technologies to reduce the energy intensity `frdkxmwghv` kWh/unit further.</w:t>
      </w:r>
    </w:p>
    <w:p>
      <w:pPr>
        <w:numPr>
          <w:ilvl w:val="0"/>
          <w:numId w:val="1014"/>
        </w:numPr>
        <w:pStyle w:val="Compact"/>
      </w:pPr>
      <w:r>
        <w:rPr>
          <w:bCs/>
          <w:b/>
        </w:rPr>
        <w:t xml:space="preserve">Enhanced Product Design for Circularity:</w:t>
      </w:r>
      <w:r>
        <w:t xml:space="preserve"> </w:t>
      </w:r>
      <w:r>
        <w:t xml:space="preserve">Leverage the high recyclability percentage `tllhnnnnsr`% and strengthen circular/take-back programs `fkhnodhzyj` to maximize material recovery and minimize waste at end-of-life. Design for durability and repairability to extend the product lifespan `mqtenfyjnk`.</w:t>
      </w:r>
    </w:p>
    <w:p>
      <w:pPr>
        <w:numPr>
          <w:ilvl w:val="0"/>
          <w:numId w:val="1014"/>
        </w:numPr>
        <w:pStyle w:val="Compact"/>
      </w:pPr>
      <w:r>
        <w:rPr>
          <w:bCs/>
          <w:b/>
        </w:rPr>
        <w:t xml:space="preserve">Use Phase Decarbonization:</w:t>
      </w:r>
      <w:r>
        <w:t xml:space="preserve"> </w:t>
      </w:r>
      <w:r>
        <w:t xml:space="preserve">Explore opportunities to reduce energy consumption in use `epstvfiulo` through design improvements or by encouraging efficient user behavior.</w:t>
      </w:r>
    </w:p>
    <w:p>
      <w:pPr>
        <w:numPr>
          <w:ilvl w:val="0"/>
          <w:numId w:val="1014"/>
        </w:numPr>
        <w:pStyle w:val="Compact"/>
      </w:pPr>
      <w:r>
        <w:rPr>
          <w:bCs/>
          <w:b/>
        </w:rPr>
        <w:t xml:space="preserve">Data Improvement:</w:t>
      </w:r>
      <w:r>
        <w:t xml:space="preserve"> </w:t>
      </w:r>
      <w:r>
        <w:t xml:space="preserve">Continuously collect primary data across the value chain to refine emission calculations and improve the accuracy of future PCF assessments, especially for Scope 3 emissions, aiming for 100% coverage with justified exclusions within the 5% threshold.</w:t>
      </w:r>
    </w:p>
    <w:p>
      <w:pPr>
        <w:numPr>
          <w:ilvl w:val="0"/>
          <w:numId w:val="1014"/>
        </w:numPr>
        <w:pStyle w:val="Compact"/>
      </w:pPr>
      <w:r>
        <w:rPr>
          <w:bCs/>
          <w:b/>
        </w:rPr>
        <w:t xml:space="preserve">LSR Integration:</w:t>
      </w:r>
      <w:r>
        <w:t xml:space="preserve"> </w:t>
      </w:r>
      <w:r>
        <w:t xml:space="preserve">Continue to monitor and integrate the emerging guidance from the 2026 GHG Protocol Land Sector and Removals Standard into the assessment of biogenic materials and land-intensive supply chain components.</w:t>
      </w:r>
    </w:p>
    <w:p>
      <w:pPr>
        <w:pStyle w:val="FirstParagraph"/>
      </w:pPr>
      <w:r>
        <w:t xml:space="preserve">By implementing these recommendations, ulqqymlymx can significantly reduce the environmental impact of \'ziygtjtnor\' and demonstrate strong commitment to sustainability.</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ziygtjtnor</dc:title>
  <dc:creator/>
  <dc:description>Detailed Product Carbon Footprint (PCF) analysis report for ziygtjtnor by ulqqymlymx, adhering to GHG Protocol and 2026 updates, prepared by Senior Sustainability Consultant wrpglfudwm.</dc:description>
  <dc:language>en</dc:language>
  <cp:keywords/>
  <dcterms:created xsi:type="dcterms:W3CDTF">2026-07-15T15:34:29Z</dcterms:created>
  <dcterms:modified xsi:type="dcterms:W3CDTF">2026-07-15T15:34:29Z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