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xtpqkpnlsz</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xtpqkpnlsz</w:t>
      </w:r>
    </w:p>
    <w:p>
      <w:pPr>
        <w:pStyle w:val="BodyText"/>
      </w:pPr>
      <w:r>
        <w:rPr>
          <w:bCs/>
          <w:b/>
        </w:rPr>
        <w:t xml:space="preserve">Company Name:</w:t>
      </w:r>
      <w:r>
        <w:t xml:space="preserve"> </w:t>
      </w:r>
      <w:r>
        <w:t xml:space="preserve">zmsosrhejj</w:t>
      </w:r>
    </w:p>
    <w:p>
      <w:pPr>
        <w:pStyle w:val="BodyText"/>
      </w:pPr>
      <w:r>
        <w:rPr>
          <w:bCs/>
          <w:b/>
        </w:rPr>
        <w:t xml:space="preserve">Senior Sustainability Consultant:</w:t>
      </w:r>
      <w:r>
        <w:t xml:space="preserve"> </w:t>
      </w:r>
      <w:r>
        <w:t xml:space="preserve">nwkogdwxuq</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The input parameters, including Bill of Materials, transport data, energy usage, and end-of-life scenarios, were provided as placeholders and representative values have been used for calculation purposes. Actual results may vary with specific, verified primary data. Emission factors used are representative industry averages from publicly available databases (e.g., Ecoinvent, DEFRA, EPA).</w:t>
      </w:r>
    </w:p>
    <w:bookmarkEnd w:id="20"/>
    <w:bookmarkStart w:id="21" w:name="Xa094703812752d841fa4bd7dfd574da2c17041e"/>
    <w:p>
      <w:pPr>
        <w:pStyle w:val="Heading1"/>
      </w:pPr>
      <w:r>
        <w:t xml:space="preserve">Product Carbon Footprint (PCF) Analysis Report for xtpqkpnlsz</w:t>
      </w:r>
    </w:p>
    <w:p>
      <w:pPr>
        <w:pStyle w:val="FirstParagraph"/>
      </w:pPr>
      <w:r>
        <w:t xml:space="preserve">Generated Date: 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"xtpqkpnlsz" manufactured by "zmsosrhejj". The analysis was conducted by nwkogdwxuq, a Senior Sustainability Consultant specializing in GHG Protocol. The objective is to quantify the greenhouse gas (GHG) emissions across the product\'s lifecycle, from raw material acquisition to end-of-life, expressed in kilograms of carbon dioxide equivalents (kg CO₂e) per functional unit (1.0 unit). This assessment adheres to the GHG Protocol Product Life Cycle Accounting and Reporting Standard, incorporating the latest 2026 Land Sector and Removals (LSR) Standard updates and aiming for 95% Scope 3 coverage.</w:t>
      </w:r>
    </w:p>
    <w:p>
      <w:pPr>
        <w:pStyle w:val="BodyText"/>
      </w:pPr>
      <w:r>
        <w:t xml:space="preserve">The total Product Carbon Footprint for one unit of xtpqkpnlsz is calculated to be **18.201 kg CO₂e**.</w:t>
      </w:r>
    </w:p>
    <w:p>
      <w:pPr>
        <w:pStyle w:val="BodyText"/>
      </w:pPr>
      <w:r>
        <w:t xml:space="preserve">Key findings highlight the significant contribution of the use phase to the overall footprint, followed by material acquisition and manufacturing energy. Opportunities for emission reduction are identified across the value chain, particularly in enhancing energy efficiency in the use phase and maximizing circularity at end-of-life.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section outlines the foundational parameters of the PCF analysis, ensuring clarity and comparability.</w:t>
      </w:r>
    </w:p>
    <w:p>
      <w:pPr>
        <w:numPr>
          <w:ilvl w:val="0"/>
          <w:numId w:val="1001"/>
        </w:numPr>
        <w:pStyle w:val="Compact"/>
      </w:pPr>
      <w:r>
        <w:rPr>
          <w:bCs/>
          <w:b/>
        </w:rPr>
        <w:t xml:space="preserve">Functional Unit:</w:t>
      </w:r>
      <w:r>
        <w:t xml:space="preserve"> </w:t>
      </w:r>
      <w:r>
        <w:t xml:space="preserve">The reference unit for this PCF is 1.0 unit of xtpqkpnlsz. This defines the quantity of product for which the footprint is calculated.</w:t>
      </w:r>
    </w:p>
    <w:p>
      <w:pPr>
        <w:numPr>
          <w:ilvl w:val="0"/>
          <w:numId w:val="1001"/>
        </w:numPr>
        <w:pStyle w:val="Compact"/>
      </w:pPr>
      <w:r>
        <w:rPr>
          <w:bCs/>
          <w:b/>
        </w:rPr>
        <w:t xml:space="preserve">System Boundary:</w:t>
      </w:r>
      <w:r>
        <w:t xml:space="preserve"> </w:t>
      </w:r>
      <w:r>
        <w:t xml:space="preserve">The system boundary for this analysis is "factory_gate" for direct operational emissions, but a "Cradle-to-Grave" approach is implicitly followed to cover all lifecycle stages including upstream and downstream value chain emissions, as per GHG Protocol Scope 3 requirements. This includes raw material extraction and processing, manufacturing, transport, use, and end-of-life disposal.</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(implies product distribution and potentially some material sourcing to/from Europe)</w:t>
      </w:r>
    </w:p>
    <w:p>
      <w:pPr>
        <w:numPr>
          <w:ilvl w:val="0"/>
          <w:numId w:val="1001"/>
        </w:numPr>
        <w:pStyle w:val="Compact"/>
      </w:pPr>
      <w:r>
        <w:rPr>
          <w:bCs/>
          <w:b/>
        </w:rPr>
        <w:t xml:space="preserve">Accounting Standard:</w:t>
      </w:r>
      <w:r>
        <w:t xml:space="preserve"> </w:t>
      </w:r>
      <w:r>
        <w:t xml:space="preserve">The Greenhouse Gas Protocol Product Life Cycle Accounting and Reporting Standard is the primary methodology governing this PCF analysis. This standard is widely recognized and provides a robust framework for quantifying GHG emissions.</w:t>
      </w:r>
    </w:p>
    <w:p>
      <w:pPr>
        <w:numPr>
          <w:ilvl w:val="0"/>
          <w:numId w:val="1001"/>
        </w:numPr>
        <w:pStyle w:val="Compact"/>
      </w:pPr>
      <w:r>
        <w:rPr>
          <w:bCs/>
          <w:b/>
        </w:rPr>
        <w:t xml:space="preserve">Allocation:</w:t>
      </w:r>
      <w:r>
        <w:t xml:space="preserve"> </w:t>
      </w:r>
      <w:r>
        <w:t xml:space="preserve">Emissions are allocated based on physical causality where possible. For shared processes (e.g., transportation of multiple goods), allocation is based on mass-distance where appropriate.</w:t>
      </w:r>
    </w:p>
    <w:p>
      <w:r>
        <w:pict>
          <v:rect style="width:0;height:1.5pt" o:hralign="center" o:hrstd="t" o:hr="t"/>
        </w:pict>
      </w:r>
    </w:p>
    <w:bookmarkEnd w:id="23"/>
    <w:bookmarkStart w:id="30" w:name="map-lifecycle-3.-collect-data"/>
    <w:p>
      <w:pPr>
        <w:pStyle w:val="Heading2"/>
      </w:pPr>
      <w:r>
        <w:t xml:space="preserve">2. Map Lifecycle &amp; 3. Collect Data</w:t>
      </w:r>
    </w:p>
    <w:p>
      <w:pPr>
        <w:pStyle w:val="FirstParagraph"/>
      </w:pPr>
      <w:r>
        <w:t xml:space="preserve">This section details the lifecycle stages considered and the primary and secondary data collected. For the purpose of this report, specific parameter values were provided as placeholders and representative data has been used for calculation, clearly stating assumptions where necessary.</w:t>
      </w:r>
    </w:p>
    <w:bookmarkStart w:id="24" w:name="lifecycle-stages-lci-inventory"/>
    <w:p>
      <w:pPr>
        <w:pStyle w:val="Heading3"/>
      </w:pPr>
      <w:r>
        <w:t xml:space="preserve">2.1. Lifecycle Stages (LCI Inventory)</w:t>
      </w:r>
    </w:p>
    <w:p>
      <w:pPr>
        <w:pStyle w:val="FirstParagraph"/>
      </w:pPr>
      <w:r>
        <w:t xml:space="preserve">The product lifecycle is mapped into the following stages, adhering to a cradle-to-grave perspective to ensure comprehensive Scope 3 coverage:</w:t>
      </w:r>
    </w:p>
    <w:p>
      <w:pPr>
        <w:numPr>
          <w:ilvl w:val="0"/>
          <w:numId w:val="1003"/>
        </w:numPr>
        <w:pStyle w:val="Compact"/>
      </w:pPr>
      <w:r>
        <w:rPr>
          <w:bCs/>
          <w:b/>
        </w:rPr>
        <w:t xml:space="preserve">Material Acquisition &amp; Pre-processing (Upstream):</w:t>
      </w:r>
      <w:r>
        <w:t xml:space="preserve"> </w:t>
      </w:r>
      <w:r>
        <w:t xml:space="preserve">Extraction of raw materials and their transformation into input components for manufacturing.</w:t>
      </w:r>
    </w:p>
    <w:p>
      <w:pPr>
        <w:numPr>
          <w:ilvl w:val="0"/>
          <w:numId w:val="1003"/>
        </w:numPr>
        <w:pStyle w:val="Compact"/>
      </w:pPr>
      <w:r>
        <w:rPr>
          <w:bCs/>
          <w:b/>
        </w:rPr>
        <w:t xml:space="preserve">Manufacturing (Core Operations):</w:t>
      </w:r>
      <w:r>
        <w:t xml:space="preserve"> </w:t>
      </w:r>
      <w:r>
        <w:t xml:space="preserve">Production processes at the "zmsosrhejj" facility in China, including energy consumption.</w:t>
      </w:r>
    </w:p>
    <w:p>
      <w:pPr>
        <w:numPr>
          <w:ilvl w:val="0"/>
          <w:numId w:val="1003"/>
        </w:numPr>
        <w:pStyle w:val="Compact"/>
      </w:pPr>
      <w:r>
        <w:rPr>
          <w:bCs/>
          <w:b/>
        </w:rPr>
        <w:t xml:space="preserve">Transportation &amp; Distribution (Upstream &amp; Downstream):</w:t>
      </w:r>
      <w:r>
        <w:t xml:space="preserve"> </w:t>
      </w:r>
      <w:r>
        <w:t xml:space="preserve">Movement of raw materials and components to the factory, and finished products from the factory to the end-user, including last-mile delivery.</w:t>
      </w:r>
    </w:p>
    <w:p>
      <w:pPr>
        <w:numPr>
          <w:ilvl w:val="0"/>
          <w:numId w:val="1003"/>
        </w:numPr>
        <w:pStyle w:val="Compact"/>
      </w:pPr>
      <w:r>
        <w:rPr>
          <w:bCs/>
          <w:b/>
        </w:rPr>
        <w:t xml:space="preserve">Use Phase (Downstream):</w:t>
      </w:r>
      <w:r>
        <w:t xml:space="preserve"> </w:t>
      </w:r>
      <w:r>
        <w:t xml:space="preserve">Energy consumption during the product\'s operational lifespan.</w:t>
      </w:r>
    </w:p>
    <w:p>
      <w:pPr>
        <w:numPr>
          <w:ilvl w:val="0"/>
          <w:numId w:val="1003"/>
        </w:numPr>
        <w:pStyle w:val="Compact"/>
      </w:pPr>
      <w:r>
        <w:rPr>
          <w:bCs/>
          <w:b/>
        </w:rPr>
        <w:t xml:space="preserve">End-of-Life (Downstream):</w:t>
      </w:r>
      <w:r>
        <w:t xml:space="preserve"> </w:t>
      </w:r>
      <w:r>
        <w:t xml:space="preserve">Disposal, recycling, and recovery processes at the end of the product\'s useful life.</w:t>
      </w:r>
    </w:p>
    <w:bookmarkEnd w:id="24"/>
    <w:bookmarkStart w:id="25" w:name="X982c326fb93613d4d5b2ea0769a7e370cfc78fa"/>
    <w:p>
      <w:pPr>
        <w:pStyle w:val="Heading3"/>
      </w:pPr>
      <w:r>
        <w:t xml:space="preserve">2.2. Detailed Bill of Materials (BOM) &amp; Material Inputs</w:t>
      </w:r>
    </w:p>
    <w:p>
      <w:pPr>
        <w:pStyle w:val="FirstParagraph"/>
      </w:pPr>
      <w:r>
        <w:t xml:space="preserve">The following Bill of Materials (BOM) represents the primary material inputs for one functional unit of "xtpqkpnlsz". The "Total Carbon" values provided in the input parameters are used directly for material impact calculation, as specified in the prompt, reflecting a pre-calculated material-specific emission for each component.</w:t>
      </w:r>
    </w:p>
    <w:p>
      <w:pPr>
        <w:pStyle w:val="BodyText"/>
      </w:pPr>
      <w:r>
        <w:rPr>
          <w:iCs/>
          <w:i/>
        </w:rPr>
        <w:t xml:space="preserve">Note: The specific BOM data was provided as \'pvrjfwqq\'. For this report, representative dummy data is used with the specified format to demonstrate the calculation, as actual detailed data for \'pvrjfwqq\' was not provided in a parseable 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(dummy)</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Recycled 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 kg CO2e/kg</w:t>
            </w:r>
          </w:p>
        </w:tc>
        <w:tc>
          <w:tcPr/>
          <w:p>
            <w:pPr>
              <w:pStyle w:val="Compact"/>
              <w:jc w:val="left"/>
            </w:pPr>
            <w:r>
              <w:t xml:space="preserve">0.750</w:t>
            </w:r>
          </w:p>
        </w:tc>
      </w:tr>
      <w:tr>
        <w:tc>
          <w:tcPr/>
          <w:p>
            <w:pPr>
              <w:pStyle w:val="Compact"/>
              <w:jc w:val="left"/>
            </w:pPr>
            <w:r>
              <w:t xml:space="preserve">M002</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7.0 kg CO2e/kg</w:t>
            </w:r>
          </w:p>
        </w:tc>
        <w:tc>
          <w:tcPr/>
          <w:p>
            <w:pPr>
              <w:pStyle w:val="Compact"/>
              <w:jc w:val="left"/>
            </w:pPr>
            <w:r>
              <w:t xml:space="preserve">0.700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 kg CO2e/kg</w:t>
            </w:r>
          </w:p>
        </w:tc>
        <w:tc>
          <w:tcPr/>
          <w:p>
            <w:pPr>
              <w:pStyle w:val="Compact"/>
              <w:jc w:val="left"/>
            </w:pPr>
            <w:r>
              <w:t xml:space="preserve">0.750</w:t>
            </w:r>
          </w:p>
        </w:tc>
      </w:tr>
      <w:tr>
        <w:tc>
          <w:tcPr/>
          <w:p>
            <w:pPr>
              <w:pStyle w:val="Compact"/>
              <w:jc w:val="left"/>
            </w:pPr>
            <w:r>
              <w:t xml:space="preserve">M004</w:t>
            </w:r>
          </w:p>
        </w:tc>
        <w:tc>
          <w:tcPr/>
          <w:p>
            <w:pPr>
              <w:pStyle w:val="Compact"/>
              <w:jc w:val="left"/>
            </w:pPr>
            <w:r>
              <w:t xml:space="preserve">Lithium-Ion Battery Cell</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 kg CO2e/kg</w:t>
            </w:r>
          </w:p>
        </w:tc>
        <w:tc>
          <w:tcPr/>
          <w:p>
            <w:pPr>
              <w:pStyle w:val="Compact"/>
              <w:jc w:val="left"/>
            </w:pPr>
            <w:r>
              <w:t xml:space="preserve">1.440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 kg CO2e/kg</w:t>
            </w:r>
          </w:p>
        </w:tc>
        <w:tc>
          <w:tcPr/>
          <w:p>
            <w:pPr>
              <w:pStyle w:val="Compact"/>
              <w:jc w:val="left"/>
            </w:pPr>
            <w:r>
              <w:t xml:space="preserve">0.080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0.5 kg CO2e/kg</w:t>
            </w:r>
          </w:p>
        </w:tc>
        <w:tc>
          <w:tcPr/>
          <w:p>
            <w:pPr>
              <w:pStyle w:val="Compact"/>
              <w:jc w:val="left"/>
            </w:pPr>
            <w:r>
              <w:t xml:space="preserve">0.025</w:t>
            </w:r>
          </w:p>
        </w:tc>
      </w:tr>
      <w:tr>
        <w:tc>
          <w:tcPr>
            <w:gridSpan w:val="7"/>
          </w:tcPr>
          <w:p>
            <w:pPr>
              <w:pStyle w:val="Compact"/>
              <w:jc w:val="right"/>
            </w:pPr>
            <w:r>
              <w:rPr>
                <w:bCs/>
                <w:b/>
              </w:rPr>
              <w:t xml:space="preserve">Total Material Carbon Impact:</w:t>
            </w:r>
          </w:p>
        </w:tc>
        <w:tc>
          <w:tcPr/>
          <w:p>
            <w:pPr>
              <w:pStyle w:val="Compact"/>
              <w:jc w:val="left"/>
            </w:pPr>
            <w:r>
              <w:rPr>
                <w:bCs/>
                <w:b/>
              </w:rPr>
              <w:t xml:space="preserve">3.745 kg CO₂e</w:t>
            </w:r>
          </w:p>
        </w:tc>
      </w:tr>
    </w:tbl>
    <w:p>
      <w:pPr>
        <w:pStyle w:val="BodyText"/>
      </w:pPr>
      <w:r>
        <w:t xml:space="preserve">The total mass of materials for one unit is 0.6 kg.</w:t>
      </w:r>
    </w:p>
    <w:bookmarkEnd w:id="25"/>
    <w:bookmarkStart w:id="26" w:name="energy-inputs-production-phase"/>
    <w:p>
      <w:pPr>
        <w:pStyle w:val="Heading3"/>
      </w:pPr>
      <w:r>
        <w:t xml:space="preserve">2.3. Energy Inputs (Production Phase)</w:t>
      </w:r>
    </w:p>
    <w:p>
      <w:pPr>
        <w:pStyle w:val="FirstParagraph"/>
      </w:pPr>
      <w:r>
        <w:t xml:space="preserve">Energy consumption during the production phase at the China facility is a critical input:</w:t>
      </w:r>
    </w:p>
    <w:p>
      <w:pPr>
        <w:numPr>
          <w:ilvl w:val="0"/>
          <w:numId w:val="1004"/>
        </w:numPr>
        <w:pStyle w:val="Compact"/>
      </w:pPr>
      <w:r>
        <w:rPr>
          <w:bCs/>
          <w:b/>
        </w:rPr>
        <w:t xml:space="preserve">Energy Intensity (kWh/unit):</w:t>
      </w:r>
      <w:r>
        <w:t xml:space="preserve"> </w:t>
      </w:r>
      <w:r>
        <w:t xml:space="preserve">eqsvgypxph (using 8 kWh/unit for calculation)</w:t>
      </w:r>
    </w:p>
    <w:p>
      <w:pPr>
        <w:numPr>
          <w:ilvl w:val="0"/>
          <w:numId w:val="1004"/>
        </w:numPr>
        <w:pStyle w:val="Compact"/>
      </w:pPr>
      <w:r>
        <w:rPr>
          <w:bCs/>
          <w:b/>
        </w:rPr>
        <w:t xml:space="preserve">Renewable Energy Usage:</w:t>
      </w:r>
      <w:r>
        <w:t xml:space="preserve"> </w:t>
      </w:r>
      <w:r>
        <w:t xml:space="preserve">kywezyeoyg (using 40% for calculation)</w:t>
      </w:r>
    </w:p>
    <w:p>
      <w:pPr>
        <w:numPr>
          <w:ilvl w:val="0"/>
          <w:numId w:val="1004"/>
        </w:numPr>
        <w:pStyle w:val="Compact"/>
      </w:pPr>
      <w:r>
        <w:rPr>
          <w:bCs/>
          <w:b/>
        </w:rPr>
        <w:t xml:space="preserve">Non-renewable Electricity Share:</w:t>
      </w:r>
      <w:r>
        <w:t xml:space="preserve"> </w:t>
      </w:r>
      <w:r>
        <w:t xml:space="preserve">100% - 40% = 60%</w:t>
      </w:r>
    </w:p>
    <w:p>
      <w:pPr>
        <w:numPr>
          <w:ilvl w:val="0"/>
          <w:numId w:val="1004"/>
        </w:numPr>
        <w:pStyle w:val="Compact"/>
      </w:pPr>
      <w:r>
        <w:rPr>
          <w:bCs/>
          <w:b/>
        </w:rPr>
        <w:t xml:space="preserve">China Grid Electricity Emission Factor:</w:t>
      </w:r>
      <w:r>
        <w:t xml:space="preserve"> </w:t>
      </w:r>
      <w:r>
        <w:t xml:space="preserve">0.62 kg CO₂e/kWh (2023 national average)</w:t>
      </w:r>
    </w:p>
    <w:bookmarkEnd w:id="26"/>
    <w:bookmarkStart w:id="27" w:name="logistics-data"/>
    <w:p>
      <w:pPr>
        <w:pStyle w:val="Heading3"/>
      </w:pPr>
      <w:r>
        <w:t xml:space="preserve">2.4. Logistics Data</w:t>
      </w:r>
    </w:p>
    <w:p>
      <w:pPr>
        <w:pStyle w:val="FirstParagraph"/>
      </w:pPr>
      <w:r>
        <w:t xml:space="preserve">Transportation plays a significant role in value chain emissions:</w:t>
      </w:r>
    </w:p>
    <w:p>
      <w:pPr>
        <w:numPr>
          <w:ilvl w:val="0"/>
          <w:numId w:val="1005"/>
        </w:numPr>
        <w:pStyle w:val="Compact"/>
      </w:pPr>
      <w:r>
        <w:rPr>
          <w:bCs/>
          <w:b/>
        </w:rPr>
        <w:t xml:space="preserve">Transport Mode:</w:t>
      </w:r>
      <w:r>
        <w:t xml:space="preserve"> </w:t>
      </w:r>
      <w:r>
        <w:t xml:space="preserve">Select Mode (assumed as Ocean Freight for intercontinental, Road Freight for regional distribution, and Light Commercial Van for last-mile delivery)</w:t>
      </w:r>
    </w:p>
    <w:p>
      <w:pPr>
        <w:numPr>
          <w:ilvl w:val="0"/>
          <w:numId w:val="1005"/>
        </w:numPr>
        <w:pStyle w:val="Compact"/>
      </w:pPr>
      <w:r>
        <w:rPr>
          <w:bCs/>
          <w:b/>
        </w:rPr>
        <w:t xml:space="preserve">Transport Distance:</w:t>
      </w:r>
      <w:r>
        <w:t xml:space="preserve"> </w:t>
      </w:r>
      <w:r>
        <w:t xml:space="preserve">xfhzzhwyhs (assumed as 15,000 km Ocean Freight, 1,000 km Road Freight for primary distribution, and 50 km for last-mile delivery per unit)</w:t>
      </w:r>
    </w:p>
    <w:p>
      <w:pPr>
        <w:numPr>
          <w:ilvl w:val="0"/>
          <w:numId w:val="1005"/>
        </w:numPr>
        <w:pStyle w:val="Compact"/>
      </w:pPr>
      <w:r>
        <w:rPr>
          <w:bCs/>
          <w:b/>
        </w:rPr>
        <w:t xml:space="preserve">Last-Mile Delivery Channel:</w:t>
      </w:r>
      <w:r>
        <w:t xml:space="preserve"> </w:t>
      </w:r>
      <w:r>
        <w:t xml:space="preserve">Delivery Type (assumed as standard parcel delivery via Light Commercial Van)</w:t>
      </w:r>
    </w:p>
    <w:p>
      <w:pPr>
        <w:numPr>
          <w:ilvl w:val="0"/>
          <w:numId w:val="1005"/>
        </w:numPr>
        <w:pStyle w:val="Compact"/>
      </w:pPr>
      <w:r>
        <w:rPr>
          <w:bCs/>
          <w:b/>
        </w:rPr>
        <w:t xml:space="preserve">Product Mass for Transport:</w:t>
      </w:r>
      <w:r>
        <w:t xml:space="preserve"> </w:t>
      </w:r>
      <w:r>
        <w:t xml:space="preserve">0.6 kg (0.0006 tonnes)</w:t>
      </w:r>
    </w:p>
    <w:p>
      <w:pPr>
        <w:numPr>
          <w:ilvl w:val="0"/>
          <w:numId w:val="1005"/>
        </w:numPr>
        <w:pStyle w:val="Compact"/>
      </w:pPr>
      <w:r>
        <w:rPr>
          <w:bCs/>
          <w:b/>
        </w:rPr>
        <w:t xml:space="preserve">Emission Factors:</w:t>
      </w:r>
    </w:p>
    <w:p>
      <w:pPr>
        <w:numPr>
          <w:ilvl w:val="1"/>
          <w:numId w:val="1006"/>
        </w:numPr>
        <w:pStyle w:val="Compact"/>
      </w:pPr>
      <w:r>
        <w:t xml:space="preserve">Ocean Freight (Container Ship): 0.016 kg CO₂e/tonne-km</w:t>
      </w:r>
    </w:p>
    <w:p>
      <w:pPr>
        <w:numPr>
          <w:ilvl w:val="1"/>
          <w:numId w:val="1006"/>
        </w:numPr>
        <w:pStyle w:val="Compact"/>
      </w:pPr>
      <w:r>
        <w:t xml:space="preserve">Road Freight (Heavy Duty Truck): 0.09 kg CO₂e/tonne-km</w:t>
      </w:r>
    </w:p>
    <w:p>
      <w:pPr>
        <w:numPr>
          <w:ilvl w:val="1"/>
          <w:numId w:val="1006"/>
        </w:numPr>
        <w:pStyle w:val="Compact"/>
      </w:pPr>
      <w:r>
        <w:t xml:space="preserve">Last-Mile Delivery (Allocated per unit): 0.5 kg CO₂e/delivery (representative value for small parcel)</w:t>
      </w:r>
    </w:p>
    <w:bookmarkEnd w:id="27"/>
    <w:bookmarkStart w:id="28" w:name="use-phase-data"/>
    <w:p>
      <w:pPr>
        <w:pStyle w:val="Heading3"/>
      </w:pPr>
      <w:r>
        <w:t xml:space="preserve">2.5. Use Phase Data</w:t>
      </w:r>
    </w:p>
    <w:p>
      <w:pPr>
        <w:pStyle w:val="FirstParagraph"/>
      </w:pPr>
      <w:r>
        <w:t xml:space="preserve">The use phase incorporates energy consumption over the product\'s lifespan:</w:t>
      </w:r>
    </w:p>
    <w:p>
      <w:pPr>
        <w:numPr>
          <w:ilvl w:val="0"/>
          <w:numId w:val="1007"/>
        </w:numPr>
        <w:pStyle w:val="Compact"/>
      </w:pPr>
      <w:r>
        <w:rPr>
          <w:bCs/>
          <w:b/>
        </w:rPr>
        <w:t xml:space="preserve">Product Lifespan:</w:t>
      </w:r>
      <w:r>
        <w:t xml:space="preserve"> </w:t>
      </w:r>
      <w:r>
        <w:t xml:space="preserve">hprzfekflq (using 3 years for calculation)</w:t>
      </w:r>
    </w:p>
    <w:p>
      <w:pPr>
        <w:numPr>
          <w:ilvl w:val="0"/>
          <w:numId w:val="1007"/>
        </w:numPr>
        <w:pStyle w:val="Compact"/>
      </w:pPr>
      <w:r>
        <w:rPr>
          <w:bCs/>
          <w:b/>
        </w:rPr>
        <w:t xml:space="preserve">Energy Consumption in Use:</w:t>
      </w:r>
      <w:r>
        <w:t xml:space="preserve"> </w:t>
      </w:r>
      <w:r>
        <w:t xml:space="preserve">ozizyykevm (using 15 kWh/year for calculation)</w:t>
      </w:r>
    </w:p>
    <w:p>
      <w:pPr>
        <w:numPr>
          <w:ilvl w:val="0"/>
          <w:numId w:val="1007"/>
        </w:numPr>
        <w:pStyle w:val="Compact"/>
      </w:pPr>
      <w:r>
        <w:rPr>
          <w:bCs/>
          <w:b/>
        </w:rPr>
        <w:t xml:space="preserve">European Grid Electricity Emission Factor (assumed for use region):</w:t>
      </w:r>
      <w:r>
        <w:t xml:space="preserve"> </w:t>
      </w:r>
      <w:r>
        <w:t xml:space="preserve">0.25 kg CO₂e/kWh (representative average)</w:t>
      </w:r>
    </w:p>
    <w:bookmarkEnd w:id="28"/>
    <w:bookmarkStart w:id="29" w:name="end-of-life-eol-data"/>
    <w:p>
      <w:pPr>
        <w:pStyle w:val="Heading3"/>
      </w:pPr>
      <w:r>
        <w:t xml:space="preserve">2.6. End-of-Life (EoL) Data</w:t>
      </w:r>
    </w:p>
    <w:p>
      <w:pPr>
        <w:pStyle w:val="FirstParagraph"/>
      </w:pPr>
      <w:r>
        <w:t xml:space="preserve">End-of-Life scenarios are crucial for circular economy considerations:</w:t>
      </w:r>
    </w:p>
    <w:p>
      <w:pPr>
        <w:numPr>
          <w:ilvl w:val="0"/>
          <w:numId w:val="1008"/>
        </w:numPr>
        <w:pStyle w:val="Compact"/>
      </w:pPr>
      <w:r>
        <w:rPr>
          <w:bCs/>
          <w:b/>
        </w:rPr>
        <w:t xml:space="preserve">Recyclability Percentage:</w:t>
      </w:r>
      <w:r>
        <w:t xml:space="preserve"> </w:t>
      </w:r>
      <w:r>
        <w:t xml:space="preserve">fzimzpftse (using 60% for calculation)</w:t>
      </w:r>
    </w:p>
    <w:p>
      <w:pPr>
        <w:numPr>
          <w:ilvl w:val="0"/>
          <w:numId w:val="1008"/>
        </w:numPr>
        <w:pStyle w:val="Compact"/>
      </w:pPr>
      <w:r>
        <w:rPr>
          <w:bCs/>
          <w:b/>
        </w:rPr>
        <w:t xml:space="preserve">Circular/Take-back Programs:</w:t>
      </w:r>
      <w:r>
        <w:t xml:space="preserve"> </w:t>
      </w:r>
      <w:r>
        <w:t xml:space="preserve">hvhjixhedo (assumed as "Active, with material recovery", leading to recycling benefits for the recyclable portion)</w:t>
      </w:r>
    </w:p>
    <w:p>
      <w:pPr>
        <w:numPr>
          <w:ilvl w:val="0"/>
          <w:numId w:val="1008"/>
        </w:numPr>
        <w:pStyle w:val="Compact"/>
      </w:pPr>
      <w:r>
        <w:rPr>
          <w:bCs/>
          <w:b/>
        </w:rPr>
        <w:t xml:space="preserve">Mass of Product at EoL:</w:t>
      </w:r>
      <w:r>
        <w:t xml:space="preserve"> </w:t>
      </w:r>
      <w:r>
        <w:t xml:space="preserve">0.6 kg</w:t>
      </w:r>
    </w:p>
    <w:p>
      <w:pPr>
        <w:numPr>
          <w:ilvl w:val="0"/>
          <w:numId w:val="1008"/>
        </w:numPr>
        <w:pStyle w:val="Compact"/>
      </w:pPr>
      <w:r>
        <w:rPr>
          <w:bCs/>
          <w:b/>
        </w:rPr>
        <w:t xml:space="preserve">Emission Factors:</w:t>
      </w:r>
    </w:p>
    <w:p>
      <w:pPr>
        <w:numPr>
          <w:ilvl w:val="1"/>
          <w:numId w:val="1009"/>
        </w:numPr>
        <w:pStyle w:val="Compact"/>
      </w:pPr>
      <w:r>
        <w:t xml:space="preserve">Waste to Landfill (Mixed): 0.3 kg CO₂e/kg (representative average)</w:t>
      </w:r>
    </w:p>
    <w:p>
      <w:pPr>
        <w:numPr>
          <w:ilvl w:val="1"/>
          <w:numId w:val="1009"/>
        </w:numPr>
        <w:pStyle w:val="Compact"/>
      </w:pPr>
      <w:r>
        <w:t xml:space="preserve">Avoided Emissions from Recycling (Average for Plastics/Metals): -1.5 kg CO₂e/kg (representative credit)</w:t>
      </w:r>
    </w:p>
    <w:p>
      <w:r>
        <w:pict>
          <v:rect style="width:0;height:1.5pt" o:hralign="center" o:hrstd="t" o:hr="t"/>
        </w:pict>
      </w:r>
    </w:p>
    <w:bookmarkEnd w:id="29"/>
    <w:bookmarkEnd w:id="30"/>
    <w:bookmarkStart w:id="37" w:name="Xe156f3a774124d90821f5a9dd2a33dd50db36e7"/>
    <w:p>
      <w:pPr>
        <w:pStyle w:val="Heading2"/>
      </w:pPr>
      <w:r>
        <w:t xml:space="preserve">4. Calculate Emissions (Activity * Emission Factor = CO₂e)</w:t>
      </w:r>
    </w:p>
    <w:p>
      <w:pPr>
        <w:pStyle w:val="FirstParagraph"/>
      </w:pPr>
      <w:r>
        <w:t xml:space="preserve">Emissions are categorized according to the GHG Protocol scopes and calculated for each lifecycle stage. All results are expressed in kilograms of carbon dioxide equivalents (kg CO₂e).</w:t>
      </w:r>
    </w:p>
    <w:bookmarkStart w:id="31" w:name="scope-1-emissions-direct-emissions"/>
    <w:p>
      <w:pPr>
        <w:pStyle w:val="Heading3"/>
      </w:pPr>
      <w:r>
        <w:t xml:space="preserve">4.1. Scope 1 Emissions (Direct Emissions)</w:t>
      </w:r>
    </w:p>
    <w:p>
      <w:pPr>
        <w:pStyle w:val="FirstParagraph"/>
      </w:pPr>
      <w:r>
        <w:t xml:space="preserve">For a "factory_gate" system boundary focusing on purchased electricity, and without explicit direct fuel combustion data provided for the manufacturing process, Scope 1 emissions are considered negligible or embedded within upstream processes. If zmsosrhejj had direct fuel combustion on-site, those emissions would be quantified here.</w:t>
      </w:r>
    </w:p>
    <w:p>
      <w:pPr>
        <w:numPr>
          <w:ilvl w:val="0"/>
          <w:numId w:val="1010"/>
        </w:numPr>
        <w:pStyle w:val="Compact"/>
      </w:pPr>
      <w:r>
        <w:rPr>
          <w:bCs/>
          <w:b/>
        </w:rPr>
        <w:t xml:space="preserve">Total Scope 1 Emissions: 0.000 kg CO₂e</w:t>
      </w:r>
    </w:p>
    <w:bookmarkEnd w:id="31"/>
    <w:bookmarkStart w:id="32"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product\'s manufacturing phase.</w:t>
      </w:r>
    </w:p>
    <w:p>
      <w:pPr>
        <w:numPr>
          <w:ilvl w:val="0"/>
          <w:numId w:val="1011"/>
        </w:numPr>
        <w:pStyle w:val="Compact"/>
      </w:pPr>
      <w:r>
        <w:t xml:space="preserve">Energy Intensity: 8 kWh/unit</w:t>
      </w:r>
    </w:p>
    <w:p>
      <w:pPr>
        <w:numPr>
          <w:ilvl w:val="0"/>
          <w:numId w:val="1011"/>
        </w:numPr>
        <w:pStyle w:val="Compact"/>
      </w:pPr>
      <w:r>
        <w:t xml:space="preserve">Non-renewable Energy Share: 60%</w:t>
      </w:r>
    </w:p>
    <w:p>
      <w:pPr>
        <w:numPr>
          <w:ilvl w:val="0"/>
          <w:numId w:val="1011"/>
        </w:numPr>
        <w:pStyle w:val="Compact"/>
      </w:pPr>
      <w:r>
        <w:t xml:space="preserve">China Grid Electricity Emission Factor: 0.62 kg CO₂e/kWh</w:t>
      </w:r>
    </w:p>
    <w:p>
      <w:pPr>
        <w:numPr>
          <w:ilvl w:val="0"/>
          <w:numId w:val="1011"/>
        </w:numPr>
        <w:pStyle w:val="Compact"/>
      </w:pPr>
      <w:r>
        <w:t xml:space="preserve">Calculation: 8 kWh/unit * 0.60 * 0.62 kg CO₂e/kWh = 2.976 kg CO₂e/unit</w:t>
      </w:r>
    </w:p>
    <w:p>
      <w:pPr>
        <w:numPr>
          <w:ilvl w:val="0"/>
          <w:numId w:val="1011"/>
        </w:numPr>
        <w:pStyle w:val="Compact"/>
      </w:pPr>
      <w:r>
        <w:rPr>
          <w:bCs/>
          <w:b/>
        </w:rPr>
        <w:t xml:space="preserve">Total Scope 2 Emissions: 2.976 kg CO₂e</w:t>
      </w:r>
    </w:p>
    <w:bookmarkEnd w:id="32"/>
    <w:bookmarkStart w:id="35" w:name="scope-3-emissions-value-chain-emissions"/>
    <w:p>
      <w:pPr>
        <w:pStyle w:val="Heading3"/>
      </w:pPr>
      <w:r>
        <w:t xml:space="preserve">4.3. Scope 3 Emissions (Value Chain Emissions)</w:t>
      </w:r>
    </w:p>
    <w:p>
      <w:pPr>
        <w:pStyle w:val="FirstParagraph"/>
      </w:pPr>
      <w:r>
        <w:t xml:space="preserve">Scope 3 emissions encompass all other indirect emissions in the product\'s value chain, both upstream and downstream. This is typically the largest portion of a product\'s footprint.</w:t>
      </w:r>
    </w:p>
    <w:bookmarkStart w:id="33" w:name="upstream-emissions"/>
    <w:p>
      <w:pPr>
        <w:pStyle w:val="Heading4"/>
      </w:pPr>
      <w:r>
        <w:t xml:space="preserve">4.3.1. Upstream Emissions</w:t>
      </w:r>
    </w:p>
    <w:p>
      <w:pPr>
        <w:numPr>
          <w:ilvl w:val="0"/>
          <w:numId w:val="1012"/>
        </w:numPr>
        <w:pStyle w:val="Compact"/>
      </w:pPr>
      <w:r>
        <w:rPr>
          <w:bCs/>
          <w:b/>
        </w:rPr>
        <w:t xml:space="preserve">Materials (Category 1 - Purchased Goods and Services):</w:t>
      </w:r>
    </w:p>
    <w:p>
      <w:pPr>
        <w:numPr>
          <w:ilvl w:val="1"/>
          <w:numId w:val="1013"/>
        </w:numPr>
        <w:pStyle w:val="Compact"/>
      </w:pPr>
      <w:r>
        <w:t xml:space="preserve">Direct sum of provided "Total Carbon" from BOM: 3.745 kg CO₂e/unit</w:t>
      </w:r>
    </w:p>
    <w:p>
      <w:pPr>
        <w:numPr>
          <w:ilvl w:val="0"/>
          <w:numId w:val="1012"/>
        </w:numPr>
        <w:pStyle w:val="Compact"/>
      </w:pPr>
      <w:r>
        <w:rPr>
          <w:bCs/>
          <w:b/>
        </w:rPr>
        <w:t xml:space="preserve">Transport and Distribution (Category 4 - Upstream Transportation and Distribution):</w:t>
      </w:r>
    </w:p>
    <w:p>
      <w:pPr>
        <w:numPr>
          <w:ilvl w:val="1"/>
          <w:numId w:val="1014"/>
        </w:numPr>
        <w:pStyle w:val="Compact"/>
      </w:pPr>
      <w:r>
        <w:t xml:space="preserve">Product Transport (China to Europe):</w:t>
      </w:r>
    </w:p>
    <w:p>
      <w:pPr>
        <w:numPr>
          <w:ilvl w:val="2"/>
          <w:numId w:val="1015"/>
        </w:numPr>
        <w:pStyle w:val="Compact"/>
      </w:pPr>
      <w:r>
        <w:t xml:space="preserve">Ocean Freight (15,000 km): 0.0006 tonnes * 15,000 km * 0.016 kg CO₂e/tonne-km = 0.144 kg CO₂e</w:t>
      </w:r>
    </w:p>
    <w:p>
      <w:pPr>
        <w:numPr>
          <w:ilvl w:val="2"/>
          <w:numId w:val="1015"/>
        </w:numPr>
        <w:pStyle w:val="Compact"/>
      </w:pPr>
      <w:r>
        <w:t xml:space="preserve">Road Freight (1,000 km): 0.0006 tonnes * 1,000 km * 0.09 kg CO₂e/tonne-km = 0.054 kg CO₂e</w:t>
      </w:r>
    </w:p>
    <w:p>
      <w:pPr>
        <w:numPr>
          <w:ilvl w:val="2"/>
          <w:numId w:val="1015"/>
        </w:numPr>
        <w:pStyle w:val="Compact"/>
      </w:pPr>
      <w:r>
        <w:t xml:space="preserve">Subtotal Upstream Transport: 0.144 + 0.054 = 0.198 kg CO₂e/unit</w:t>
      </w:r>
    </w:p>
    <w:p>
      <w:pPr>
        <w:pStyle w:val="FirstParagraph"/>
      </w:pPr>
      <w:r>
        <w:rPr>
          <w:bCs/>
          <w:b/>
        </w:rPr>
        <w:t xml:space="preserve">Total Upstream Scope 3 Emissions: 3.745 kg CO₂e (Materials) + 0.198 kg CO₂e (Transport) = 3.943 kg CO₂e</w:t>
      </w:r>
    </w:p>
    <w:bookmarkEnd w:id="33"/>
    <w:bookmarkStart w:id="34" w:name="downstream-emissions"/>
    <w:p>
      <w:pPr>
        <w:pStyle w:val="Heading4"/>
      </w:pPr>
      <w:r>
        <w:t xml:space="preserve">4.3.2. Downstream Emissions</w:t>
      </w:r>
    </w:p>
    <w:p>
      <w:pPr>
        <w:numPr>
          <w:ilvl w:val="0"/>
          <w:numId w:val="1016"/>
        </w:numPr>
        <w:pStyle w:val="Compact"/>
      </w:pPr>
      <w:r>
        <w:rPr>
          <w:bCs/>
          <w:b/>
        </w:rPr>
        <w:t xml:space="preserve">Use Phase (Category 11 - Use of Sold Products):</w:t>
      </w:r>
    </w:p>
    <w:p>
      <w:pPr>
        <w:numPr>
          <w:ilvl w:val="1"/>
          <w:numId w:val="1017"/>
        </w:numPr>
        <w:pStyle w:val="Compact"/>
      </w:pPr>
      <w:r>
        <w:t xml:space="preserve">Product Lifespan: 3 years</w:t>
      </w:r>
    </w:p>
    <w:p>
      <w:pPr>
        <w:numPr>
          <w:ilvl w:val="1"/>
          <w:numId w:val="1017"/>
        </w:numPr>
        <w:pStyle w:val="Compact"/>
      </w:pPr>
      <w:r>
        <w:t xml:space="preserve">Energy Consumption in Use: 15 kWh/year</w:t>
      </w:r>
    </w:p>
    <w:p>
      <w:pPr>
        <w:numPr>
          <w:ilvl w:val="1"/>
          <w:numId w:val="1017"/>
        </w:numPr>
        <w:pStyle w:val="Compact"/>
      </w:pPr>
      <w:r>
        <w:t xml:space="preserve">Total Energy in Use: 15 kWh/year * 3 years = 45 kWh</w:t>
      </w:r>
    </w:p>
    <w:p>
      <w:pPr>
        <w:numPr>
          <w:ilvl w:val="1"/>
          <w:numId w:val="1017"/>
        </w:numPr>
        <w:pStyle w:val="Compact"/>
      </w:pPr>
      <w:r>
        <w:t xml:space="preserve">European Grid Electricity Emission Factor: 0.25 kg CO₂e/kWh</w:t>
      </w:r>
    </w:p>
    <w:p>
      <w:pPr>
        <w:numPr>
          <w:ilvl w:val="1"/>
          <w:numId w:val="1017"/>
        </w:numPr>
        <w:pStyle w:val="Compact"/>
      </w:pPr>
      <w:r>
        <w:t xml:space="preserve">Calculation: 45 kWh * 0.25 kg CO₂e/kWh = 11.25 kg CO₂e/unit</w:t>
      </w:r>
    </w:p>
    <w:p>
      <w:pPr>
        <w:numPr>
          <w:ilvl w:val="0"/>
          <w:numId w:val="1016"/>
        </w:numPr>
        <w:pStyle w:val="Compact"/>
      </w:pPr>
      <w:r>
        <w:rPr>
          <w:bCs/>
          <w:b/>
        </w:rPr>
        <w:t xml:space="preserve">Transport and Distribution (Category 9 - Downstream Transportation and Distribution, last-mile):</w:t>
      </w:r>
    </w:p>
    <w:p>
      <w:pPr>
        <w:numPr>
          <w:ilvl w:val="1"/>
          <w:numId w:val="1018"/>
        </w:numPr>
        <w:pStyle w:val="Compact"/>
      </w:pPr>
      <w:r>
        <w:t xml:space="preserve">Last-Mile Delivery (allocated): 0.5 kg CO₂e/unit</w:t>
      </w:r>
    </w:p>
    <w:p>
      <w:pPr>
        <w:numPr>
          <w:ilvl w:val="0"/>
          <w:numId w:val="1016"/>
        </w:numPr>
        <w:pStyle w:val="Compact"/>
      </w:pPr>
      <w:r>
        <w:rPr>
          <w:bCs/>
          <w:b/>
        </w:rPr>
        <w:t xml:space="preserve">End-of-Life Treatment (Category 12 - End-of-Life Treatment of Sold Products):</w:t>
      </w:r>
    </w:p>
    <w:p>
      <w:pPr>
        <w:numPr>
          <w:ilvl w:val="1"/>
          <w:numId w:val="1019"/>
        </w:numPr>
        <w:pStyle w:val="Compact"/>
      </w:pPr>
      <w:r>
        <w:t xml:space="preserve">Total Product Mass: 0.6 kg</w:t>
      </w:r>
    </w:p>
    <w:p>
      <w:pPr>
        <w:numPr>
          <w:ilvl w:val="1"/>
          <w:numId w:val="1019"/>
        </w:numPr>
        <w:pStyle w:val="Compact"/>
      </w:pPr>
      <w:r>
        <w:t xml:space="preserve">Recyclable Portion: 0.6 kg * 60% = 0.36 kg</w:t>
      </w:r>
    </w:p>
    <w:p>
      <w:pPr>
        <w:numPr>
          <w:ilvl w:val="1"/>
          <w:numId w:val="1019"/>
        </w:numPr>
        <w:pStyle w:val="Compact"/>
      </w:pPr>
      <w:r>
        <w:t xml:space="preserve">Waste to Landfill Portion: 0.6 kg * (1 - 60%) = 0.24 kg</w:t>
      </w:r>
    </w:p>
    <w:p>
      <w:pPr>
        <w:numPr>
          <w:ilvl w:val="1"/>
          <w:numId w:val="1019"/>
        </w:numPr>
        <w:pStyle w:val="Compact"/>
      </w:pPr>
      <w:r>
        <w:t xml:space="preserve">Emissions from Landfill: 0.24 kg * 0.3 kg CO₂e/kg = 0.072 kg CO₂e</w:t>
      </w:r>
    </w:p>
    <w:p>
      <w:pPr>
        <w:numPr>
          <w:ilvl w:val="1"/>
          <w:numId w:val="1019"/>
        </w:numPr>
        <w:pStyle w:val="Compact"/>
      </w:pPr>
      <w:r>
        <w:t xml:space="preserve">Avoided Emissions from Recycling: 0.36 kg * -1.5 kg CO₂e/kg = -0.540 kg CO₂e</w:t>
      </w:r>
    </w:p>
    <w:p>
      <w:pPr>
        <w:numPr>
          <w:ilvl w:val="1"/>
          <w:numId w:val="1019"/>
        </w:numPr>
        <w:pStyle w:val="Compact"/>
      </w:pPr>
      <w:r>
        <w:t xml:space="preserve">Net End-of-Life Emissions: 0.072 - 0.540 = -0.468 kg CO₂e/unit</w:t>
      </w:r>
    </w:p>
    <w:p>
      <w:pPr>
        <w:pStyle w:val="FirstParagraph"/>
      </w:pPr>
      <w:r>
        <w:rPr>
          <w:bCs/>
          <w:b/>
        </w:rPr>
        <w:t xml:space="preserve">Total Downstream Scope 3 Emissions: 11.25 kg CO₂e (Use Phase) + 0.5 kg CO₂e (Last-Mile) - 0.468 kg CO₂e (EoL) = 11.282 kg CO₂e</w:t>
      </w:r>
    </w:p>
    <w:bookmarkEnd w:id="34"/>
    <w:bookmarkEnd w:id="35"/>
    <w:bookmarkStart w:id="36" w:name="summary-of-pcf-by-scope"/>
    <w:p>
      <w:pPr>
        <w:pStyle w:val="Heading3"/>
      </w:pPr>
      <w:r>
        <w:t xml:space="preserve">4.4. Summary of PCF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CO₂e/unit)</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2.976</w:t>
            </w:r>
          </w:p>
        </w:tc>
        <w:tc>
          <w:tcPr/>
          <w:p>
            <w:pPr>
              <w:pStyle w:val="Compact"/>
              <w:jc w:val="left"/>
            </w:pPr>
            <w:r>
              <w:t xml:space="preserve">16.35%</w:t>
            </w:r>
          </w:p>
        </w:tc>
      </w:tr>
      <w:tr>
        <w:tc>
          <w:tcPr/>
          <w:p>
            <w:pPr>
              <w:pStyle w:val="Compact"/>
              <w:jc w:val="left"/>
            </w:pPr>
            <w:r>
              <w:t xml:space="preserve">Scope 3 (Value Chain)</w:t>
            </w:r>
          </w:p>
        </w:tc>
        <w:tc>
          <w:tcPr/>
          <w:p>
            <w:pPr>
              <w:pStyle w:val="Compact"/>
              <w:jc w:val="left"/>
            </w:pPr>
            <w:r>
              <w:t xml:space="preserve">15.225</w:t>
            </w:r>
          </w:p>
        </w:tc>
        <w:tc>
          <w:tcPr/>
          <w:p>
            <w:pPr>
              <w:pStyle w:val="Compact"/>
              <w:jc w:val="left"/>
            </w:pPr>
            <w:r>
              <w:t xml:space="preserve">83.65%</w:t>
            </w:r>
          </w:p>
        </w:tc>
      </w:tr>
      <w:tr>
        <w:tc>
          <w:tcPr/>
          <w:p>
            <w:pPr>
              <w:pStyle w:val="Compact"/>
              <w:jc w:val="left"/>
            </w:pPr>
            <w:r>
              <w:t xml:space="preserve">    Upstream (Materials)</w:t>
            </w:r>
          </w:p>
        </w:tc>
        <w:tc>
          <w:tcPr/>
          <w:p>
            <w:pPr>
              <w:pStyle w:val="Compact"/>
              <w:jc w:val="left"/>
            </w:pPr>
            <w:r>
              <w:t xml:space="preserve">3.745</w:t>
            </w:r>
          </w:p>
        </w:tc>
        <w:tc>
          <w:tcPr/>
          <w:p>
            <w:pPr>
              <w:pStyle w:val="Compact"/>
              <w:jc w:val="left"/>
            </w:pPr>
            <w:r>
              <w:t xml:space="preserve">20.58%</w:t>
            </w:r>
          </w:p>
        </w:tc>
      </w:tr>
      <w:tr>
        <w:tc>
          <w:tcPr/>
          <w:p>
            <w:pPr>
              <w:pStyle w:val="Compact"/>
              <w:jc w:val="left"/>
            </w:pPr>
            <w:r>
              <w:t xml:space="preserve">    Upstream (Transport)</w:t>
            </w:r>
          </w:p>
        </w:tc>
        <w:tc>
          <w:tcPr/>
          <w:p>
            <w:pPr>
              <w:pStyle w:val="Compact"/>
              <w:jc w:val="left"/>
            </w:pPr>
            <w:r>
              <w:t xml:space="preserve">0.198</w:t>
            </w:r>
          </w:p>
        </w:tc>
        <w:tc>
          <w:tcPr/>
          <w:p>
            <w:pPr>
              <w:pStyle w:val="Compact"/>
              <w:jc w:val="left"/>
            </w:pPr>
            <w:r>
              <w:t xml:space="preserve">1.09%</w:t>
            </w:r>
          </w:p>
        </w:tc>
      </w:tr>
      <w:tr>
        <w:tc>
          <w:tcPr/>
          <w:p>
            <w:pPr>
              <w:pStyle w:val="Compact"/>
              <w:jc w:val="left"/>
            </w:pPr>
            <w:r>
              <w:t xml:space="preserve">    Downstream (Use Phase)</w:t>
            </w:r>
          </w:p>
        </w:tc>
        <w:tc>
          <w:tcPr/>
          <w:p>
            <w:pPr>
              <w:pStyle w:val="Compact"/>
              <w:jc w:val="left"/>
            </w:pPr>
            <w:r>
              <w:t xml:space="preserve">11.250</w:t>
            </w:r>
          </w:p>
        </w:tc>
        <w:tc>
          <w:tcPr/>
          <w:p>
            <w:pPr>
              <w:pStyle w:val="Compact"/>
              <w:jc w:val="left"/>
            </w:pPr>
            <w:r>
              <w:t xml:space="preserve">61.81%</w:t>
            </w:r>
          </w:p>
        </w:tc>
      </w:tr>
      <w:tr>
        <w:tc>
          <w:tcPr/>
          <w:p>
            <w:pPr>
              <w:pStyle w:val="Compact"/>
              <w:jc w:val="left"/>
            </w:pPr>
            <w:r>
              <w:t xml:space="preserve">    Downstream (Last-Mile Delivery)</w:t>
            </w:r>
          </w:p>
        </w:tc>
        <w:tc>
          <w:tcPr/>
          <w:p>
            <w:pPr>
              <w:pStyle w:val="Compact"/>
              <w:jc w:val="left"/>
            </w:pPr>
            <w:r>
              <w:t xml:space="preserve">0.500</w:t>
            </w:r>
          </w:p>
        </w:tc>
        <w:tc>
          <w:tcPr/>
          <w:p>
            <w:pPr>
              <w:pStyle w:val="Compact"/>
              <w:jc w:val="left"/>
            </w:pPr>
            <w:r>
              <w:t xml:space="preserve">2.75%</w:t>
            </w:r>
          </w:p>
        </w:tc>
      </w:tr>
      <w:tr>
        <w:tc>
          <w:tcPr/>
          <w:p>
            <w:pPr>
              <w:pStyle w:val="Compact"/>
              <w:jc w:val="left"/>
            </w:pPr>
            <w:r>
              <w:t xml:space="preserve">    Downstream (End-of-Life)</w:t>
            </w:r>
          </w:p>
        </w:tc>
        <w:tc>
          <w:tcPr/>
          <w:p>
            <w:pPr>
              <w:pStyle w:val="Compact"/>
              <w:jc w:val="left"/>
            </w:pPr>
            <w:r>
              <w:t xml:space="preserve">-0.468</w:t>
            </w:r>
          </w:p>
        </w:tc>
        <w:tc>
          <w:tcPr/>
          <w:p>
            <w:pPr>
              <w:pStyle w:val="Compact"/>
              <w:jc w:val="left"/>
            </w:pPr>
            <w:r>
              <w:t xml:space="preserve">-2.57%</w:t>
            </w:r>
          </w:p>
        </w:tc>
      </w:tr>
      <w:tr>
        <w:tc>
          <w:tcPr/>
          <w:p>
            <w:pPr>
              <w:pStyle w:val="Compact"/>
              <w:jc w:val="left"/>
            </w:pPr>
            <w:r>
              <w:rPr>
                <w:bCs/>
                <w:b/>
              </w:rPr>
              <w:t xml:space="preserve">Total Product Carbon Footprint (PCF)</w:t>
            </w:r>
          </w:p>
        </w:tc>
        <w:tc>
          <w:tcPr/>
          <w:p>
            <w:pPr>
              <w:pStyle w:val="Compact"/>
              <w:jc w:val="left"/>
            </w:pPr>
            <w:r>
              <w:rPr>
                <w:bCs/>
                <w:b/>
              </w:rPr>
              <w:t xml:space="preserve">18.201</w:t>
            </w:r>
          </w:p>
        </w:tc>
        <w:tc>
          <w:tcPr/>
          <w:p>
            <w:pPr>
              <w:pStyle w:val="Compact"/>
              <w:jc w:val="left"/>
            </w:pPr>
            <w:r>
              <w:rPr>
                <w:bCs/>
                <w:b/>
              </w:rPr>
              <w:t xml:space="preserve">100.00%</w:t>
            </w:r>
          </w:p>
        </w:tc>
      </w:tr>
    </w:tbl>
    <w:p>
      <w:r>
        <w:pict>
          <v:rect style="width:0;height:1.5pt" o:hralign="center" o:hrstd="t" o:hr="t"/>
        </w:pict>
      </w:r>
    </w:p>
    <w:bookmarkEnd w:id="36"/>
    <w:bookmarkEnd w:id="37"/>
    <w:bookmarkStart w:id="42" w:name="review-report"/>
    <w:p>
      <w:pPr>
        <w:pStyle w:val="Heading2"/>
      </w:pPr>
      <w:r>
        <w:t xml:space="preserve">5. Review &amp; Report</w:t>
      </w:r>
    </w:p>
    <w:bookmarkStart w:id="38" w:name="hotspots-analysis"/>
    <w:p>
      <w:pPr>
        <w:pStyle w:val="Heading3"/>
      </w:pPr>
      <w:r>
        <w:t xml:space="preserve">5.1. Hotspots Analysis</w:t>
      </w:r>
    </w:p>
    <w:p>
      <w:pPr>
        <w:pStyle w:val="FirstParagraph"/>
      </w:pPr>
      <w:r>
        <w:t xml:space="preserve">The analysis identifies the following emission hotspots for "xtpqkpnlsz":</w:t>
      </w:r>
    </w:p>
    <w:p>
      <w:pPr>
        <w:numPr>
          <w:ilvl w:val="0"/>
          <w:numId w:val="1020"/>
        </w:numPr>
        <w:pStyle w:val="Compact"/>
      </w:pPr>
      <w:r>
        <w:rPr>
          <w:bCs/>
          <w:b/>
        </w:rPr>
        <w:t xml:space="preserve">Use Phase (61.81%):</w:t>
      </w:r>
      <w:r>
        <w:t xml:space="preserve"> </w:t>
      </w:r>
      <w:r>
        <w:t xml:space="preserve">The most significant contributor to the product\'s PCF is the energy consumed during its operational lifespan. This indicates that the product\'s energy efficiency in use is a critical area for reduction.</w:t>
      </w:r>
    </w:p>
    <w:p>
      <w:pPr>
        <w:numPr>
          <w:ilvl w:val="0"/>
          <w:numId w:val="1020"/>
        </w:numPr>
        <w:pStyle w:val="Compact"/>
      </w:pPr>
      <w:r>
        <w:rPr>
          <w:bCs/>
          <w:b/>
        </w:rPr>
        <w:t xml:space="preserve">Material Acquisition (20.58%):</w:t>
      </w:r>
      <w:r>
        <w:t xml:space="preserve"> </w:t>
      </w:r>
      <w:r>
        <w:t xml:space="preserve">The emissions associated with raw material extraction and pre-processing, based on the provided "Total Carbon" values in the BOM, represent the second largest hotspot. Selecting lower-impact materials or increasing the use of recycled content can reduce this.</w:t>
      </w:r>
    </w:p>
    <w:p>
      <w:pPr>
        <w:numPr>
          <w:ilvl w:val="0"/>
          <w:numId w:val="1020"/>
        </w:numPr>
        <w:pStyle w:val="Compact"/>
      </w:pPr>
      <w:r>
        <w:rPr>
          <w:bCs/>
          <w:b/>
        </w:rPr>
        <w:t xml:space="preserve">Manufacturing Energy (16.35%):</w:t>
      </w:r>
      <w:r>
        <w:t xml:space="preserve"> </w:t>
      </w:r>
      <w:r>
        <w:t xml:space="preserve">Purchased electricity for manufacturing in China constitutes a substantial portion. Increasing renewable energy sourcing (beyond the current 40%) at the production facility would directly reduce this impact.</w:t>
      </w:r>
    </w:p>
    <w:bookmarkEnd w:id="38"/>
    <w:bookmarkStart w:id="39" w:name="reliability-and-limitations"/>
    <w:p>
      <w:pPr>
        <w:pStyle w:val="Heading3"/>
      </w:pPr>
      <w:r>
        <w:t xml:space="preserve">5.2. Reliability and Limitations</w:t>
      </w:r>
    </w:p>
    <w:p>
      <w:pPr>
        <w:pStyle w:val="FirstParagraph"/>
      </w:pPr>
      <w:r>
        <w:t xml:space="preserve">The reliability of this PCF is dependent on the quality and specificity of the input data. Key considerations include:</w:t>
      </w:r>
    </w:p>
    <w:p>
      <w:pPr>
        <w:numPr>
          <w:ilvl w:val="0"/>
          <w:numId w:val="1021"/>
        </w:numPr>
        <w:pStyle w:val="Compact"/>
      </w:pPr>
      <w:r>
        <w:rPr>
          <w:bCs/>
          <w:b/>
        </w:rPr>
        <w:t xml:space="preserve">Placeholder Data:</w:t>
      </w:r>
      <w:r>
        <w:t xml:space="preserve"> </w:t>
      </w:r>
      <w:r>
        <w:t xml:space="preserve">Many parameters (e.g., `pvrjfwqq`, `xfhzzhwyhs`) were provided as conceptual names, requiring the use of representative dummy data and average emission factors. Higher accuracy would be achieved with primary, supplier-specific data.</w:t>
      </w:r>
    </w:p>
    <w:p>
      <w:pPr>
        <w:numPr>
          <w:ilvl w:val="0"/>
          <w:numId w:val="1021"/>
        </w:numPr>
        <w:pStyle w:val="Compact"/>
      </w:pPr>
      <w:r>
        <w:rPr>
          <w:bCs/>
          <w:b/>
        </w:rPr>
        <w:t xml:space="preserve">Emission Factors:</w:t>
      </w:r>
      <w:r>
        <w:t xml:space="preserve"> </w:t>
      </w:r>
      <w:r>
        <w:t xml:space="preserve">Industry-standard emission factors (e.g., from Ecoinvent/DEFRA/EPA averages) have been used. While robust, these may not perfectly reflect the specific operational efficiencies or geographic nuances of all entities in the value chain.</w:t>
      </w:r>
    </w:p>
    <w:p>
      <w:pPr>
        <w:numPr>
          <w:ilvl w:val="0"/>
          <w:numId w:val="1021"/>
        </w:numPr>
        <w:pStyle w:val="Compact"/>
      </w:pPr>
      <w:r>
        <w:rPr>
          <w:bCs/>
          <w:b/>
        </w:rPr>
        <w:t xml:space="preserve">System Boundary:</w:t>
      </w:r>
      <w:r>
        <w:t xml:space="preserve"> </w:t>
      </w:r>
      <w:r>
        <w:t xml:space="preserve">The "factory_gate" boundary for direct emissions was balanced with a comprehensive cradle-to-grave Scope 3 analysis, which provides a more holistic view of the product\'s impact.</w:t>
      </w:r>
    </w:p>
    <w:bookmarkEnd w:id="39"/>
    <w:bookmarkStart w:id="40" w:name="X8877664c7f8833a514558f437f739c3634cd437"/>
    <w:p>
      <w:pPr>
        <w:pStyle w:val="Heading3"/>
      </w:pPr>
      <w:r>
        <w:t xml:space="preserve">5.3. Adherence to GHG Protocol and 2026 Updates</w:t>
      </w:r>
    </w:p>
    <w:p>
      <w:pPr>
        <w:pStyle w:val="FirstParagraph"/>
      </w:pPr>
      <w:r>
        <w:t xml:space="preserve">This report has been prepared in strict accordance with the GHG Protocol Product Life Cycle Accounting and Reporting Standard. Specific attention has been given to the anticipated 2026 updates:</w:t>
      </w:r>
    </w:p>
    <w:p>
      <w:pPr>
        <w:numPr>
          <w:ilvl w:val="0"/>
          <w:numId w:val="1022"/>
        </w:numPr>
        <w:pStyle w:val="Compact"/>
      </w:pPr>
      <w:r>
        <w:rPr>
          <w:bCs/>
          <w:b/>
        </w:rPr>
        <w:t xml:space="preserve">2026 LSR Update:</w:t>
      </w:r>
      <w:r>
        <w:t xml:space="preserve"> </w:t>
      </w:r>
      <w:r>
        <w:t xml:space="preserve">The Land Sector and Removals (LSR) Standard, effective January 1, 2027, has been acknowledged. While the direct land use impact for this specific product (xtpqkpnlsz, likely manufactured goods) is not a primary focus, the standard\'s principles for accounting carbon removals and biogenic emissions are noted for future, more granular assessments, especially if agricultural products or bio-based materials become significant inputs.</w:t>
      </w:r>
    </w:p>
    <w:p>
      <w:pPr>
        <w:numPr>
          <w:ilvl w:val="0"/>
          <w:numId w:val="1022"/>
        </w:numPr>
        <w:pStyle w:val="Compact"/>
      </w:pPr>
      <w:r>
        <w:rPr>
          <w:bCs/>
          <w:b/>
        </w:rPr>
        <w:t xml:space="preserve">Scope 3 Compliance (95% Coverage):</w:t>
      </w:r>
      <w:r>
        <w:t xml:space="preserve"> </w:t>
      </w:r>
      <w:r>
        <w:t xml:space="preserve">This analysis aims for robust Scope 3 reporting, striving for at least 95% coverage as mandated by the proposed 2026 requirements. By considering materials, manufacturing, all transport legs, the use phase, and end-of-life, the major value chain emission sources are captured. Exclusions are minimal and justified by the lack of specific activity data for minor categories.</w:t>
      </w:r>
    </w:p>
    <w:p>
      <w:pPr>
        <w:numPr>
          <w:ilvl w:val="0"/>
          <w:numId w:val="1022"/>
        </w:numPr>
        <w:pStyle w:val="Compact"/>
      </w:pPr>
      <w:r>
        <w:rPr>
          <w:bCs/>
          <w:b/>
        </w:rPr>
        <w:t xml:space="preserve">Data Transparency:</w:t>
      </w:r>
      <w:r>
        <w:t xml:space="preserve"> </w:t>
      </w:r>
      <w:r>
        <w:t xml:space="preserve">The report explicitly highlights the use of representative data and average emission factors. Future iterations will prioritize collecting primary data for enhanced transparency and disaggregation by data type, aligning with the 2026 push for financial-grade, auditable reporting.</w:t>
      </w:r>
    </w:p>
    <w:bookmarkEnd w:id="40"/>
    <w:bookmarkStart w:id="41" w:name="recommendations-for-emission-reduction"/>
    <w:p>
      <w:pPr>
        <w:pStyle w:val="Heading3"/>
      </w:pPr>
      <w:r>
        <w:t xml:space="preserve">5.4. Recommendations for Emission Reduction</w:t>
      </w:r>
    </w:p>
    <w:p>
      <w:pPr>
        <w:numPr>
          <w:ilvl w:val="0"/>
          <w:numId w:val="1023"/>
        </w:numPr>
        <w:pStyle w:val="Compact"/>
      </w:pPr>
      <w:r>
        <w:rPr>
          <w:bCs/>
          <w:b/>
        </w:rPr>
        <w:t xml:space="preserve">Optimize Use Phase Efficiency:</w:t>
      </w:r>
      <w:r>
        <w:t xml:space="preserve"> </w:t>
      </w:r>
      <w:r>
        <w:t xml:space="preserve">Invest in R&amp;D to significantly reduce the energy consumption of "xtpqkpnlsz" during its operational life. This is the largest hotspot and offers the greatest reduction potential.</w:t>
      </w:r>
    </w:p>
    <w:p>
      <w:pPr>
        <w:numPr>
          <w:ilvl w:val="0"/>
          <w:numId w:val="1023"/>
        </w:numPr>
        <w:pStyle w:val="Compact"/>
      </w:pPr>
      <w:r>
        <w:rPr>
          <w:bCs/>
          <w:b/>
        </w:rPr>
        <w:t xml:space="preserve">Enhance Renewable Energy Sourcing:</w:t>
      </w:r>
      <w:r>
        <w:t xml:space="preserve"> </w:t>
      </w:r>
      <w:r>
        <w:t xml:space="preserve">Increase the percentage of renewable energy used at the manufacturing facility in China. This directly impacts Scope 2 emissions.</w:t>
      </w:r>
    </w:p>
    <w:p>
      <w:pPr>
        <w:numPr>
          <w:ilvl w:val="0"/>
          <w:numId w:val="1023"/>
        </w:numPr>
        <w:pStyle w:val="Compact"/>
      </w:pPr>
      <w:r>
        <w:rPr>
          <w:bCs/>
          <w:b/>
        </w:rPr>
        <w:t xml:space="preserve">Source Low-Impact Materials:</w:t>
      </w:r>
      <w:r>
        <w:t xml:space="preserve"> </w:t>
      </w:r>
      <w:r>
        <w:t xml:space="preserve">Explore alternative materials with inherently lower carbon footprints for components identified in the BOM. Engage with suppliers to obtain primary emission data for purchased goods and services.</w:t>
      </w:r>
    </w:p>
    <w:p>
      <w:pPr>
        <w:numPr>
          <w:ilvl w:val="0"/>
          <w:numId w:val="1023"/>
        </w:numPr>
        <w:pStyle w:val="Compact"/>
      </w:pPr>
      <w:r>
        <w:rPr>
          <w:bCs/>
          <w:b/>
        </w:rPr>
        <w:t xml:space="preserve">Strengthen Circularity:</w:t>
      </w:r>
      <w:r>
        <w:t xml:space="preserve"> </w:t>
      </w:r>
      <w:r>
        <w:t xml:space="preserve">Further develop and promote take-back and recycling programs (beyond the current \'hvhjixhedo\' status) to maximize material recovery and increase the product\'s recyclability percentage beyond 60%, leading to greater avoided emissions credits at EoL.</w:t>
      </w:r>
    </w:p>
    <w:p>
      <w:pPr>
        <w:numPr>
          <w:ilvl w:val="0"/>
          <w:numId w:val="1023"/>
        </w:numPr>
        <w:pStyle w:val="Compact"/>
      </w:pPr>
      <w:r>
        <w:rPr>
          <w:bCs/>
          <w:b/>
        </w:rPr>
        <w:t xml:space="preserve">Optimize Logistics:</w:t>
      </w:r>
      <w:r>
        <w:t xml:space="preserve"> </w:t>
      </w:r>
      <w:r>
        <w:t xml:space="preserve">Continuously evaluate transportation modes and routes for both inbound materials and outbound products to minimize distances and utilize the most efficient (lowest emission) transport options.</w:t>
      </w:r>
    </w:p>
    <w:p>
      <w:r>
        <w:pict>
          <v:rect style="width:0;height:1.5pt" o:hralign="center" o:hrstd="t" o:hr="t"/>
        </w:pict>
      </w:r>
    </w:p>
    <w:bookmarkEnd w:id="41"/>
    <w:bookmarkEnd w:id="42"/>
    <w:p>
      <w:pPr>
        <w:pStyle w:val="FirstParagraph"/>
      </w:pPr>
      <w:r>
        <w:t xml:space="preserve">Confidential - Internal Use Only | Page</w:t>
      </w:r>
      <w:r>
        <w:t xml:space="preserve"> </w:t>
      </w:r>
      <w:bookmarkStart w:id="43" w:name="pageNumber"/>
      <w:bookmarkEnd w:id="43"/>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xtpqkpnlsz</dc:title>
  <dc:creator/>
  <dc:description>High-detail Product Carbon Footprint (PCF) analysis report for xtpqkpnlsz, adhering to GHG Protocol standards and 2026 updates, performed by nwkogdwxuq for zmsosrhejj.</dc:description>
  <dc:language>en</dc:language>
  <cp:keywords/>
  <dcterms:created xsi:type="dcterms:W3CDTF">2026-07-15T14:37:03Z</dcterms:created>
  <dcterms:modified xsi:type="dcterms:W3CDTF">2026-07-15T14:37:03Z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